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9073" w:tblpY="2422"/>
        <w:tblOverlap w:val="never"/>
        <w:tblW w:w="2269" w:type="dxa"/>
        <w:tblCellMar>
          <w:left w:w="0" w:type="dxa"/>
        </w:tblCellMar>
        <w:tblLook w:val="01E0" w:firstRow="1" w:lastRow="1" w:firstColumn="1" w:lastColumn="1" w:noHBand="0" w:noVBand="0"/>
      </w:tblPr>
      <w:tblGrid>
        <w:gridCol w:w="2269"/>
      </w:tblGrid>
      <w:tr w:rsidR="00F37F63" w:rsidRPr="006F6849" w14:paraId="39DE2D36" w14:textId="77777777" w:rsidTr="004C5EF5">
        <w:trPr>
          <w:trHeight w:val="2835"/>
        </w:trPr>
        <w:tc>
          <w:tcPr>
            <w:tcW w:w="2269" w:type="dxa"/>
          </w:tcPr>
          <w:sdt>
            <w:sdtPr>
              <w:alias w:val="Vælg dato"/>
              <w:tag w:val="Vælg dato"/>
              <w:id w:val="-696322164"/>
              <w:placeholder>
                <w:docPart w:val="B1412998BD7844E3B252E7D8C4357212"/>
              </w:placeholder>
              <w:date w:fullDate="2020-10-07T00:00:00Z">
                <w:dateFormat w:val="d. MMMM yyyy"/>
                <w:lid w:val="da-DK"/>
                <w:storeMappedDataAs w:val="dateTime"/>
                <w:calendar w:val="gregorian"/>
              </w:date>
            </w:sdtPr>
            <w:sdtEndPr/>
            <w:sdtContent>
              <w:p w14:paraId="18529ACD" w14:textId="54FE034D" w:rsidR="00F37F63" w:rsidRDefault="00CB6696" w:rsidP="004C5EF5">
                <w:pPr>
                  <w:pStyle w:val="Hjrespaltetekst"/>
                  <w:rPr>
                    <w:rFonts w:ascii="Garamond" w:hAnsi="Garamond"/>
                    <w:noProof w:val="0"/>
                    <w:color w:val="auto"/>
                    <w:spacing w:val="0"/>
                    <w:sz w:val="22"/>
                  </w:rPr>
                </w:pPr>
                <w:r>
                  <w:t>7. oktober 2020</w:t>
                </w:r>
              </w:p>
            </w:sdtContent>
          </w:sdt>
          <w:p w14:paraId="340958C8" w14:textId="77777777" w:rsidR="00F37F63" w:rsidRPr="009F499D" w:rsidRDefault="00945D10" w:rsidP="009F499D">
            <w:pPr>
              <w:spacing w:line="220" w:lineRule="exact"/>
              <w:rPr>
                <w:rFonts w:ascii="Arial" w:eastAsia="Times New Roman" w:hAnsi="Arial" w:cs="Times New Roman"/>
                <w:noProof/>
                <w:color w:val="14143C"/>
                <w:spacing w:val="5"/>
                <w:sz w:val="14"/>
              </w:rPr>
            </w:pPr>
            <w:r w:rsidRPr="00945D10">
              <w:rPr>
                <w:rFonts w:ascii="Arial" w:eastAsia="Times New Roman" w:hAnsi="Arial" w:cs="Times New Roman"/>
                <w:noProof/>
                <w:color w:val="14143C"/>
                <w:spacing w:val="5"/>
                <w:sz w:val="14"/>
              </w:rPr>
              <w:t xml:space="preserve">J.nr. </w:t>
            </w:r>
            <w:bookmarkStart w:id="0" w:name="sagsnr"/>
            <w:bookmarkEnd w:id="0"/>
            <w:r w:rsidR="00BE439D">
              <w:rPr>
                <w:rFonts w:ascii="Arial" w:eastAsia="Times New Roman" w:hAnsi="Arial" w:cs="Times New Roman"/>
                <w:noProof/>
                <w:color w:val="14143C"/>
                <w:spacing w:val="5"/>
                <w:sz w:val="14"/>
              </w:rPr>
              <w:t>2020-5454</w:t>
            </w:r>
          </w:p>
          <w:p w14:paraId="659FADDF" w14:textId="77777777" w:rsidR="00F37F63" w:rsidRPr="00102933" w:rsidRDefault="00F37F63" w:rsidP="004C5EF5">
            <w:pPr>
              <w:pStyle w:val="Hjrespaltetekst"/>
              <w:rPr>
                <w:lang w:val="nb-NO"/>
              </w:rPr>
            </w:pPr>
            <w:r w:rsidRPr="00102933">
              <w:rPr>
                <w:lang w:val="nb-NO"/>
              </w:rPr>
              <w:t xml:space="preserve"> </w:t>
            </w:r>
            <w:bookmarkStart w:id="1" w:name="_GoBack"/>
            <w:bookmarkEnd w:id="1"/>
          </w:p>
        </w:tc>
      </w:tr>
    </w:tbl>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F37F63" w:rsidRPr="00094ABD" w14:paraId="174CBAA0" w14:textId="77777777" w:rsidTr="00C45EEB">
        <w:trPr>
          <w:trHeight w:hRule="exact" w:val="2835"/>
        </w:trPr>
        <w:tc>
          <w:tcPr>
            <w:tcW w:w="7655" w:type="dxa"/>
            <w:vAlign w:val="bottom"/>
          </w:tcPr>
          <w:p w14:paraId="1B794B5C" w14:textId="77777777" w:rsidR="00F37F63" w:rsidRPr="00094ABD" w:rsidRDefault="00FB1FE9" w:rsidP="00F37F63">
            <w:r w:rsidRPr="00FB1FE9">
              <w:t>Til Folketinget – Skatteudvalget</w:t>
            </w:r>
          </w:p>
        </w:tc>
      </w:tr>
    </w:tbl>
    <w:p w14:paraId="75A05A6C" w14:textId="77777777" w:rsidR="00F37F63" w:rsidRDefault="00F37F63" w:rsidP="00F37F63"/>
    <w:p w14:paraId="23B9DA52" w14:textId="4F10D35F" w:rsidR="00FB1FE9" w:rsidRDefault="00600E3E" w:rsidP="00FB1FE9">
      <w:r w:rsidRPr="00684545">
        <w:t xml:space="preserve">Til udvalgets orientering </w:t>
      </w:r>
      <w:r>
        <w:t>vedlægges høringsskema samt de modtagne høringssvar vedrørende forslag til</w:t>
      </w:r>
      <w:r w:rsidRPr="00684545">
        <w:t xml:space="preserve"> </w:t>
      </w:r>
      <w:r w:rsidR="00241A48">
        <w:t xml:space="preserve">Lov om ændring af </w:t>
      </w:r>
      <w:r w:rsidR="00BE439D">
        <w:t xml:space="preserve">afskrivningsloven, </w:t>
      </w:r>
      <w:r w:rsidR="00241A48">
        <w:t xml:space="preserve">ligningsloven </w:t>
      </w:r>
      <w:r w:rsidR="00BE439D">
        <w:t xml:space="preserve">og selskabsskatteloven </w:t>
      </w:r>
      <w:r w:rsidR="00241A48">
        <w:t>(</w:t>
      </w:r>
      <w:r w:rsidR="00B377E5" w:rsidRPr="00B377E5">
        <w:t>Midlertidig forhøjelse af fradrag for udgifter til forsøgs- og forskningsvirksomhed og midlertidig forhøjelse af bundfradrag fradrag ved udlejning af fritidsboliger samt selskabsskattefritagelse af Fonden</w:t>
      </w:r>
      <w:r w:rsidR="00006F66">
        <w:t>).</w:t>
      </w:r>
    </w:p>
    <w:p w14:paraId="2BF943A6" w14:textId="77777777" w:rsidR="00967833" w:rsidRDefault="00967833" w:rsidP="00967833"/>
    <w:p w14:paraId="14A4F234" w14:textId="77777777" w:rsidR="00241A48" w:rsidRDefault="00241A48" w:rsidP="00967833"/>
    <w:p w14:paraId="16EC5F87" w14:textId="77777777" w:rsidR="00967833" w:rsidRDefault="00967833" w:rsidP="00967833"/>
    <w:p w14:paraId="05197F16" w14:textId="77777777" w:rsidR="00161AF0" w:rsidRDefault="00014184" w:rsidP="00161AF0">
      <w:pPr>
        <w:keepNext/>
        <w:keepLines/>
        <w:jc w:val="center"/>
      </w:pPr>
      <w:r>
        <w:t>Morten Bødskov</w:t>
      </w:r>
    </w:p>
    <w:p w14:paraId="3E2D1595" w14:textId="77777777" w:rsidR="00967833" w:rsidRDefault="00967833" w:rsidP="00967833">
      <w:pPr>
        <w:keepNext/>
        <w:keepLines/>
        <w:jc w:val="right"/>
      </w:pPr>
      <w:r>
        <w:t xml:space="preserve">/ </w:t>
      </w:r>
      <w:r w:rsidR="00241A48">
        <w:t>Lise Bo Nielsen</w:t>
      </w:r>
    </w:p>
    <w:p w14:paraId="62A1BD82" w14:textId="77777777" w:rsidR="00815F28" w:rsidRDefault="00815F28" w:rsidP="00815F28">
      <w:pPr>
        <w:spacing w:line="260" w:lineRule="atLeast"/>
      </w:pPr>
      <w:r>
        <w:br w:type="page"/>
      </w: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10"/>
        <w:gridCol w:w="213"/>
        <w:gridCol w:w="3443"/>
        <w:gridCol w:w="230"/>
        <w:gridCol w:w="3443"/>
      </w:tblGrid>
      <w:tr w:rsidR="00600E3E" w14:paraId="66BEDA79" w14:textId="77777777" w:rsidTr="00A30808">
        <w:trPr>
          <w:tblHeader/>
        </w:trPr>
        <w:tc>
          <w:tcPr>
            <w:tcW w:w="2310" w:type="dxa"/>
            <w:shd w:val="clear" w:color="auto" w:fill="D1C5C3"/>
            <w:vAlign w:val="center"/>
          </w:tcPr>
          <w:p w14:paraId="71F00FE5" w14:textId="77777777" w:rsidR="00600E3E" w:rsidRDefault="00600E3E" w:rsidP="00B9508F">
            <w:pPr>
              <w:pStyle w:val="Tabel-KolonneOverskrift"/>
            </w:pPr>
            <w:r>
              <w:t>Organisation</w:t>
            </w:r>
          </w:p>
        </w:tc>
        <w:tc>
          <w:tcPr>
            <w:tcW w:w="213" w:type="dxa"/>
            <w:shd w:val="clear" w:color="auto" w:fill="FFFFFF" w:themeFill="background1"/>
            <w:vAlign w:val="center"/>
          </w:tcPr>
          <w:p w14:paraId="219EC512" w14:textId="77777777" w:rsidR="00600E3E" w:rsidRDefault="00600E3E" w:rsidP="00B9508F">
            <w:pPr>
              <w:keepNext/>
              <w:keepLines/>
            </w:pPr>
          </w:p>
        </w:tc>
        <w:tc>
          <w:tcPr>
            <w:tcW w:w="3443" w:type="dxa"/>
            <w:shd w:val="clear" w:color="auto" w:fill="D1C5C3" w:themeFill="accent3"/>
            <w:vAlign w:val="center"/>
          </w:tcPr>
          <w:p w14:paraId="62FB0733" w14:textId="77777777" w:rsidR="00600E3E" w:rsidRDefault="00600E3E" w:rsidP="00B9508F">
            <w:pPr>
              <w:pStyle w:val="Tabel-KolonneOverskrift"/>
            </w:pPr>
            <w:r>
              <w:t>Bemærkninger</w:t>
            </w:r>
          </w:p>
        </w:tc>
        <w:tc>
          <w:tcPr>
            <w:tcW w:w="230" w:type="dxa"/>
            <w:shd w:val="clear" w:color="auto" w:fill="FFFFFF" w:themeFill="background1"/>
            <w:vAlign w:val="center"/>
          </w:tcPr>
          <w:p w14:paraId="53500A31" w14:textId="77777777" w:rsidR="00600E3E" w:rsidRDefault="00600E3E" w:rsidP="00B9508F">
            <w:pPr>
              <w:keepNext/>
              <w:keepLines/>
            </w:pPr>
          </w:p>
        </w:tc>
        <w:tc>
          <w:tcPr>
            <w:tcW w:w="3443" w:type="dxa"/>
            <w:shd w:val="clear" w:color="auto" w:fill="14143C" w:themeFill="accent1"/>
            <w:vAlign w:val="center"/>
          </w:tcPr>
          <w:p w14:paraId="40A3CB66" w14:textId="77777777" w:rsidR="00600E3E" w:rsidRDefault="00600E3E" w:rsidP="00B9508F">
            <w:pPr>
              <w:pStyle w:val="Tabel-KolonneOverskriftHvid"/>
            </w:pPr>
            <w:r>
              <w:t>Kommentarer</w:t>
            </w:r>
          </w:p>
        </w:tc>
      </w:tr>
      <w:tr w:rsidR="00DC10A2" w:rsidRPr="00B5346F" w14:paraId="0AF3D852" w14:textId="77777777" w:rsidTr="003326BB">
        <w:tc>
          <w:tcPr>
            <w:tcW w:w="2310" w:type="dxa"/>
            <w:tcBorders>
              <w:bottom w:val="single" w:sz="4" w:space="0" w:color="D1C5C3" w:themeColor="accent3"/>
            </w:tcBorders>
            <w:shd w:val="clear" w:color="auto" w:fill="FBF9F9"/>
          </w:tcPr>
          <w:p w14:paraId="42D04CAB" w14:textId="77777777" w:rsidR="00DC10A2" w:rsidRPr="00600E3E" w:rsidRDefault="00D5604D" w:rsidP="00DC10A2">
            <w:pPr>
              <w:pStyle w:val="Tabel-BrdtekstmedafstandptekstGaramond"/>
              <w:rPr>
                <w:i/>
              </w:rPr>
            </w:pPr>
            <w:r w:rsidRPr="00227E73">
              <w:rPr>
                <w:i/>
                <w:szCs w:val="22"/>
              </w:rPr>
              <w:t>Advokatsamfundet</w:t>
            </w:r>
          </w:p>
        </w:tc>
        <w:tc>
          <w:tcPr>
            <w:tcW w:w="213" w:type="dxa"/>
            <w:shd w:val="clear" w:color="auto" w:fill="FFFFFF" w:themeFill="background1"/>
          </w:tcPr>
          <w:p w14:paraId="4C1A0780" w14:textId="77777777" w:rsidR="00DC10A2" w:rsidRPr="00B5346F" w:rsidRDefault="00DC10A2" w:rsidP="00DC10A2"/>
        </w:tc>
        <w:tc>
          <w:tcPr>
            <w:tcW w:w="3443" w:type="dxa"/>
            <w:tcBorders>
              <w:bottom w:val="single" w:sz="4" w:space="0" w:color="D1C5C3" w:themeColor="accent3"/>
            </w:tcBorders>
            <w:shd w:val="clear" w:color="auto" w:fill="FBF9F9"/>
          </w:tcPr>
          <w:p w14:paraId="1D9E8900" w14:textId="77777777" w:rsidR="00DC10A2" w:rsidRPr="00B5346F" w:rsidRDefault="00D5604D" w:rsidP="00DC10A2">
            <w:pPr>
              <w:pStyle w:val="Tabel-BrdtekstmedafstandptekstGaramond"/>
            </w:pPr>
            <w:r>
              <w:t>Advokatrådet har ikke bemærkninger til det fremsendte høringsmateriale.</w:t>
            </w:r>
          </w:p>
        </w:tc>
        <w:tc>
          <w:tcPr>
            <w:tcW w:w="230" w:type="dxa"/>
            <w:shd w:val="clear" w:color="auto" w:fill="FFFFFF" w:themeFill="background1"/>
          </w:tcPr>
          <w:p w14:paraId="65FA941F" w14:textId="77777777" w:rsidR="00DC10A2" w:rsidRPr="00B5346F" w:rsidRDefault="00DC10A2" w:rsidP="00DC10A2"/>
        </w:tc>
        <w:tc>
          <w:tcPr>
            <w:tcW w:w="3443" w:type="dxa"/>
            <w:tcBorders>
              <w:bottom w:val="single" w:sz="4" w:space="0" w:color="14143C" w:themeColor="accent1"/>
            </w:tcBorders>
            <w:shd w:val="clear" w:color="auto" w:fill="D2CED8"/>
          </w:tcPr>
          <w:p w14:paraId="59116245" w14:textId="2640DFC8" w:rsidR="00DC10A2" w:rsidRPr="00B5346F" w:rsidRDefault="00DC10A2" w:rsidP="00DC10A2">
            <w:pPr>
              <w:pStyle w:val="Tabel-BrdtekstmedafstandptekstGaramond"/>
            </w:pPr>
          </w:p>
        </w:tc>
      </w:tr>
      <w:tr w:rsidR="00E57865" w:rsidRPr="00B5346F" w14:paraId="6061816B" w14:textId="77777777" w:rsidTr="003326BB">
        <w:tc>
          <w:tcPr>
            <w:tcW w:w="2310" w:type="dxa"/>
            <w:tcBorders>
              <w:bottom w:val="single" w:sz="4" w:space="0" w:color="D1C5C3" w:themeColor="accent3"/>
            </w:tcBorders>
            <w:shd w:val="clear" w:color="auto" w:fill="FBF9F9"/>
          </w:tcPr>
          <w:p w14:paraId="7C470380" w14:textId="17AED48B" w:rsidR="00E57865" w:rsidRPr="00227E73" w:rsidRDefault="00E57865" w:rsidP="00DC10A2">
            <w:pPr>
              <w:pStyle w:val="Tabel-BrdtekstmedafstandptekstGaramond"/>
              <w:rPr>
                <w:i/>
                <w:szCs w:val="22"/>
              </w:rPr>
            </w:pPr>
            <w:r>
              <w:rPr>
                <w:i/>
                <w:szCs w:val="22"/>
              </w:rPr>
              <w:t>Akademikerne</w:t>
            </w:r>
          </w:p>
        </w:tc>
        <w:tc>
          <w:tcPr>
            <w:tcW w:w="213" w:type="dxa"/>
            <w:shd w:val="clear" w:color="auto" w:fill="FFFFFF" w:themeFill="background1"/>
          </w:tcPr>
          <w:p w14:paraId="4B5E5237" w14:textId="77777777" w:rsidR="00E57865" w:rsidRPr="00B5346F" w:rsidRDefault="00E57865" w:rsidP="00DC10A2"/>
        </w:tc>
        <w:tc>
          <w:tcPr>
            <w:tcW w:w="3443" w:type="dxa"/>
            <w:tcBorders>
              <w:bottom w:val="single" w:sz="4" w:space="0" w:color="D1C5C3" w:themeColor="accent3"/>
            </w:tcBorders>
            <w:shd w:val="clear" w:color="auto" w:fill="FBF9F9"/>
          </w:tcPr>
          <w:p w14:paraId="20330AA7" w14:textId="77777777" w:rsidR="006828BB" w:rsidRPr="009D4D12" w:rsidRDefault="006828BB" w:rsidP="006828BB">
            <w:pPr>
              <w:pStyle w:val="Tabel-BrdtekstmedafstandptekstGaramond"/>
              <w:rPr>
                <w:bCs/>
                <w:i/>
                <w:iCs/>
                <w:szCs w:val="22"/>
              </w:rPr>
            </w:pPr>
            <w:proofErr w:type="spellStart"/>
            <w:r w:rsidRPr="009D4D12">
              <w:rPr>
                <w:bCs/>
                <w:i/>
                <w:iCs/>
                <w:szCs w:val="22"/>
              </w:rPr>
              <w:t>FoU</w:t>
            </w:r>
            <w:proofErr w:type="spellEnd"/>
          </w:p>
          <w:p w14:paraId="6D26C1E2" w14:textId="77777777" w:rsidR="00E57865" w:rsidRDefault="00E57865" w:rsidP="00DC10A2">
            <w:pPr>
              <w:pStyle w:val="Tabel-BrdtekstmedafstandptekstGaramond"/>
            </w:pPr>
            <w:r>
              <w:t xml:space="preserve">Akademikerne finder det meget positivt, at aftaleparterne ønsker at forhøje virksomhedernes fradrag for udgifter til forsøgs- og forskningsvirksomhed i 2020 og 2021 til 130 pct. </w:t>
            </w:r>
          </w:p>
          <w:p w14:paraId="02E8E415" w14:textId="77777777" w:rsidR="00E57865" w:rsidRDefault="00E57865" w:rsidP="00DC10A2">
            <w:pPr>
              <w:pStyle w:val="Tabel-BrdtekstmedafstandptekstGaramond"/>
            </w:pPr>
          </w:p>
          <w:p w14:paraId="22367629" w14:textId="2A957D14" w:rsidR="00E57865" w:rsidRDefault="00E57865" w:rsidP="00DC10A2">
            <w:pPr>
              <w:pStyle w:val="Tabel-BrdtekstmedafstandptekstGaramond"/>
            </w:pPr>
            <w:r>
              <w:t xml:space="preserve">Akademikerne fremhæver, at det er centralt at gøre det attraktivt for virksomhederne at udføre forsøgs- og forskningsaktiviteter. Dette vil ifølge Akademikerne bidrage til virksomhedernes produktivitet og bundlinje samt bidrage til samfundets generelle velstand. </w:t>
            </w:r>
          </w:p>
          <w:p w14:paraId="1E5FD77E" w14:textId="77777777" w:rsidR="00E57865" w:rsidRDefault="00E57865" w:rsidP="00DC10A2">
            <w:pPr>
              <w:pStyle w:val="Tabel-BrdtekstmedafstandptekstGaramond"/>
            </w:pPr>
          </w:p>
          <w:p w14:paraId="7C84E69D" w14:textId="0706592D" w:rsidR="00E57865" w:rsidRDefault="00E57865" w:rsidP="00DC10A2">
            <w:pPr>
              <w:pStyle w:val="Tabel-BrdtekstmedafstandptekstGaramond"/>
            </w:pPr>
            <w:r>
              <w:t>På den baggrund ser Akademikerne også gerne, at det forhøjede fradrag på 130 pct. gøres permanent</w:t>
            </w:r>
            <w:r w:rsidR="000F6FF9">
              <w:t>,</w:t>
            </w:r>
            <w:r>
              <w:t xml:space="preserve"> således at ordningen også efter 2021 vil give virksomhederne incitamenter til at investere i forsøgs- og forskningsaktiviteter. </w:t>
            </w:r>
          </w:p>
        </w:tc>
        <w:tc>
          <w:tcPr>
            <w:tcW w:w="230" w:type="dxa"/>
            <w:shd w:val="clear" w:color="auto" w:fill="FFFFFF" w:themeFill="background1"/>
          </w:tcPr>
          <w:p w14:paraId="118FFEB0" w14:textId="77777777" w:rsidR="00E57865" w:rsidRPr="00B5346F" w:rsidRDefault="00E57865" w:rsidP="00DC10A2"/>
        </w:tc>
        <w:tc>
          <w:tcPr>
            <w:tcW w:w="3443" w:type="dxa"/>
            <w:tcBorders>
              <w:bottom w:val="single" w:sz="4" w:space="0" w:color="14143C" w:themeColor="accent1"/>
            </w:tcBorders>
            <w:shd w:val="clear" w:color="auto" w:fill="D2CED8"/>
          </w:tcPr>
          <w:p w14:paraId="7BAFDE25" w14:textId="77777777" w:rsidR="003811CD" w:rsidRDefault="003811CD" w:rsidP="003B578A">
            <w:pPr>
              <w:pStyle w:val="Tabel-BrdtekstmedafstandptekstGaramond"/>
            </w:pPr>
          </w:p>
          <w:p w14:paraId="5CC9347D" w14:textId="77777777" w:rsidR="003811CD" w:rsidRDefault="003811CD" w:rsidP="003B578A">
            <w:pPr>
              <w:pStyle w:val="Tabel-BrdtekstmedafstandptekstGaramond"/>
            </w:pPr>
          </w:p>
          <w:p w14:paraId="0F703E55" w14:textId="77777777" w:rsidR="003811CD" w:rsidRDefault="003811CD" w:rsidP="003B578A">
            <w:pPr>
              <w:pStyle w:val="Tabel-BrdtekstmedafstandptekstGaramond"/>
            </w:pPr>
          </w:p>
          <w:p w14:paraId="057B692C" w14:textId="77777777" w:rsidR="003811CD" w:rsidRDefault="003811CD" w:rsidP="003B578A">
            <w:pPr>
              <w:pStyle w:val="Tabel-BrdtekstmedafstandptekstGaramond"/>
            </w:pPr>
          </w:p>
          <w:p w14:paraId="351DF2F0" w14:textId="77777777" w:rsidR="003811CD" w:rsidRDefault="003811CD" w:rsidP="003B578A">
            <w:pPr>
              <w:pStyle w:val="Tabel-BrdtekstmedafstandptekstGaramond"/>
            </w:pPr>
          </w:p>
          <w:p w14:paraId="3CDEFA50" w14:textId="77777777" w:rsidR="003811CD" w:rsidRDefault="003811CD" w:rsidP="001158CE">
            <w:pPr>
              <w:pStyle w:val="Tabel-BrdtekstmedafstandptekstGaramond"/>
              <w:ind w:left="325"/>
            </w:pPr>
          </w:p>
          <w:p w14:paraId="5601F735" w14:textId="77777777" w:rsidR="003811CD" w:rsidRDefault="003811CD" w:rsidP="003B578A">
            <w:pPr>
              <w:pStyle w:val="Tabel-BrdtekstmedafstandptekstGaramond"/>
            </w:pPr>
          </w:p>
          <w:p w14:paraId="481AF5AA" w14:textId="77777777" w:rsidR="003811CD" w:rsidRDefault="003811CD" w:rsidP="003B578A">
            <w:pPr>
              <w:pStyle w:val="Tabel-BrdtekstmedafstandptekstGaramond"/>
            </w:pPr>
          </w:p>
          <w:p w14:paraId="0A1FCFD8" w14:textId="77777777" w:rsidR="003811CD" w:rsidRDefault="003811CD" w:rsidP="003B578A">
            <w:pPr>
              <w:pStyle w:val="Tabel-BrdtekstmedafstandptekstGaramond"/>
            </w:pPr>
          </w:p>
          <w:p w14:paraId="6FCE9388" w14:textId="77777777" w:rsidR="003811CD" w:rsidRDefault="003811CD" w:rsidP="003B578A">
            <w:pPr>
              <w:pStyle w:val="Tabel-BrdtekstmedafstandptekstGaramond"/>
            </w:pPr>
          </w:p>
          <w:p w14:paraId="59071ABC" w14:textId="77777777" w:rsidR="003811CD" w:rsidRDefault="003811CD" w:rsidP="003B578A">
            <w:pPr>
              <w:pStyle w:val="Tabel-BrdtekstmedafstandptekstGaramond"/>
            </w:pPr>
          </w:p>
          <w:p w14:paraId="4B7295C7" w14:textId="77777777" w:rsidR="003811CD" w:rsidRDefault="003811CD" w:rsidP="003B578A">
            <w:pPr>
              <w:pStyle w:val="Tabel-BrdtekstmedafstandptekstGaramond"/>
            </w:pPr>
          </w:p>
          <w:p w14:paraId="6CA15F2A" w14:textId="77777777" w:rsidR="003811CD" w:rsidRDefault="003811CD" w:rsidP="003B578A">
            <w:pPr>
              <w:pStyle w:val="Tabel-BrdtekstmedafstandptekstGaramond"/>
            </w:pPr>
          </w:p>
          <w:p w14:paraId="063A06E5" w14:textId="77777777" w:rsidR="001158CE" w:rsidRDefault="001158CE" w:rsidP="001158CE">
            <w:pPr>
              <w:ind w:left="183" w:right="305"/>
            </w:pPr>
          </w:p>
          <w:p w14:paraId="7B2745E2" w14:textId="77777777" w:rsidR="001158CE" w:rsidRDefault="001158CE" w:rsidP="001158CE">
            <w:pPr>
              <w:ind w:left="183" w:right="305"/>
            </w:pPr>
          </w:p>
          <w:p w14:paraId="2CB0D680" w14:textId="77777777" w:rsidR="001158CE" w:rsidRDefault="001158CE" w:rsidP="001158CE">
            <w:pPr>
              <w:ind w:left="183" w:right="305"/>
            </w:pPr>
          </w:p>
          <w:p w14:paraId="6A2955A8" w14:textId="0F76E847" w:rsidR="00A5459F" w:rsidRDefault="003B578A" w:rsidP="001158CE">
            <w:pPr>
              <w:ind w:left="183" w:right="305"/>
            </w:pPr>
            <w:r>
              <w:t xml:space="preserve">Forslaget implementerer </w:t>
            </w:r>
            <w:r w:rsidR="00977BCD">
              <w:t xml:space="preserve">den politiske </w:t>
            </w:r>
            <w:r>
              <w:t xml:space="preserve">aftale om </w:t>
            </w:r>
            <w:r w:rsidR="00F83B0B">
              <w:t xml:space="preserve">udfasning af hjælpepakker, stimuli-initiativer og eksportinitiativer. </w:t>
            </w:r>
          </w:p>
          <w:p w14:paraId="1BAE4138" w14:textId="77777777" w:rsidR="00A5459F" w:rsidRDefault="00A5459F" w:rsidP="001158CE">
            <w:pPr>
              <w:ind w:left="183" w:right="305"/>
            </w:pPr>
          </w:p>
          <w:p w14:paraId="5BAAFAD6" w14:textId="6CBC54F4" w:rsidR="00F83B0B" w:rsidRDefault="00A5459F" w:rsidP="001158CE">
            <w:pPr>
              <w:ind w:left="183" w:right="305"/>
            </w:pPr>
            <w:r>
              <w:t>F</w:t>
            </w:r>
            <w:r w:rsidR="003B578A">
              <w:t>orhøjelse</w:t>
            </w:r>
            <w:r>
              <w:t>n</w:t>
            </w:r>
            <w:r w:rsidR="003B578A">
              <w:t xml:space="preserve"> af virksomhedernes fradrag for udgifter forsøgs- og forskningsvirksomhed i 2020 og 2021 til 130 pct.</w:t>
            </w:r>
            <w:r>
              <w:t xml:space="preserve"> skal således medvirke til at</w:t>
            </w:r>
            <w:r w:rsidR="00F83B0B">
              <w:t xml:space="preserve"> øge virksomhedernes incitament til at investere i forskning og udvikling til gavn for danske eksporterhverv.</w:t>
            </w:r>
            <w:r>
              <w:t xml:space="preserve"> Der er tale om et målrettet, midlertidigt initiativ i en aktuel svær situation for dansk eksporterhverv som følge af </w:t>
            </w:r>
            <w:proofErr w:type="spellStart"/>
            <w:r>
              <w:t>Covid</w:t>
            </w:r>
            <w:proofErr w:type="spellEnd"/>
            <w:r>
              <w:t xml:space="preserve"> 19-krisen.</w:t>
            </w:r>
            <w:r w:rsidR="00F83B0B">
              <w:t xml:space="preserve">  </w:t>
            </w:r>
          </w:p>
          <w:p w14:paraId="05982A66" w14:textId="4965C406" w:rsidR="003B578A" w:rsidRDefault="003B578A" w:rsidP="003B578A">
            <w:pPr>
              <w:pStyle w:val="Tabel-BrdtekstmedafstandptekstGaramond"/>
            </w:pPr>
          </w:p>
          <w:p w14:paraId="78223C1D" w14:textId="77777777" w:rsidR="00E57865" w:rsidRDefault="00E57865" w:rsidP="00DC10A2">
            <w:pPr>
              <w:pStyle w:val="Tabel-BrdtekstmedafstandptekstGaramond"/>
            </w:pPr>
          </w:p>
          <w:p w14:paraId="5C2A5DE8" w14:textId="6C372262" w:rsidR="003B578A" w:rsidRPr="00B5346F" w:rsidRDefault="003B578A" w:rsidP="001158CE">
            <w:pPr>
              <w:pStyle w:val="Tabel-BrdtekstmedafstandptekstGaramond"/>
            </w:pPr>
            <w:r>
              <w:t xml:space="preserve">Det </w:t>
            </w:r>
            <w:r w:rsidR="000F6FF9">
              <w:t>indgår</w:t>
            </w:r>
            <w:r>
              <w:t xml:space="preserve"> ikke </w:t>
            </w:r>
            <w:r w:rsidR="000F6FF9">
              <w:t>i</w:t>
            </w:r>
            <w:r>
              <w:t xml:space="preserve"> den politiske aftale at indføre f</w:t>
            </w:r>
            <w:r w:rsidR="00B84121">
              <w:t>orhøjelsen</w:t>
            </w:r>
            <w:r>
              <w:t xml:space="preserve"> permanent.</w:t>
            </w:r>
          </w:p>
        </w:tc>
      </w:tr>
      <w:tr w:rsidR="00DC10A2" w:rsidRPr="00B5346F" w14:paraId="48F69B8F" w14:textId="77777777" w:rsidTr="003326BB">
        <w:tc>
          <w:tcPr>
            <w:tcW w:w="2310" w:type="dxa"/>
            <w:tcBorders>
              <w:bottom w:val="single" w:sz="4" w:space="0" w:color="D1C5C3" w:themeColor="accent3"/>
            </w:tcBorders>
            <w:shd w:val="clear" w:color="auto" w:fill="FBF9F9"/>
          </w:tcPr>
          <w:p w14:paraId="47BE80CE" w14:textId="77777777" w:rsidR="00DC10A2" w:rsidRPr="00227E73" w:rsidRDefault="00943E9C" w:rsidP="00DC10A2">
            <w:pPr>
              <w:pStyle w:val="Tabel-BrdtekstmedafstandptekstGaramond"/>
              <w:rPr>
                <w:i/>
                <w:szCs w:val="22"/>
              </w:rPr>
            </w:pPr>
            <w:r w:rsidRPr="00227E73">
              <w:rPr>
                <w:i/>
                <w:szCs w:val="22"/>
              </w:rPr>
              <w:t xml:space="preserve">Dansk Byggeri </w:t>
            </w:r>
          </w:p>
        </w:tc>
        <w:tc>
          <w:tcPr>
            <w:tcW w:w="213" w:type="dxa"/>
            <w:shd w:val="clear" w:color="auto" w:fill="FFFFFF" w:themeFill="background1"/>
          </w:tcPr>
          <w:p w14:paraId="72602F75" w14:textId="77777777" w:rsidR="00DC10A2" w:rsidRPr="00B5346F" w:rsidRDefault="00DC10A2" w:rsidP="00DC10A2"/>
        </w:tc>
        <w:tc>
          <w:tcPr>
            <w:tcW w:w="3443" w:type="dxa"/>
            <w:tcBorders>
              <w:bottom w:val="single" w:sz="4" w:space="0" w:color="D1C5C3" w:themeColor="accent3"/>
            </w:tcBorders>
            <w:shd w:val="clear" w:color="auto" w:fill="FBF9F9"/>
          </w:tcPr>
          <w:p w14:paraId="6F09866D" w14:textId="77777777" w:rsidR="00BE439D" w:rsidRPr="009D4D12" w:rsidRDefault="00BE439D" w:rsidP="00DC10A2">
            <w:pPr>
              <w:pStyle w:val="Tabel-BrdtekstmedafstandptekstGaramond"/>
              <w:rPr>
                <w:bCs/>
                <w:i/>
                <w:iCs/>
              </w:rPr>
            </w:pPr>
            <w:proofErr w:type="spellStart"/>
            <w:r w:rsidRPr="009D4D12">
              <w:rPr>
                <w:bCs/>
                <w:i/>
                <w:iCs/>
              </w:rPr>
              <w:t>FoU</w:t>
            </w:r>
            <w:proofErr w:type="spellEnd"/>
          </w:p>
          <w:p w14:paraId="5B76E53A" w14:textId="77777777" w:rsidR="00BE439D" w:rsidRDefault="00BE439D" w:rsidP="00DC10A2">
            <w:pPr>
              <w:pStyle w:val="Tabel-BrdtekstmedafstandptekstGaramond"/>
            </w:pPr>
            <w:r>
              <w:t xml:space="preserve">Dansk Byggeri henviser til høringssvar fra DI, idet organisationerne er fusioneret fra og med den 1. september 2020. </w:t>
            </w:r>
          </w:p>
          <w:p w14:paraId="7B44D5FB" w14:textId="77777777" w:rsidR="00BE439D" w:rsidRDefault="00BE439D" w:rsidP="00DC10A2">
            <w:pPr>
              <w:pStyle w:val="Tabel-BrdtekstmedafstandptekstGaramond"/>
            </w:pPr>
          </w:p>
          <w:p w14:paraId="1AD1FE50" w14:textId="77777777" w:rsidR="00BE439D" w:rsidRPr="009D4D12" w:rsidRDefault="00BE439D" w:rsidP="00DC10A2">
            <w:pPr>
              <w:pStyle w:val="Tabel-BrdtekstmedafstandptekstGaramond"/>
              <w:rPr>
                <w:bCs/>
                <w:i/>
                <w:iCs/>
              </w:rPr>
            </w:pPr>
            <w:r w:rsidRPr="009D4D12">
              <w:rPr>
                <w:bCs/>
                <w:i/>
                <w:iCs/>
              </w:rPr>
              <w:t>Forhøjelse af bundfradrag ved udlejning af fritidsboliger</w:t>
            </w:r>
          </w:p>
          <w:p w14:paraId="05160DEB" w14:textId="77777777" w:rsidR="00DC10A2" w:rsidRPr="00B5346F" w:rsidRDefault="00D5604D" w:rsidP="00DC10A2">
            <w:pPr>
              <w:pStyle w:val="Tabel-BrdtekstmedafstandptekstGaramond"/>
            </w:pPr>
            <w:r>
              <w:t>Dansk Byggeri har ingen bemærkninger.</w:t>
            </w:r>
          </w:p>
        </w:tc>
        <w:tc>
          <w:tcPr>
            <w:tcW w:w="230" w:type="dxa"/>
            <w:shd w:val="clear" w:color="auto" w:fill="FFFFFF" w:themeFill="background1"/>
          </w:tcPr>
          <w:p w14:paraId="3A20B575" w14:textId="77777777" w:rsidR="00DC10A2" w:rsidRPr="00B5346F" w:rsidRDefault="00DC10A2" w:rsidP="00DC10A2"/>
        </w:tc>
        <w:tc>
          <w:tcPr>
            <w:tcW w:w="3443" w:type="dxa"/>
            <w:tcBorders>
              <w:bottom w:val="single" w:sz="4" w:space="0" w:color="14143C" w:themeColor="accent1"/>
            </w:tcBorders>
            <w:shd w:val="clear" w:color="auto" w:fill="D2CED8"/>
          </w:tcPr>
          <w:p w14:paraId="13DE0F1E" w14:textId="77777777" w:rsidR="00DC10A2" w:rsidRPr="00B5346F" w:rsidRDefault="00DC10A2" w:rsidP="00DC10A2">
            <w:pPr>
              <w:pStyle w:val="Tabel-BrdtekstmedafstandptekstGaramond"/>
            </w:pPr>
          </w:p>
        </w:tc>
      </w:tr>
      <w:tr w:rsidR="00CA35A3" w:rsidRPr="00B5346F" w14:paraId="08552D97" w14:textId="77777777" w:rsidTr="003326BB">
        <w:tc>
          <w:tcPr>
            <w:tcW w:w="2310" w:type="dxa"/>
            <w:tcBorders>
              <w:bottom w:val="single" w:sz="4" w:space="0" w:color="D1C5C3" w:themeColor="accent3"/>
            </w:tcBorders>
            <w:shd w:val="clear" w:color="auto" w:fill="FBF9F9"/>
          </w:tcPr>
          <w:p w14:paraId="37BA967D" w14:textId="77777777" w:rsidR="00CA35A3" w:rsidRPr="00227E73" w:rsidRDefault="00410513" w:rsidP="00DC10A2">
            <w:pPr>
              <w:pStyle w:val="Tabel-BrdtekstmedafstandptekstGaramond"/>
              <w:rPr>
                <w:i/>
                <w:szCs w:val="22"/>
              </w:rPr>
            </w:pPr>
            <w:r>
              <w:rPr>
                <w:i/>
                <w:szCs w:val="22"/>
              </w:rPr>
              <w:t>Dansk Erhverv</w:t>
            </w:r>
          </w:p>
        </w:tc>
        <w:tc>
          <w:tcPr>
            <w:tcW w:w="213" w:type="dxa"/>
            <w:shd w:val="clear" w:color="auto" w:fill="FFFFFF" w:themeFill="background1"/>
          </w:tcPr>
          <w:p w14:paraId="0C2C1593" w14:textId="77777777" w:rsidR="00CA35A3" w:rsidRPr="00B5346F" w:rsidRDefault="00CA35A3" w:rsidP="00DC10A2"/>
        </w:tc>
        <w:tc>
          <w:tcPr>
            <w:tcW w:w="3443" w:type="dxa"/>
            <w:tcBorders>
              <w:bottom w:val="single" w:sz="4" w:space="0" w:color="D1C5C3" w:themeColor="accent3"/>
            </w:tcBorders>
            <w:shd w:val="clear" w:color="auto" w:fill="FBF9F9"/>
          </w:tcPr>
          <w:p w14:paraId="47D19061" w14:textId="392A617B" w:rsidR="00A032D3" w:rsidRPr="009D4D12" w:rsidRDefault="00A032D3" w:rsidP="00410513">
            <w:pPr>
              <w:pStyle w:val="Tabel-BrdtekstmedafstandptekstGaramond"/>
              <w:rPr>
                <w:bCs/>
                <w:i/>
                <w:iCs/>
                <w:szCs w:val="22"/>
              </w:rPr>
            </w:pPr>
            <w:proofErr w:type="spellStart"/>
            <w:r w:rsidRPr="009D4D12">
              <w:rPr>
                <w:bCs/>
                <w:i/>
                <w:iCs/>
                <w:szCs w:val="22"/>
              </w:rPr>
              <w:t>FoU</w:t>
            </w:r>
            <w:proofErr w:type="spellEnd"/>
          </w:p>
          <w:p w14:paraId="29EA79D6" w14:textId="24D41B65" w:rsidR="00A032D3" w:rsidRDefault="00A032D3" w:rsidP="00410513">
            <w:pPr>
              <w:pStyle w:val="Tabel-BrdtekstmedafstandptekstGaramond"/>
              <w:rPr>
                <w:szCs w:val="22"/>
              </w:rPr>
            </w:pPr>
            <w:r>
              <w:rPr>
                <w:szCs w:val="22"/>
              </w:rPr>
              <w:t xml:space="preserve">Dansk Erhverv mener, at det er meget positivt, at man fra regeringens side har fokus på at sikre bedre vilkår for forskning og udvikling, idet forskning og udvikling bidrager positivt til at fastholde højtlønnede arbejdspladser i Danmark og dermed er en væsentlig faktor til at sikre og udbygge den danske velstand og velfærd. </w:t>
            </w:r>
          </w:p>
          <w:p w14:paraId="782BC53C" w14:textId="77777777" w:rsidR="00A032D3" w:rsidRDefault="00A032D3" w:rsidP="00410513">
            <w:pPr>
              <w:pStyle w:val="Tabel-BrdtekstmedafstandptekstGaramond"/>
              <w:rPr>
                <w:szCs w:val="22"/>
              </w:rPr>
            </w:pPr>
          </w:p>
          <w:p w14:paraId="04DF4C37" w14:textId="77777777" w:rsidR="00A032D3" w:rsidRDefault="00A032D3" w:rsidP="00A032D3">
            <w:pPr>
              <w:pStyle w:val="Tabel-BrdtekstmedafstandptekstGaramond"/>
              <w:rPr>
                <w:szCs w:val="22"/>
              </w:rPr>
            </w:pPr>
            <w:r>
              <w:rPr>
                <w:szCs w:val="22"/>
              </w:rPr>
              <w:t xml:space="preserve">Dansk Erhverv mener derudover, at det forhøjede fradrag for forsøgs- og forskningsvirksomhed bør gøres permanent og grænsen for det højere fradrag bør forhøjes, så det omfatter al forskning og udvikling. </w:t>
            </w:r>
          </w:p>
          <w:p w14:paraId="710B265F" w14:textId="77777777" w:rsidR="00A032D3" w:rsidRDefault="00A032D3" w:rsidP="00A032D3">
            <w:pPr>
              <w:pStyle w:val="Tabel-BrdtekstmedafstandptekstGaramond"/>
              <w:rPr>
                <w:szCs w:val="22"/>
              </w:rPr>
            </w:pPr>
          </w:p>
          <w:p w14:paraId="34DCA671" w14:textId="4E349F11" w:rsidR="00A032D3" w:rsidRDefault="00E73E54" w:rsidP="00A032D3">
            <w:pPr>
              <w:pStyle w:val="Tabel-BrdtekstmedafstandptekstGaramond"/>
              <w:rPr>
                <w:szCs w:val="22"/>
              </w:rPr>
            </w:pPr>
            <w:r>
              <w:rPr>
                <w:szCs w:val="22"/>
              </w:rPr>
              <w:t xml:space="preserve">Dansk Erhverv mener, at med den markante forhøjelse af fradraget for udgifter til forsøgs- og forskningsvirksomhed, må man forvente, at flere virksomheder vil benytte sig af fradragsmuligheden. </w:t>
            </w:r>
          </w:p>
          <w:p w14:paraId="53C72E8F" w14:textId="77777777" w:rsidR="00E73E54" w:rsidRDefault="00E73E54" w:rsidP="00A032D3">
            <w:pPr>
              <w:pStyle w:val="Tabel-BrdtekstmedafstandptekstGaramond"/>
              <w:rPr>
                <w:szCs w:val="22"/>
              </w:rPr>
            </w:pPr>
          </w:p>
          <w:p w14:paraId="5A7D74F8" w14:textId="19F111A7" w:rsidR="006E1E3E" w:rsidRDefault="00E73E54" w:rsidP="008A6B8B">
            <w:pPr>
              <w:pStyle w:val="Tabel-BrdtekstmedafstandptekstGaramond"/>
              <w:rPr>
                <w:szCs w:val="22"/>
              </w:rPr>
            </w:pPr>
            <w:r>
              <w:rPr>
                <w:szCs w:val="22"/>
              </w:rPr>
              <w:t xml:space="preserve">Dansk Erhverv </w:t>
            </w:r>
            <w:r w:rsidR="006E1E3E">
              <w:rPr>
                <w:szCs w:val="22"/>
              </w:rPr>
              <w:t xml:space="preserve">henviser til, at det er svært at finde klare definitioner på, hvad der er omfattet af fradraget for </w:t>
            </w:r>
            <w:r w:rsidR="00A07CB1">
              <w:rPr>
                <w:szCs w:val="22"/>
              </w:rPr>
              <w:t>forsøgs- og forskningsvirksomhed</w:t>
            </w:r>
            <w:r>
              <w:rPr>
                <w:szCs w:val="22"/>
              </w:rPr>
              <w:t>.</w:t>
            </w:r>
            <w:r w:rsidR="006E1E3E">
              <w:rPr>
                <w:szCs w:val="22"/>
              </w:rPr>
              <w:t xml:space="preserve"> Dansk Erhverv opfordrer derfor til i forbindelse med lovbehandlingen af give klare definitioner af, hvad der er omfattet, og hvad der ikke er omfattet. </w:t>
            </w:r>
          </w:p>
          <w:p w14:paraId="15B2B742" w14:textId="77777777" w:rsidR="006E1E3E" w:rsidRDefault="006E1E3E" w:rsidP="008A6B8B">
            <w:pPr>
              <w:pStyle w:val="Tabel-BrdtekstmedafstandptekstGaramond"/>
              <w:rPr>
                <w:szCs w:val="22"/>
              </w:rPr>
            </w:pPr>
          </w:p>
          <w:p w14:paraId="0114AD09" w14:textId="6C77623F" w:rsidR="00E73E54" w:rsidRDefault="006E1E3E" w:rsidP="007E1014">
            <w:pPr>
              <w:pStyle w:val="Tabel-BrdtekstmedafstandptekstGaramond"/>
              <w:rPr>
                <w:szCs w:val="22"/>
              </w:rPr>
            </w:pPr>
            <w:r>
              <w:rPr>
                <w:szCs w:val="22"/>
              </w:rPr>
              <w:t xml:space="preserve">I den forbindelse </w:t>
            </w:r>
            <w:r w:rsidR="00E73E54">
              <w:rPr>
                <w:szCs w:val="22"/>
              </w:rPr>
              <w:t>opstiller Dansk Erhverv en række</w:t>
            </w:r>
            <w:r w:rsidR="00A07CB1">
              <w:rPr>
                <w:szCs w:val="22"/>
              </w:rPr>
              <w:t xml:space="preserve"> konkrete</w:t>
            </w:r>
            <w:r w:rsidR="00E73E54">
              <w:rPr>
                <w:szCs w:val="22"/>
              </w:rPr>
              <w:t xml:space="preserve"> eksempler</w:t>
            </w:r>
            <w:r>
              <w:rPr>
                <w:szCs w:val="22"/>
              </w:rPr>
              <w:t xml:space="preserve"> og </w:t>
            </w:r>
            <w:r w:rsidR="00E73E54">
              <w:rPr>
                <w:szCs w:val="22"/>
              </w:rPr>
              <w:t xml:space="preserve">opfordrer til, at </w:t>
            </w:r>
            <w:r>
              <w:rPr>
                <w:szCs w:val="22"/>
              </w:rPr>
              <w:t>disse</w:t>
            </w:r>
            <w:r w:rsidR="00E73E54">
              <w:rPr>
                <w:szCs w:val="22"/>
              </w:rPr>
              <w:t xml:space="preserve"> og andre lignende situationer afklares i forbindelse med lovbehandlingen, så lovforslaget ikke fører til langvarig tvist og afklaringer via bindende svar eller lignende. </w:t>
            </w:r>
          </w:p>
          <w:p w14:paraId="17DB04B1" w14:textId="09B7A028" w:rsidR="00BE30BE" w:rsidRDefault="00BE30BE" w:rsidP="00E73E54">
            <w:pPr>
              <w:pStyle w:val="Tabel-BrdtekstmedafstandptekstGaramond"/>
              <w:rPr>
                <w:szCs w:val="22"/>
              </w:rPr>
            </w:pPr>
          </w:p>
          <w:p w14:paraId="6487CB30" w14:textId="26E1B098" w:rsidR="00706FFA" w:rsidRDefault="00706FFA" w:rsidP="00E73E54">
            <w:pPr>
              <w:pStyle w:val="Tabel-BrdtekstmedafstandptekstGaramond"/>
              <w:rPr>
                <w:szCs w:val="22"/>
              </w:rPr>
            </w:pPr>
          </w:p>
          <w:p w14:paraId="3B408778" w14:textId="640F7846" w:rsidR="00706FFA" w:rsidRDefault="00706FFA" w:rsidP="00E73E54">
            <w:pPr>
              <w:pStyle w:val="Tabel-BrdtekstmedafstandptekstGaramond"/>
              <w:rPr>
                <w:szCs w:val="22"/>
              </w:rPr>
            </w:pPr>
          </w:p>
          <w:p w14:paraId="4085F6E9" w14:textId="203608C1" w:rsidR="00706FFA" w:rsidRDefault="00706FFA" w:rsidP="00E73E54">
            <w:pPr>
              <w:pStyle w:val="Tabel-BrdtekstmedafstandptekstGaramond"/>
              <w:rPr>
                <w:szCs w:val="22"/>
              </w:rPr>
            </w:pPr>
          </w:p>
          <w:p w14:paraId="53FA9680" w14:textId="7A4EC881" w:rsidR="00706FFA" w:rsidRDefault="00706FFA" w:rsidP="00E73E54">
            <w:pPr>
              <w:pStyle w:val="Tabel-BrdtekstmedafstandptekstGaramond"/>
              <w:rPr>
                <w:szCs w:val="22"/>
              </w:rPr>
            </w:pPr>
          </w:p>
          <w:p w14:paraId="3B6EEFBB" w14:textId="3BE2075B" w:rsidR="00706FFA" w:rsidRDefault="00706FFA" w:rsidP="00E73E54">
            <w:pPr>
              <w:pStyle w:val="Tabel-BrdtekstmedafstandptekstGaramond"/>
              <w:rPr>
                <w:szCs w:val="22"/>
              </w:rPr>
            </w:pPr>
          </w:p>
          <w:p w14:paraId="6940FA8F" w14:textId="51DD5D99" w:rsidR="00706FFA" w:rsidRDefault="00706FFA" w:rsidP="00E73E54">
            <w:pPr>
              <w:pStyle w:val="Tabel-BrdtekstmedafstandptekstGaramond"/>
              <w:rPr>
                <w:szCs w:val="22"/>
              </w:rPr>
            </w:pPr>
          </w:p>
          <w:p w14:paraId="345C94D8" w14:textId="17B561E2" w:rsidR="008A6B8B" w:rsidRDefault="008A6B8B" w:rsidP="00E73E54">
            <w:pPr>
              <w:pStyle w:val="Tabel-BrdtekstmedafstandptekstGaramond"/>
              <w:rPr>
                <w:szCs w:val="22"/>
              </w:rPr>
            </w:pPr>
          </w:p>
          <w:p w14:paraId="2478DAB8" w14:textId="006AE3BA" w:rsidR="008A6B8B" w:rsidRDefault="008A6B8B" w:rsidP="00E73E54">
            <w:pPr>
              <w:pStyle w:val="Tabel-BrdtekstmedafstandptekstGaramond"/>
              <w:rPr>
                <w:szCs w:val="22"/>
              </w:rPr>
            </w:pPr>
          </w:p>
          <w:p w14:paraId="1FAF191C" w14:textId="38E24485" w:rsidR="008A6B8B" w:rsidRDefault="008A6B8B" w:rsidP="00E73E54">
            <w:pPr>
              <w:pStyle w:val="Tabel-BrdtekstmedafstandptekstGaramond"/>
              <w:rPr>
                <w:szCs w:val="22"/>
              </w:rPr>
            </w:pPr>
          </w:p>
          <w:p w14:paraId="5B6B782F" w14:textId="3F509D8E" w:rsidR="008A6B8B" w:rsidRDefault="008A6B8B" w:rsidP="00E73E54">
            <w:pPr>
              <w:pStyle w:val="Tabel-BrdtekstmedafstandptekstGaramond"/>
              <w:rPr>
                <w:szCs w:val="22"/>
              </w:rPr>
            </w:pPr>
          </w:p>
          <w:p w14:paraId="12B91440" w14:textId="0ADC14C5" w:rsidR="008A6B8B" w:rsidRDefault="008A6B8B" w:rsidP="00E73E54">
            <w:pPr>
              <w:pStyle w:val="Tabel-BrdtekstmedafstandptekstGaramond"/>
              <w:rPr>
                <w:szCs w:val="22"/>
              </w:rPr>
            </w:pPr>
          </w:p>
          <w:p w14:paraId="3815703B" w14:textId="564F2988" w:rsidR="008A6B8B" w:rsidRDefault="008A6B8B" w:rsidP="00E73E54">
            <w:pPr>
              <w:pStyle w:val="Tabel-BrdtekstmedafstandptekstGaramond"/>
              <w:rPr>
                <w:szCs w:val="22"/>
              </w:rPr>
            </w:pPr>
          </w:p>
          <w:p w14:paraId="35F931B4" w14:textId="46B876E0" w:rsidR="008A6B8B" w:rsidRDefault="008A6B8B" w:rsidP="00E73E54">
            <w:pPr>
              <w:pStyle w:val="Tabel-BrdtekstmedafstandptekstGaramond"/>
              <w:rPr>
                <w:szCs w:val="22"/>
              </w:rPr>
            </w:pPr>
          </w:p>
          <w:p w14:paraId="2DB54E89" w14:textId="62B15228" w:rsidR="008A6B8B" w:rsidRDefault="008A6B8B" w:rsidP="00E73E54">
            <w:pPr>
              <w:pStyle w:val="Tabel-BrdtekstmedafstandptekstGaramond"/>
              <w:rPr>
                <w:szCs w:val="22"/>
              </w:rPr>
            </w:pPr>
          </w:p>
          <w:p w14:paraId="47A9A0B9" w14:textId="19AB7752" w:rsidR="008A6B8B" w:rsidRDefault="008A6B8B" w:rsidP="00E73E54">
            <w:pPr>
              <w:pStyle w:val="Tabel-BrdtekstmedafstandptekstGaramond"/>
              <w:rPr>
                <w:szCs w:val="22"/>
              </w:rPr>
            </w:pPr>
          </w:p>
          <w:p w14:paraId="620D5423" w14:textId="11F46C30" w:rsidR="008A6B8B" w:rsidRDefault="008A6B8B" w:rsidP="00E73E54">
            <w:pPr>
              <w:pStyle w:val="Tabel-BrdtekstmedafstandptekstGaramond"/>
              <w:rPr>
                <w:szCs w:val="22"/>
              </w:rPr>
            </w:pPr>
          </w:p>
          <w:p w14:paraId="68E7233C" w14:textId="3AF1C869" w:rsidR="008A6B8B" w:rsidRDefault="008A6B8B" w:rsidP="00E73E54">
            <w:pPr>
              <w:pStyle w:val="Tabel-BrdtekstmedafstandptekstGaramond"/>
              <w:rPr>
                <w:szCs w:val="22"/>
              </w:rPr>
            </w:pPr>
          </w:p>
          <w:p w14:paraId="68A235D0" w14:textId="60C86BCF" w:rsidR="008A6B8B" w:rsidRDefault="008A6B8B" w:rsidP="00E73E54">
            <w:pPr>
              <w:pStyle w:val="Tabel-BrdtekstmedafstandptekstGaramond"/>
              <w:rPr>
                <w:szCs w:val="22"/>
              </w:rPr>
            </w:pPr>
          </w:p>
          <w:p w14:paraId="03DCC5AF" w14:textId="1D598181" w:rsidR="008A6B8B" w:rsidRDefault="008A6B8B" w:rsidP="00E73E54">
            <w:pPr>
              <w:pStyle w:val="Tabel-BrdtekstmedafstandptekstGaramond"/>
              <w:rPr>
                <w:szCs w:val="22"/>
              </w:rPr>
            </w:pPr>
          </w:p>
          <w:p w14:paraId="0DC9EA10" w14:textId="5CD2CDD7" w:rsidR="008A6B8B" w:rsidRDefault="008A6B8B" w:rsidP="00E73E54">
            <w:pPr>
              <w:pStyle w:val="Tabel-BrdtekstmedafstandptekstGaramond"/>
              <w:rPr>
                <w:szCs w:val="22"/>
              </w:rPr>
            </w:pPr>
          </w:p>
          <w:p w14:paraId="1E2FA64C" w14:textId="561D665D" w:rsidR="008A6B8B" w:rsidRDefault="008A6B8B" w:rsidP="00E73E54">
            <w:pPr>
              <w:pStyle w:val="Tabel-BrdtekstmedafstandptekstGaramond"/>
              <w:rPr>
                <w:szCs w:val="22"/>
              </w:rPr>
            </w:pPr>
          </w:p>
          <w:p w14:paraId="40ECE556" w14:textId="758658EE" w:rsidR="008A6B8B" w:rsidRDefault="008A6B8B" w:rsidP="00E73E54">
            <w:pPr>
              <w:pStyle w:val="Tabel-BrdtekstmedafstandptekstGaramond"/>
              <w:rPr>
                <w:szCs w:val="22"/>
              </w:rPr>
            </w:pPr>
          </w:p>
          <w:p w14:paraId="3E0E8BE3" w14:textId="094D172A" w:rsidR="008A6B8B" w:rsidRDefault="008A6B8B" w:rsidP="00E73E54">
            <w:pPr>
              <w:pStyle w:val="Tabel-BrdtekstmedafstandptekstGaramond"/>
              <w:rPr>
                <w:szCs w:val="22"/>
              </w:rPr>
            </w:pPr>
          </w:p>
          <w:p w14:paraId="6D7E528A" w14:textId="5E91802D" w:rsidR="008A6B8B" w:rsidRDefault="008A6B8B" w:rsidP="00E73E54">
            <w:pPr>
              <w:pStyle w:val="Tabel-BrdtekstmedafstandptekstGaramond"/>
              <w:rPr>
                <w:szCs w:val="22"/>
              </w:rPr>
            </w:pPr>
          </w:p>
          <w:p w14:paraId="0EEF1FFC" w14:textId="2610F800" w:rsidR="008A6B8B" w:rsidRDefault="008A6B8B" w:rsidP="00E73E54">
            <w:pPr>
              <w:pStyle w:val="Tabel-BrdtekstmedafstandptekstGaramond"/>
              <w:rPr>
                <w:szCs w:val="22"/>
              </w:rPr>
            </w:pPr>
          </w:p>
          <w:p w14:paraId="7406D5E3" w14:textId="2C332DBE" w:rsidR="008A6B8B" w:rsidRDefault="008A6B8B" w:rsidP="00E73E54">
            <w:pPr>
              <w:pStyle w:val="Tabel-BrdtekstmedafstandptekstGaramond"/>
              <w:rPr>
                <w:szCs w:val="22"/>
              </w:rPr>
            </w:pPr>
          </w:p>
          <w:p w14:paraId="426E9695" w14:textId="5DC11154" w:rsidR="008A6B8B" w:rsidRDefault="008A6B8B" w:rsidP="00E73E54">
            <w:pPr>
              <w:pStyle w:val="Tabel-BrdtekstmedafstandptekstGaramond"/>
              <w:rPr>
                <w:szCs w:val="22"/>
              </w:rPr>
            </w:pPr>
          </w:p>
          <w:p w14:paraId="52C2B3E8" w14:textId="51476833" w:rsidR="008A6B8B" w:rsidRDefault="008A6B8B" w:rsidP="00E73E54">
            <w:pPr>
              <w:pStyle w:val="Tabel-BrdtekstmedafstandptekstGaramond"/>
              <w:rPr>
                <w:szCs w:val="22"/>
              </w:rPr>
            </w:pPr>
          </w:p>
          <w:p w14:paraId="3B753B34" w14:textId="0B4C7E66" w:rsidR="008A6B8B" w:rsidRDefault="008A6B8B" w:rsidP="00E73E54">
            <w:pPr>
              <w:pStyle w:val="Tabel-BrdtekstmedafstandptekstGaramond"/>
              <w:rPr>
                <w:szCs w:val="22"/>
              </w:rPr>
            </w:pPr>
          </w:p>
          <w:p w14:paraId="1099C814" w14:textId="6B5383C1" w:rsidR="00632BC4" w:rsidRDefault="00632BC4" w:rsidP="00E73E54">
            <w:pPr>
              <w:pStyle w:val="Tabel-BrdtekstmedafstandptekstGaramond"/>
              <w:rPr>
                <w:szCs w:val="22"/>
              </w:rPr>
            </w:pPr>
          </w:p>
          <w:p w14:paraId="7DF2668A" w14:textId="5047A26A" w:rsidR="00632BC4" w:rsidRDefault="00632BC4" w:rsidP="00E73E54">
            <w:pPr>
              <w:pStyle w:val="Tabel-BrdtekstmedafstandptekstGaramond"/>
              <w:rPr>
                <w:szCs w:val="22"/>
              </w:rPr>
            </w:pPr>
          </w:p>
          <w:p w14:paraId="672EA628" w14:textId="77777777" w:rsidR="00632BC4" w:rsidRDefault="00632BC4" w:rsidP="00E73E54">
            <w:pPr>
              <w:pStyle w:val="Tabel-BrdtekstmedafstandptekstGaramond"/>
              <w:rPr>
                <w:szCs w:val="22"/>
              </w:rPr>
            </w:pPr>
          </w:p>
          <w:p w14:paraId="7DF0826A" w14:textId="4DF3DDF2" w:rsidR="008A6B8B" w:rsidRDefault="008A6B8B" w:rsidP="00E73E54">
            <w:pPr>
              <w:pStyle w:val="Tabel-BrdtekstmedafstandptekstGaramond"/>
              <w:rPr>
                <w:szCs w:val="22"/>
              </w:rPr>
            </w:pPr>
          </w:p>
          <w:p w14:paraId="1F967AFC" w14:textId="77777777" w:rsidR="008A6B8B" w:rsidRDefault="008A6B8B" w:rsidP="00E73E54">
            <w:pPr>
              <w:pStyle w:val="Tabel-BrdtekstmedafstandptekstGaramond"/>
              <w:rPr>
                <w:szCs w:val="22"/>
              </w:rPr>
            </w:pPr>
          </w:p>
          <w:p w14:paraId="7C9FAE9E" w14:textId="5C5ED5C7" w:rsidR="00706FFA" w:rsidRDefault="00706FFA" w:rsidP="00E73E54">
            <w:pPr>
              <w:pStyle w:val="Tabel-BrdtekstmedafstandptekstGaramond"/>
              <w:rPr>
                <w:szCs w:val="22"/>
              </w:rPr>
            </w:pPr>
          </w:p>
          <w:p w14:paraId="3D3C1706" w14:textId="77777777" w:rsidR="00706FFA" w:rsidRDefault="00706FFA" w:rsidP="00E73E54">
            <w:pPr>
              <w:pStyle w:val="Tabel-BrdtekstmedafstandptekstGaramond"/>
              <w:rPr>
                <w:szCs w:val="22"/>
              </w:rPr>
            </w:pPr>
          </w:p>
          <w:p w14:paraId="484FAF9D" w14:textId="32A29C59" w:rsidR="00BE30BE" w:rsidRDefault="006A1588" w:rsidP="00E73E54">
            <w:pPr>
              <w:pStyle w:val="Tabel-BrdtekstmedafstandptekstGaramond"/>
              <w:rPr>
                <w:szCs w:val="22"/>
              </w:rPr>
            </w:pPr>
            <w:r>
              <w:rPr>
                <w:szCs w:val="22"/>
              </w:rPr>
              <w:t xml:space="preserve">Dansk Erhverv mener, at det </w:t>
            </w:r>
            <w:r w:rsidR="001158CE">
              <w:rPr>
                <w:szCs w:val="22"/>
              </w:rPr>
              <w:t xml:space="preserve">er uhensigtsmæssigt, at det </w:t>
            </w:r>
            <w:r>
              <w:rPr>
                <w:szCs w:val="22"/>
              </w:rPr>
              <w:t>foreslåede loft over udgifter</w:t>
            </w:r>
            <w:r w:rsidR="00B84121">
              <w:rPr>
                <w:szCs w:val="22"/>
              </w:rPr>
              <w:t>,</w:t>
            </w:r>
            <w:r>
              <w:rPr>
                <w:szCs w:val="22"/>
              </w:rPr>
              <w:t xml:space="preserve"> der kan fradrages efter reglerne om forsøgs- og forskningsvirksomhed på 50 mio. kr. (skatteværdien)</w:t>
            </w:r>
            <w:r w:rsidR="00B84121">
              <w:rPr>
                <w:szCs w:val="22"/>
              </w:rPr>
              <w:t>,</w:t>
            </w:r>
            <w:r>
              <w:rPr>
                <w:szCs w:val="22"/>
              </w:rPr>
              <w:t xml:space="preserve"> </w:t>
            </w:r>
            <w:r w:rsidR="001158CE">
              <w:rPr>
                <w:szCs w:val="22"/>
              </w:rPr>
              <w:t xml:space="preserve">foreslås </w:t>
            </w:r>
            <w:r>
              <w:rPr>
                <w:szCs w:val="22"/>
              </w:rPr>
              <w:t>begræns</w:t>
            </w:r>
            <w:r w:rsidR="006E1E3E">
              <w:rPr>
                <w:szCs w:val="22"/>
              </w:rPr>
              <w:t>et</w:t>
            </w:r>
            <w:r w:rsidR="001158CE">
              <w:rPr>
                <w:szCs w:val="22"/>
              </w:rPr>
              <w:t xml:space="preserve"> til</w:t>
            </w:r>
            <w:r>
              <w:rPr>
                <w:szCs w:val="22"/>
              </w:rPr>
              <w:t xml:space="preserve"> at finde anvendelse på koncernniveau. </w:t>
            </w:r>
          </w:p>
          <w:p w14:paraId="619E0144" w14:textId="77777777" w:rsidR="006A1588" w:rsidRDefault="006A1588" w:rsidP="00E73E54">
            <w:pPr>
              <w:pStyle w:val="Tabel-BrdtekstmedafstandptekstGaramond"/>
              <w:rPr>
                <w:szCs w:val="22"/>
              </w:rPr>
            </w:pPr>
          </w:p>
          <w:p w14:paraId="075E98D6" w14:textId="3150FE2D" w:rsidR="00E73E54" w:rsidRDefault="006A1588" w:rsidP="006A1588">
            <w:pPr>
              <w:pStyle w:val="Tabel-BrdtekstmedafstandptekstGaramond"/>
              <w:rPr>
                <w:szCs w:val="22"/>
              </w:rPr>
            </w:pPr>
            <w:r>
              <w:rPr>
                <w:szCs w:val="22"/>
              </w:rPr>
              <w:t xml:space="preserve">Dansk Erhverv anbefaler </w:t>
            </w:r>
            <w:r w:rsidR="001158CE">
              <w:rPr>
                <w:szCs w:val="22"/>
              </w:rPr>
              <w:t>derfor</w:t>
            </w:r>
            <w:r>
              <w:rPr>
                <w:szCs w:val="22"/>
              </w:rPr>
              <w:t xml:space="preserve">, at loftet over fradraget beregnes på selskabsniveau og ikke på koncernniveau. </w:t>
            </w:r>
          </w:p>
          <w:p w14:paraId="70B03827" w14:textId="77777777" w:rsidR="006A1588" w:rsidRDefault="006A1588" w:rsidP="006A1588">
            <w:pPr>
              <w:pStyle w:val="Tabel-BrdtekstmedafstandptekstGaramond"/>
              <w:rPr>
                <w:szCs w:val="22"/>
              </w:rPr>
            </w:pPr>
          </w:p>
          <w:p w14:paraId="6D9CCA24" w14:textId="77777777" w:rsidR="00A032D3" w:rsidRDefault="00A032D3" w:rsidP="00410513">
            <w:pPr>
              <w:pStyle w:val="Tabel-BrdtekstmedafstandptekstGaramond"/>
              <w:rPr>
                <w:szCs w:val="22"/>
              </w:rPr>
            </w:pPr>
          </w:p>
          <w:p w14:paraId="71DFFFEB" w14:textId="5A3E0870" w:rsidR="001158CE" w:rsidRDefault="001158CE" w:rsidP="00410513">
            <w:pPr>
              <w:pStyle w:val="Tabel-BrdtekstmedafstandptekstGaramond"/>
              <w:rPr>
                <w:szCs w:val="22"/>
              </w:rPr>
            </w:pPr>
          </w:p>
          <w:p w14:paraId="18D68D4D" w14:textId="77777777" w:rsidR="00632BC4" w:rsidRDefault="00632BC4" w:rsidP="00410513">
            <w:pPr>
              <w:pStyle w:val="Tabel-BrdtekstmedafstandptekstGaramond"/>
              <w:rPr>
                <w:szCs w:val="22"/>
              </w:rPr>
            </w:pPr>
          </w:p>
          <w:p w14:paraId="3969DC26" w14:textId="77777777" w:rsidR="001158CE" w:rsidRDefault="001158CE" w:rsidP="00410513">
            <w:pPr>
              <w:pStyle w:val="Tabel-BrdtekstmedafstandptekstGaramond"/>
              <w:rPr>
                <w:szCs w:val="22"/>
              </w:rPr>
            </w:pPr>
          </w:p>
          <w:p w14:paraId="0F97AE3B" w14:textId="7ABA05E6" w:rsidR="00882952" w:rsidRDefault="00882952" w:rsidP="00410513">
            <w:pPr>
              <w:pStyle w:val="Tabel-BrdtekstmedafstandptekstGaramond"/>
              <w:rPr>
                <w:szCs w:val="22"/>
              </w:rPr>
            </w:pPr>
          </w:p>
          <w:p w14:paraId="4D8146E2" w14:textId="77777777" w:rsidR="004876C9" w:rsidRDefault="004876C9" w:rsidP="00410513">
            <w:pPr>
              <w:pStyle w:val="Tabel-BrdtekstmedafstandptekstGaramond"/>
              <w:rPr>
                <w:szCs w:val="22"/>
              </w:rPr>
            </w:pPr>
          </w:p>
          <w:p w14:paraId="4903BC90" w14:textId="77777777" w:rsidR="00882952" w:rsidRPr="00A032D3" w:rsidRDefault="00882952" w:rsidP="00410513">
            <w:pPr>
              <w:pStyle w:val="Tabel-BrdtekstmedafstandptekstGaramond"/>
              <w:rPr>
                <w:szCs w:val="22"/>
              </w:rPr>
            </w:pPr>
          </w:p>
          <w:p w14:paraId="4D9CB579" w14:textId="3ECC2814" w:rsidR="00A032D3" w:rsidRPr="009D4D12" w:rsidRDefault="00A032D3" w:rsidP="00410513">
            <w:pPr>
              <w:pStyle w:val="Tabel-BrdtekstmedafstandptekstGaramond"/>
              <w:rPr>
                <w:bCs/>
                <w:i/>
                <w:iCs/>
                <w:szCs w:val="22"/>
              </w:rPr>
            </w:pPr>
            <w:r w:rsidRPr="009D4D12">
              <w:rPr>
                <w:bCs/>
                <w:i/>
                <w:iCs/>
                <w:szCs w:val="22"/>
              </w:rPr>
              <w:t>Forhøjelse af bundfradrag ved udlejning af fritidsboliger</w:t>
            </w:r>
          </w:p>
          <w:p w14:paraId="12446BEA" w14:textId="77777777" w:rsidR="00410513" w:rsidRDefault="00410513" w:rsidP="00410513">
            <w:pPr>
              <w:pStyle w:val="Tabel-BrdtekstmedafstandptekstGaramond"/>
              <w:rPr>
                <w:szCs w:val="22"/>
              </w:rPr>
            </w:pPr>
            <w:r w:rsidRPr="00410513">
              <w:rPr>
                <w:szCs w:val="22"/>
              </w:rPr>
              <w:t>Dansk Erhverv støtter forhøjelsen af det skattefrie bundfradrag for sommerhusudlejere fra 41.800 kr. til 60.000 kr. i 2020.</w:t>
            </w:r>
          </w:p>
          <w:p w14:paraId="65ECBCBB" w14:textId="77777777" w:rsidR="00410513" w:rsidRDefault="00410513" w:rsidP="00410513">
            <w:pPr>
              <w:pStyle w:val="Tabel-BrdtekstmedafstandptekstGaramond"/>
              <w:rPr>
                <w:szCs w:val="22"/>
              </w:rPr>
            </w:pPr>
          </w:p>
          <w:p w14:paraId="46115223" w14:textId="3B00EAA5" w:rsidR="00410513" w:rsidRDefault="00410513" w:rsidP="00410513">
            <w:pPr>
              <w:pStyle w:val="Tabel-BrdtekstmedafstandptekstGaramond"/>
              <w:rPr>
                <w:szCs w:val="22"/>
              </w:rPr>
            </w:pPr>
            <w:r w:rsidRPr="00410513">
              <w:rPr>
                <w:szCs w:val="22"/>
              </w:rPr>
              <w:t xml:space="preserve">Forhøjelsen af bundfradraget i 2020 vil </w:t>
            </w:r>
            <w:r w:rsidR="00050012">
              <w:rPr>
                <w:szCs w:val="22"/>
              </w:rPr>
              <w:t xml:space="preserve">ifølge Dansk Erhverv </w:t>
            </w:r>
            <w:r w:rsidRPr="00410513">
              <w:rPr>
                <w:szCs w:val="22"/>
              </w:rPr>
              <w:t>begrænse sommerhusejernes tab forårsaget af Covid19 og grænselukningen og vil samtidig motivere flere sommerhusejere til udlejning.</w:t>
            </w:r>
          </w:p>
          <w:p w14:paraId="2188DA64" w14:textId="77777777" w:rsidR="00410513" w:rsidRDefault="00410513" w:rsidP="00410513">
            <w:pPr>
              <w:pStyle w:val="Tabel-BrdtekstmedafstandptekstGaramond"/>
              <w:rPr>
                <w:szCs w:val="22"/>
              </w:rPr>
            </w:pPr>
          </w:p>
          <w:p w14:paraId="1A2EE15B" w14:textId="23B5C6A0" w:rsidR="00410513" w:rsidRPr="000F27FA" w:rsidRDefault="00410513" w:rsidP="00410513">
            <w:pPr>
              <w:pStyle w:val="Tabel-BrdtekstmedafstandptekstGaramond"/>
              <w:rPr>
                <w:rFonts w:cs="Arial"/>
                <w:color w:val="000000" w:themeColor="text1"/>
                <w:szCs w:val="22"/>
              </w:rPr>
            </w:pPr>
            <w:r w:rsidRPr="00410513">
              <w:rPr>
                <w:szCs w:val="22"/>
              </w:rPr>
              <w:t xml:space="preserve">Dansk Erhverv er </w:t>
            </w:r>
            <w:r w:rsidR="009D6B9D" w:rsidRPr="00410513">
              <w:rPr>
                <w:szCs w:val="22"/>
              </w:rPr>
              <w:t>desuden</w:t>
            </w:r>
            <w:r w:rsidRPr="00410513">
              <w:rPr>
                <w:szCs w:val="22"/>
              </w:rPr>
              <w:t xml:space="preserve"> fortaler for</w:t>
            </w:r>
            <w:r w:rsidR="00050012">
              <w:rPr>
                <w:szCs w:val="22"/>
              </w:rPr>
              <w:t>,</w:t>
            </w:r>
            <w:r w:rsidRPr="00410513">
              <w:rPr>
                <w:szCs w:val="22"/>
              </w:rPr>
              <w:t xml:space="preserve"> at forhøjelsen af bundfradraget forlænges ind i 2021.</w:t>
            </w:r>
          </w:p>
        </w:tc>
        <w:tc>
          <w:tcPr>
            <w:tcW w:w="230" w:type="dxa"/>
            <w:shd w:val="clear" w:color="auto" w:fill="FFFFFF" w:themeFill="background1"/>
          </w:tcPr>
          <w:p w14:paraId="13882E49" w14:textId="77777777" w:rsidR="00CA35A3" w:rsidRPr="00B5346F" w:rsidRDefault="00CA35A3" w:rsidP="00DC10A2"/>
        </w:tc>
        <w:tc>
          <w:tcPr>
            <w:tcW w:w="3443" w:type="dxa"/>
            <w:tcBorders>
              <w:bottom w:val="single" w:sz="4" w:space="0" w:color="14143C" w:themeColor="accent1"/>
            </w:tcBorders>
            <w:shd w:val="clear" w:color="auto" w:fill="D2CED8"/>
          </w:tcPr>
          <w:p w14:paraId="6A647245" w14:textId="77777777" w:rsidR="00CA35A3" w:rsidRDefault="00CA35A3" w:rsidP="00DC10A2">
            <w:pPr>
              <w:pStyle w:val="Tabel-BrdtekstmedafstandptekstGaramond"/>
            </w:pPr>
          </w:p>
          <w:p w14:paraId="2A80B369" w14:textId="77777777" w:rsidR="00410513" w:rsidRDefault="00410513" w:rsidP="00DC10A2">
            <w:pPr>
              <w:pStyle w:val="Tabel-BrdtekstmedafstandptekstGaramond"/>
            </w:pPr>
          </w:p>
          <w:p w14:paraId="266F7DAA" w14:textId="77777777" w:rsidR="00410513" w:rsidRDefault="00410513" w:rsidP="00DC10A2">
            <w:pPr>
              <w:pStyle w:val="Tabel-BrdtekstmedafstandptekstGaramond"/>
            </w:pPr>
          </w:p>
          <w:p w14:paraId="1E34B748" w14:textId="77777777" w:rsidR="00410513" w:rsidRDefault="00410513" w:rsidP="00DC10A2">
            <w:pPr>
              <w:pStyle w:val="Tabel-BrdtekstmedafstandptekstGaramond"/>
            </w:pPr>
          </w:p>
          <w:p w14:paraId="6767F46F" w14:textId="77777777" w:rsidR="00410513" w:rsidRDefault="00410513" w:rsidP="00DC10A2">
            <w:pPr>
              <w:pStyle w:val="Tabel-BrdtekstmedafstandptekstGaramond"/>
            </w:pPr>
          </w:p>
          <w:p w14:paraId="1A1937C5" w14:textId="77777777" w:rsidR="00410513" w:rsidRDefault="00410513" w:rsidP="00DC10A2">
            <w:pPr>
              <w:pStyle w:val="Tabel-BrdtekstmedafstandptekstGaramond"/>
            </w:pPr>
          </w:p>
          <w:p w14:paraId="547D3431" w14:textId="77777777" w:rsidR="00410513" w:rsidRDefault="00410513" w:rsidP="00DC10A2">
            <w:pPr>
              <w:pStyle w:val="Tabel-BrdtekstmedafstandptekstGaramond"/>
            </w:pPr>
          </w:p>
          <w:p w14:paraId="62481B68" w14:textId="77777777" w:rsidR="00410513" w:rsidRDefault="00410513" w:rsidP="00DC10A2">
            <w:pPr>
              <w:pStyle w:val="Tabel-BrdtekstmedafstandptekstGaramond"/>
            </w:pPr>
          </w:p>
          <w:p w14:paraId="03505C4C" w14:textId="77777777" w:rsidR="00410513" w:rsidRDefault="00410513" w:rsidP="00DC10A2">
            <w:pPr>
              <w:pStyle w:val="Tabel-BrdtekstmedafstandptekstGaramond"/>
            </w:pPr>
          </w:p>
          <w:p w14:paraId="3CF17839" w14:textId="77777777" w:rsidR="00410513" w:rsidRDefault="00410513" w:rsidP="00DC10A2">
            <w:pPr>
              <w:pStyle w:val="Tabel-BrdtekstmedafstandptekstGaramond"/>
            </w:pPr>
          </w:p>
          <w:p w14:paraId="169DE76C" w14:textId="77777777" w:rsidR="00410513" w:rsidRDefault="00410513" w:rsidP="00DC10A2">
            <w:pPr>
              <w:pStyle w:val="Tabel-BrdtekstmedafstandptekstGaramond"/>
            </w:pPr>
          </w:p>
          <w:p w14:paraId="374F718B" w14:textId="77777777" w:rsidR="00E73E54" w:rsidRDefault="00E73E54" w:rsidP="00DC10A2">
            <w:pPr>
              <w:pStyle w:val="Tabel-BrdtekstmedafstandptekstGaramond"/>
            </w:pPr>
          </w:p>
          <w:p w14:paraId="7DC3BA3F" w14:textId="00D1828E" w:rsidR="00E73E54" w:rsidRDefault="003C596E" w:rsidP="003C596E">
            <w:pPr>
              <w:pStyle w:val="Tabel-BrdtekstmedafstandptekstGaramond"/>
            </w:pPr>
            <w:r>
              <w:t xml:space="preserve">Der henvises til besvarelsen af høringssvaret fra </w:t>
            </w:r>
            <w:r w:rsidR="00706FFA">
              <w:t>Akademikerne.</w:t>
            </w:r>
          </w:p>
          <w:p w14:paraId="58CCF5D3" w14:textId="77777777" w:rsidR="00E73E54" w:rsidRDefault="00E73E54" w:rsidP="00DC10A2">
            <w:pPr>
              <w:pStyle w:val="Tabel-BrdtekstmedafstandptekstGaramond"/>
            </w:pPr>
          </w:p>
          <w:p w14:paraId="49FF9211" w14:textId="77777777" w:rsidR="00E73E54" w:rsidRDefault="00E73E54" w:rsidP="00DC10A2">
            <w:pPr>
              <w:pStyle w:val="Tabel-BrdtekstmedafstandptekstGaramond"/>
            </w:pPr>
          </w:p>
          <w:p w14:paraId="6C937E06" w14:textId="77777777" w:rsidR="00E73E54" w:rsidRDefault="00E73E54" w:rsidP="00DC10A2">
            <w:pPr>
              <w:pStyle w:val="Tabel-BrdtekstmedafstandptekstGaramond"/>
            </w:pPr>
          </w:p>
          <w:p w14:paraId="7156A2F0" w14:textId="77777777" w:rsidR="00E73E54" w:rsidRDefault="00E73E54" w:rsidP="00DC10A2">
            <w:pPr>
              <w:pStyle w:val="Tabel-BrdtekstmedafstandptekstGaramond"/>
            </w:pPr>
          </w:p>
          <w:p w14:paraId="23B5CDA5" w14:textId="77777777" w:rsidR="00E73E54" w:rsidRDefault="00E73E54" w:rsidP="00DC10A2">
            <w:pPr>
              <w:pStyle w:val="Tabel-BrdtekstmedafstandptekstGaramond"/>
            </w:pPr>
          </w:p>
          <w:p w14:paraId="109F018B" w14:textId="77777777" w:rsidR="00E73E54" w:rsidRDefault="00E73E54" w:rsidP="00DC10A2">
            <w:pPr>
              <w:pStyle w:val="Tabel-BrdtekstmedafstandptekstGaramond"/>
            </w:pPr>
          </w:p>
          <w:p w14:paraId="01B62E2C" w14:textId="57AC1615" w:rsidR="00706FFA" w:rsidRDefault="008B0D28" w:rsidP="003A3256">
            <w:pPr>
              <w:pStyle w:val="Tabel-BrdtekstmedafstandptekstGaramond"/>
              <w:rPr>
                <w:rFonts w:cs="Garamond"/>
                <w:szCs w:val="22"/>
              </w:rPr>
            </w:pPr>
            <w:r>
              <w:t xml:space="preserve">Som det fremgår af lovforslaget, så er det ikke hensigten med </w:t>
            </w:r>
            <w:r w:rsidR="00706FFA">
              <w:t>lovforslaget</w:t>
            </w:r>
            <w:r>
              <w:t xml:space="preserve"> at ændre </w:t>
            </w:r>
            <w:r w:rsidR="00706FFA">
              <w:rPr>
                <w:rFonts w:cs="Garamond"/>
                <w:szCs w:val="22"/>
              </w:rPr>
              <w:t>den eksisterende afgrænsning af, hvad der må anses for at udgøre udgifter til forsøg</w:t>
            </w:r>
            <w:r w:rsidR="009D4D12">
              <w:rPr>
                <w:rFonts w:cs="Garamond"/>
                <w:szCs w:val="22"/>
              </w:rPr>
              <w:t>s</w:t>
            </w:r>
            <w:r w:rsidR="00706FFA">
              <w:rPr>
                <w:rFonts w:cs="Garamond"/>
                <w:szCs w:val="22"/>
              </w:rPr>
              <w:t>- og forskningsvirksomhed</w:t>
            </w:r>
            <w:r>
              <w:rPr>
                <w:rFonts w:cs="Garamond"/>
                <w:szCs w:val="22"/>
              </w:rPr>
              <w:t>, og hvilke udgifter der måtte falde uden for denne definition.</w:t>
            </w:r>
            <w:r w:rsidR="00706FFA">
              <w:rPr>
                <w:rFonts w:cs="Garamond"/>
                <w:szCs w:val="22"/>
              </w:rPr>
              <w:t xml:space="preserve"> Dette indebærer selvsagt, at virksomhederne for at opnå det forhøjede fradrag skal sondre mellem udgifter til forsøg</w:t>
            </w:r>
            <w:r w:rsidR="009D4D12">
              <w:rPr>
                <w:rFonts w:cs="Garamond"/>
                <w:szCs w:val="22"/>
              </w:rPr>
              <w:t>s</w:t>
            </w:r>
            <w:r w:rsidR="00706FFA">
              <w:rPr>
                <w:rFonts w:cs="Garamond"/>
                <w:szCs w:val="22"/>
              </w:rPr>
              <w:t>- og forskningsvirksomhed og andre udgifter.</w:t>
            </w:r>
          </w:p>
          <w:p w14:paraId="1E7F1D35" w14:textId="2213E5EC" w:rsidR="008B0D28" w:rsidRDefault="008B0D28" w:rsidP="003A3256">
            <w:pPr>
              <w:pStyle w:val="Tabel-BrdtekstmedafstandptekstGaramond"/>
              <w:rPr>
                <w:rFonts w:cs="Garamond"/>
                <w:szCs w:val="22"/>
              </w:rPr>
            </w:pPr>
          </w:p>
          <w:p w14:paraId="7068504B" w14:textId="3E9833E6" w:rsidR="008B0D28" w:rsidRDefault="008B0D28" w:rsidP="003A3256">
            <w:pPr>
              <w:pStyle w:val="Tabel-BrdtekstmedafstandptekstGaramond"/>
              <w:rPr>
                <w:rFonts w:cs="Garamond"/>
                <w:szCs w:val="22"/>
              </w:rPr>
            </w:pPr>
            <w:r>
              <w:rPr>
                <w:rFonts w:cs="Garamond"/>
                <w:szCs w:val="22"/>
              </w:rPr>
              <w:t xml:space="preserve">Det anerkendes fuldt ud, at der er tale om en vanskelig sondring. Der er desuden tale om en sondring, </w:t>
            </w:r>
            <w:r w:rsidR="00632BC4">
              <w:rPr>
                <w:rFonts w:cs="Garamond"/>
                <w:szCs w:val="22"/>
              </w:rPr>
              <w:t>der kan udvikle og ændre sig over tid, ligesom det vil være nødvendigt at have forståelse for</w:t>
            </w:r>
            <w:r>
              <w:rPr>
                <w:rFonts w:cs="Garamond"/>
                <w:szCs w:val="22"/>
              </w:rPr>
              <w:t xml:space="preserve"> den konkrete virksomhed for eksempelvis at kunne afgøre, hvorvidt der er tale om udgifter, der er afholdt af en igangværende virksomhed, eller hvorvidt der er tale om udgifter, der er afholdt i forbindelse med et projekt, der indeholder et nyhedselement i forhold til det aktuelle vidensniveau.</w:t>
            </w:r>
            <w:r w:rsidR="00632BC4">
              <w:rPr>
                <w:rFonts w:cs="Garamond"/>
                <w:szCs w:val="22"/>
              </w:rPr>
              <w:t xml:space="preserve"> </w:t>
            </w:r>
          </w:p>
          <w:p w14:paraId="7173D38A" w14:textId="058A269C" w:rsidR="008B0D28" w:rsidRDefault="008B0D28" w:rsidP="003A3256">
            <w:pPr>
              <w:pStyle w:val="Tabel-BrdtekstmedafstandptekstGaramond"/>
              <w:rPr>
                <w:rFonts w:cs="Garamond"/>
                <w:szCs w:val="22"/>
              </w:rPr>
            </w:pPr>
          </w:p>
          <w:p w14:paraId="1FF7D6C3" w14:textId="0C391914" w:rsidR="008B0D28" w:rsidRDefault="008B0D28" w:rsidP="003A3256">
            <w:pPr>
              <w:pStyle w:val="Tabel-BrdtekstmedafstandptekstGaramond"/>
              <w:rPr>
                <w:rFonts w:cs="Garamond"/>
                <w:szCs w:val="22"/>
              </w:rPr>
            </w:pPr>
            <w:r>
              <w:rPr>
                <w:rFonts w:cs="Garamond"/>
                <w:szCs w:val="22"/>
              </w:rPr>
              <w:t>Skatte</w:t>
            </w:r>
            <w:r w:rsidR="009D4D12">
              <w:rPr>
                <w:rFonts w:cs="Garamond"/>
                <w:szCs w:val="22"/>
              </w:rPr>
              <w:t xml:space="preserve">forvaltningen </w:t>
            </w:r>
            <w:r>
              <w:rPr>
                <w:rFonts w:cs="Garamond"/>
                <w:szCs w:val="22"/>
              </w:rPr>
              <w:t xml:space="preserve">tilstræber løbende at give virksomhederne et grundlag for at vurdere, hvorvidt der er tale om udgifter til forsøgs- og forskningsvirksomhed, der kvalificerer til fradrag efter </w:t>
            </w:r>
            <w:r w:rsidR="008A6B8B">
              <w:rPr>
                <w:rFonts w:cs="Garamond"/>
                <w:szCs w:val="22"/>
              </w:rPr>
              <w:t>de særlige bestemmelser i ligningslovens § 8 B og afskrivningslovens § 6. Det sker bl.a. via de løbende opdateringer af Den Juridiske Vejledning. I forbindelse med den fremrykkede udbetaling af skattekreditter har Skatteforvaltningen også udsendt særlige vejledninger med henblik på at sikre, at virksomhederne bedre kan vurdere, om konkrete udgifter udgør forsøgs- og forskningsudgifter.</w:t>
            </w:r>
          </w:p>
          <w:p w14:paraId="6C5E7F03" w14:textId="7558CF7C" w:rsidR="008A6B8B" w:rsidRDefault="008A6B8B" w:rsidP="003A3256">
            <w:pPr>
              <w:pStyle w:val="Tabel-BrdtekstmedafstandptekstGaramond"/>
              <w:rPr>
                <w:rFonts w:cs="Garamond"/>
                <w:szCs w:val="22"/>
              </w:rPr>
            </w:pPr>
          </w:p>
          <w:p w14:paraId="6B1CC58D" w14:textId="2F991B65" w:rsidR="008A6B8B" w:rsidRDefault="008A6B8B" w:rsidP="003A3256">
            <w:pPr>
              <w:pStyle w:val="Tabel-BrdtekstmedafstandptekstGaramond"/>
              <w:rPr>
                <w:rFonts w:cs="Garamond"/>
                <w:szCs w:val="22"/>
              </w:rPr>
            </w:pPr>
            <w:r>
              <w:rPr>
                <w:rFonts w:cs="Garamond"/>
                <w:szCs w:val="22"/>
              </w:rPr>
              <w:t xml:space="preserve">Det skal desuden nævnes, at tvivlstilfælde kan afklares ved at anmode </w:t>
            </w:r>
            <w:r w:rsidR="009D4D12">
              <w:rPr>
                <w:rFonts w:cs="Garamond"/>
                <w:szCs w:val="22"/>
              </w:rPr>
              <w:t>Skatteforvaltningen</w:t>
            </w:r>
            <w:r>
              <w:rPr>
                <w:rFonts w:cs="Garamond"/>
                <w:szCs w:val="22"/>
              </w:rPr>
              <w:t xml:space="preserve"> om et bindende svar. I forbindelse med et bindende svar vil der blive taget stilling til den konkrete anmodning, men der kan også være tale om en principiel afgørelse, som kan danne grundlag for en udbygning af Den Juridiske Vejledning til gavn for andre virksomheder.</w:t>
            </w:r>
          </w:p>
          <w:p w14:paraId="35358B4B" w14:textId="0F7067F9" w:rsidR="00706FFA" w:rsidRDefault="00706FFA" w:rsidP="003A3256">
            <w:pPr>
              <w:pStyle w:val="Tabel-BrdtekstmedafstandptekstGaramond"/>
              <w:rPr>
                <w:rFonts w:cs="Garamond"/>
                <w:szCs w:val="22"/>
              </w:rPr>
            </w:pPr>
          </w:p>
          <w:p w14:paraId="66518290" w14:textId="77777777" w:rsidR="004876C9" w:rsidRDefault="004876C9" w:rsidP="003A3256">
            <w:pPr>
              <w:pStyle w:val="Tabel-BrdtekstmedafstandptekstGaramond"/>
              <w:rPr>
                <w:rFonts w:cs="Garamond"/>
                <w:szCs w:val="22"/>
              </w:rPr>
            </w:pPr>
          </w:p>
          <w:p w14:paraId="43502832" w14:textId="0E1DB9A4" w:rsidR="00D43628" w:rsidRDefault="00882952" w:rsidP="00DC10A2">
            <w:pPr>
              <w:pStyle w:val="Tabel-BrdtekstmedafstandptekstGaramond"/>
            </w:pPr>
            <w:r>
              <w:t xml:space="preserve">Forslaget implementerer </w:t>
            </w:r>
            <w:r w:rsidR="004876C9">
              <w:t xml:space="preserve">på dette punkt </w:t>
            </w:r>
            <w:r>
              <w:t>den politiske aftale om udfasning af hjælpepakker, stimuli-initiativer og eksportinitiativer</w:t>
            </w:r>
            <w:r w:rsidR="004876C9">
              <w:t xml:space="preserve">, hvor det fremgår, at </w:t>
            </w:r>
            <w:r>
              <w:t xml:space="preserve">loftet </w:t>
            </w:r>
            <w:r w:rsidR="001158CE">
              <w:t>over fradrag for udgifter til forsøgs- og fo</w:t>
            </w:r>
            <w:r>
              <w:t>r</w:t>
            </w:r>
            <w:r w:rsidR="001158CE">
              <w:t xml:space="preserve">skningsvirksomhed </w:t>
            </w:r>
            <w:r>
              <w:t>skal</w:t>
            </w:r>
            <w:r w:rsidR="001158CE">
              <w:t xml:space="preserve"> finde anvendelse på koncernniveau</w:t>
            </w:r>
            <w:r>
              <w:t>.</w:t>
            </w:r>
          </w:p>
          <w:p w14:paraId="3C3937D2" w14:textId="088274A2" w:rsidR="004876C9" w:rsidRDefault="004876C9" w:rsidP="00DC10A2">
            <w:pPr>
              <w:pStyle w:val="Tabel-BrdtekstmedafstandptekstGaramond"/>
            </w:pPr>
          </w:p>
          <w:p w14:paraId="0FC12A3F" w14:textId="768B55AC" w:rsidR="004876C9" w:rsidRDefault="004876C9" w:rsidP="00DC10A2">
            <w:pPr>
              <w:pStyle w:val="Tabel-BrdtekstmedafstandptekstGaramond"/>
            </w:pPr>
            <w:r>
              <w:t>Dette svarer i øvrigt også til det, der gælder ved skattekreditordningen efter ligningslovens § 8 X, hvor der er mulighed for at få udbetalt skatteværdien af underskud, der stammer fra udgifter til forsøgs- og forskningsvirksomhed do</w:t>
            </w:r>
            <w:r w:rsidR="00FC505B">
              <w:t>g</w:t>
            </w:r>
            <w:r>
              <w:t xml:space="preserve"> højst skatteværdien af 25 mio.kr. Dette loft opgøres således også på koncernniveau.</w:t>
            </w:r>
          </w:p>
          <w:p w14:paraId="7522DC8E" w14:textId="77777777" w:rsidR="00D43628" w:rsidRDefault="00D43628" w:rsidP="00DC10A2">
            <w:pPr>
              <w:pStyle w:val="Tabel-BrdtekstmedafstandptekstGaramond"/>
            </w:pPr>
          </w:p>
          <w:p w14:paraId="55741DFC" w14:textId="77777777" w:rsidR="00D43628" w:rsidRDefault="00D43628" w:rsidP="00DC10A2">
            <w:pPr>
              <w:pStyle w:val="Tabel-BrdtekstmedafstandptekstGaramond"/>
            </w:pPr>
          </w:p>
          <w:p w14:paraId="62AF23B0" w14:textId="77777777" w:rsidR="00D43628" w:rsidRDefault="00D43628" w:rsidP="00DC10A2">
            <w:pPr>
              <w:pStyle w:val="Tabel-BrdtekstmedafstandptekstGaramond"/>
            </w:pPr>
          </w:p>
          <w:p w14:paraId="73F8FA4A" w14:textId="77777777" w:rsidR="00D43628" w:rsidRDefault="00D43628" w:rsidP="00DC10A2">
            <w:pPr>
              <w:pStyle w:val="Tabel-BrdtekstmedafstandptekstGaramond"/>
            </w:pPr>
          </w:p>
          <w:p w14:paraId="31A6E38B" w14:textId="77777777" w:rsidR="00D43628" w:rsidRDefault="00D43628" w:rsidP="00DC10A2">
            <w:pPr>
              <w:pStyle w:val="Tabel-BrdtekstmedafstandptekstGaramond"/>
            </w:pPr>
          </w:p>
          <w:p w14:paraId="6A740C4F" w14:textId="77777777" w:rsidR="00D43628" w:rsidRDefault="00D43628" w:rsidP="00DC10A2">
            <w:pPr>
              <w:pStyle w:val="Tabel-BrdtekstmedafstandptekstGaramond"/>
            </w:pPr>
          </w:p>
          <w:p w14:paraId="156D443B" w14:textId="77777777" w:rsidR="006A1588" w:rsidRDefault="006A1588" w:rsidP="00410513">
            <w:pPr>
              <w:pStyle w:val="Tabel-BrdtekstmedafstandptekstGaramond"/>
              <w:tabs>
                <w:tab w:val="left" w:pos="1171"/>
              </w:tabs>
            </w:pPr>
          </w:p>
          <w:p w14:paraId="70ED14E8" w14:textId="77777777" w:rsidR="00882952" w:rsidRDefault="00882952" w:rsidP="00410513">
            <w:pPr>
              <w:pStyle w:val="Tabel-BrdtekstmedafstandptekstGaramond"/>
              <w:tabs>
                <w:tab w:val="left" w:pos="1171"/>
              </w:tabs>
            </w:pPr>
          </w:p>
          <w:p w14:paraId="5247FF91" w14:textId="77777777" w:rsidR="00882952" w:rsidRDefault="00882952" w:rsidP="00410513">
            <w:pPr>
              <w:pStyle w:val="Tabel-BrdtekstmedafstandptekstGaramond"/>
              <w:tabs>
                <w:tab w:val="left" w:pos="1171"/>
              </w:tabs>
            </w:pPr>
          </w:p>
          <w:p w14:paraId="2F243E1C" w14:textId="77777777" w:rsidR="00882952" w:rsidRDefault="00882952" w:rsidP="00410513">
            <w:pPr>
              <w:pStyle w:val="Tabel-BrdtekstmedafstandptekstGaramond"/>
              <w:tabs>
                <w:tab w:val="left" w:pos="1171"/>
              </w:tabs>
            </w:pPr>
          </w:p>
          <w:p w14:paraId="1C6F893F" w14:textId="77777777" w:rsidR="00882952" w:rsidRDefault="00882952" w:rsidP="00410513">
            <w:pPr>
              <w:pStyle w:val="Tabel-BrdtekstmedafstandptekstGaramond"/>
              <w:tabs>
                <w:tab w:val="left" w:pos="1171"/>
              </w:tabs>
            </w:pPr>
          </w:p>
          <w:p w14:paraId="7DF0FDE4" w14:textId="77777777" w:rsidR="00882952" w:rsidRDefault="00882952" w:rsidP="00410513">
            <w:pPr>
              <w:pStyle w:val="Tabel-BrdtekstmedafstandptekstGaramond"/>
              <w:tabs>
                <w:tab w:val="left" w:pos="1171"/>
              </w:tabs>
            </w:pPr>
          </w:p>
          <w:p w14:paraId="21490306" w14:textId="77777777" w:rsidR="00882952" w:rsidRDefault="00882952" w:rsidP="00410513">
            <w:pPr>
              <w:pStyle w:val="Tabel-BrdtekstmedafstandptekstGaramond"/>
              <w:tabs>
                <w:tab w:val="left" w:pos="1171"/>
              </w:tabs>
            </w:pPr>
          </w:p>
          <w:p w14:paraId="1BDF383E" w14:textId="77777777" w:rsidR="006A1588" w:rsidRDefault="006A1588" w:rsidP="00410513">
            <w:pPr>
              <w:pStyle w:val="Tabel-BrdtekstmedafstandptekstGaramond"/>
              <w:tabs>
                <w:tab w:val="left" w:pos="1171"/>
              </w:tabs>
            </w:pPr>
          </w:p>
          <w:p w14:paraId="5D7D6DD3" w14:textId="77777777" w:rsidR="006A1588" w:rsidRDefault="006A1588" w:rsidP="00410513">
            <w:pPr>
              <w:pStyle w:val="Tabel-BrdtekstmedafstandptekstGaramond"/>
              <w:tabs>
                <w:tab w:val="left" w:pos="1171"/>
              </w:tabs>
            </w:pPr>
          </w:p>
          <w:p w14:paraId="2FEB268C" w14:textId="352BA638" w:rsidR="006A1588" w:rsidRDefault="006A1588" w:rsidP="00410513">
            <w:pPr>
              <w:pStyle w:val="Tabel-BrdtekstmedafstandptekstGaramond"/>
              <w:tabs>
                <w:tab w:val="left" w:pos="1171"/>
              </w:tabs>
            </w:pPr>
          </w:p>
          <w:p w14:paraId="669494DF" w14:textId="32DE9FA2" w:rsidR="00632BC4" w:rsidRDefault="00632BC4" w:rsidP="00410513">
            <w:pPr>
              <w:pStyle w:val="Tabel-BrdtekstmedafstandptekstGaramond"/>
              <w:tabs>
                <w:tab w:val="left" w:pos="1171"/>
              </w:tabs>
            </w:pPr>
          </w:p>
          <w:p w14:paraId="219ECA24" w14:textId="77777777" w:rsidR="00632BC4" w:rsidRDefault="00632BC4" w:rsidP="00410513">
            <w:pPr>
              <w:pStyle w:val="Tabel-BrdtekstmedafstandptekstGaramond"/>
              <w:tabs>
                <w:tab w:val="left" w:pos="1171"/>
              </w:tabs>
            </w:pPr>
          </w:p>
          <w:p w14:paraId="6DA905EC" w14:textId="75E7AB03" w:rsidR="00410513" w:rsidRPr="00B5346F" w:rsidRDefault="00432080" w:rsidP="00410513">
            <w:pPr>
              <w:pStyle w:val="Tabel-BrdtekstmedafstandptekstGaramond"/>
              <w:tabs>
                <w:tab w:val="left" w:pos="1171"/>
              </w:tabs>
            </w:pPr>
            <w:r>
              <w:t>Den politiske aftale omfatt</w:t>
            </w:r>
            <w:r w:rsidR="00CC0198">
              <w:t>er alene udlejningssæsonen 2020</w:t>
            </w:r>
            <w:r w:rsidR="00410513">
              <w:t>. Der ses derfor ikke at være grundlag for at forlænge forhøjelsen af bundfradraget</w:t>
            </w:r>
            <w:r>
              <w:t xml:space="preserve"> til udlejningssæsonen 2021</w:t>
            </w:r>
            <w:r w:rsidR="00410513">
              <w:t>.</w:t>
            </w:r>
          </w:p>
        </w:tc>
      </w:tr>
      <w:tr w:rsidR="00E57865" w:rsidRPr="00B5346F" w14:paraId="4E52BEA2" w14:textId="77777777" w:rsidTr="00E57865">
        <w:tc>
          <w:tcPr>
            <w:tcW w:w="2310" w:type="dxa"/>
            <w:tcBorders>
              <w:bottom w:val="single" w:sz="4" w:space="0" w:color="D1C5C3" w:themeColor="accent3"/>
            </w:tcBorders>
            <w:shd w:val="clear" w:color="auto" w:fill="FBF9F9"/>
          </w:tcPr>
          <w:p w14:paraId="70AFB760" w14:textId="7F33C2CD" w:rsidR="00E57865" w:rsidRDefault="00E57865" w:rsidP="00E57865">
            <w:pPr>
              <w:pStyle w:val="Tabel-BrdtekstmedafstandptekstGaramond"/>
              <w:rPr>
                <w:i/>
                <w:szCs w:val="22"/>
              </w:rPr>
            </w:pPr>
            <w:r>
              <w:rPr>
                <w:i/>
                <w:szCs w:val="22"/>
              </w:rPr>
              <w:t>D</w:t>
            </w:r>
            <w:r w:rsidR="00AE75C5">
              <w:rPr>
                <w:i/>
                <w:szCs w:val="22"/>
              </w:rPr>
              <w:t>I</w:t>
            </w:r>
          </w:p>
        </w:tc>
        <w:tc>
          <w:tcPr>
            <w:tcW w:w="213" w:type="dxa"/>
            <w:shd w:val="clear" w:color="auto" w:fill="FFFFFF" w:themeFill="background1"/>
          </w:tcPr>
          <w:p w14:paraId="201ACB46" w14:textId="77777777" w:rsidR="00E57865" w:rsidRPr="00B5346F" w:rsidRDefault="00E57865" w:rsidP="00E57865"/>
        </w:tc>
        <w:tc>
          <w:tcPr>
            <w:tcW w:w="3443" w:type="dxa"/>
            <w:tcBorders>
              <w:bottom w:val="single" w:sz="4" w:space="0" w:color="D1C5C3" w:themeColor="accent3"/>
            </w:tcBorders>
            <w:shd w:val="clear" w:color="auto" w:fill="FBF9F9"/>
          </w:tcPr>
          <w:p w14:paraId="5372D105" w14:textId="77777777" w:rsidR="00E57865" w:rsidRPr="005E1E9F" w:rsidRDefault="00E57865" w:rsidP="00E57865">
            <w:pPr>
              <w:pStyle w:val="Tabel-BrdtekstmedafstandptekstGaramond"/>
              <w:rPr>
                <w:rFonts w:cs="Arial"/>
                <w:bCs/>
                <w:i/>
                <w:iCs/>
                <w:color w:val="000000" w:themeColor="text1"/>
                <w:szCs w:val="22"/>
              </w:rPr>
            </w:pPr>
            <w:proofErr w:type="spellStart"/>
            <w:r w:rsidRPr="005E1E9F">
              <w:rPr>
                <w:rFonts w:cs="Arial"/>
                <w:bCs/>
                <w:i/>
                <w:iCs/>
                <w:color w:val="000000" w:themeColor="text1"/>
                <w:szCs w:val="22"/>
              </w:rPr>
              <w:t>FoU</w:t>
            </w:r>
            <w:proofErr w:type="spellEnd"/>
          </w:p>
          <w:p w14:paraId="57D4FFBD" w14:textId="77777777" w:rsidR="00E57865" w:rsidRDefault="00E57865" w:rsidP="00E57865">
            <w:pPr>
              <w:pStyle w:val="Tabel-BrdtekstmedafstandptekstGaramond"/>
              <w:rPr>
                <w:rFonts w:cs="Arial"/>
                <w:color w:val="000000" w:themeColor="text1"/>
                <w:szCs w:val="22"/>
              </w:rPr>
            </w:pPr>
            <w:r>
              <w:rPr>
                <w:rFonts w:cs="Arial"/>
                <w:color w:val="000000" w:themeColor="text1"/>
                <w:szCs w:val="22"/>
              </w:rPr>
              <w:t xml:space="preserve">DI opfordrer på det kraftigste til at </w:t>
            </w:r>
            <w:r w:rsidR="0011616F">
              <w:rPr>
                <w:rFonts w:cs="Arial"/>
                <w:color w:val="000000" w:themeColor="text1"/>
                <w:szCs w:val="22"/>
              </w:rPr>
              <w:t xml:space="preserve">fradraget for udgifter til forsøgs- og forskningsvirksomhed på 130 pct. gøres permanent. </w:t>
            </w:r>
          </w:p>
          <w:p w14:paraId="2163CD2E" w14:textId="77777777" w:rsidR="0011616F" w:rsidRDefault="0011616F" w:rsidP="00E57865">
            <w:pPr>
              <w:pStyle w:val="Tabel-BrdtekstmedafstandptekstGaramond"/>
              <w:rPr>
                <w:rFonts w:cs="Arial"/>
                <w:color w:val="000000" w:themeColor="text1"/>
                <w:szCs w:val="22"/>
              </w:rPr>
            </w:pPr>
          </w:p>
          <w:p w14:paraId="762990D6" w14:textId="77777777" w:rsidR="0011616F" w:rsidRDefault="0011616F" w:rsidP="00E57865">
            <w:pPr>
              <w:pStyle w:val="Tabel-BrdtekstmedafstandptekstGaramond"/>
              <w:rPr>
                <w:rFonts w:cs="Arial"/>
                <w:color w:val="000000" w:themeColor="text1"/>
                <w:szCs w:val="22"/>
              </w:rPr>
            </w:pPr>
            <w:r>
              <w:rPr>
                <w:rFonts w:cs="Arial"/>
                <w:color w:val="000000" w:themeColor="text1"/>
                <w:szCs w:val="22"/>
              </w:rPr>
              <w:t xml:space="preserve">Forsøgs- og forskningsvirksomhed er efter DI’s vurdering afgørende for, at danske virksomheder kan være med i front på verdensmarkedet og på den baggrund også fundamentet for en stor dansk eksport. </w:t>
            </w:r>
          </w:p>
          <w:p w14:paraId="33A65C67" w14:textId="77777777" w:rsidR="0011616F" w:rsidRDefault="0011616F" w:rsidP="00E57865">
            <w:pPr>
              <w:pStyle w:val="Tabel-BrdtekstmedafstandptekstGaramond"/>
              <w:rPr>
                <w:rFonts w:cs="Arial"/>
                <w:color w:val="000000" w:themeColor="text1"/>
                <w:szCs w:val="22"/>
              </w:rPr>
            </w:pPr>
          </w:p>
          <w:p w14:paraId="275A4BC1" w14:textId="77777777" w:rsidR="0011616F" w:rsidRDefault="0011616F" w:rsidP="0011616F">
            <w:pPr>
              <w:pStyle w:val="Tabel-BrdtekstmedafstandptekstGaramond"/>
              <w:rPr>
                <w:rFonts w:cs="Georgia"/>
                <w:color w:val="000000"/>
                <w:szCs w:val="22"/>
              </w:rPr>
            </w:pPr>
            <w:r w:rsidRPr="0011616F">
              <w:rPr>
                <w:rFonts w:cs="Arial"/>
                <w:color w:val="000000" w:themeColor="text1"/>
                <w:szCs w:val="22"/>
              </w:rPr>
              <w:t>Det er ifølge DI vigtigt at sikre, at danske erhvervsvilkår er på niveau med lande, som vi normalt sammenligner os med. Hvis fradraget på 130 pct. alene gælder for 2020 og 2021, vil det ifølge DI have en</w:t>
            </w:r>
            <w:r w:rsidRPr="0011616F">
              <w:rPr>
                <w:rFonts w:cs="Georgia"/>
                <w:color w:val="000000"/>
                <w:sz w:val="24"/>
                <w:szCs w:val="24"/>
              </w:rPr>
              <w:t xml:space="preserve"> </w:t>
            </w:r>
            <w:r w:rsidRPr="0011616F">
              <w:rPr>
                <w:rFonts w:cs="Georgia"/>
                <w:color w:val="000000"/>
                <w:szCs w:val="22"/>
              </w:rPr>
              <w:t>uhensigtsmæssig virkning på virksomhedernes forskningsinvesteringer, da de nødvendige langsigtede inv</w:t>
            </w:r>
            <w:r>
              <w:rPr>
                <w:rFonts w:cs="Georgia"/>
                <w:color w:val="000000"/>
                <w:szCs w:val="22"/>
              </w:rPr>
              <w:t>esteringer vil udeblive, med ud</w:t>
            </w:r>
            <w:r w:rsidRPr="0011616F">
              <w:rPr>
                <w:rFonts w:cs="Georgia"/>
                <w:color w:val="000000"/>
                <w:szCs w:val="22"/>
              </w:rPr>
              <w:t>sigten til et fald i fradraget efter 2021.</w:t>
            </w:r>
          </w:p>
          <w:p w14:paraId="4E8C1EC7" w14:textId="77777777" w:rsidR="003C596E" w:rsidRDefault="003C596E" w:rsidP="0011616F">
            <w:pPr>
              <w:pStyle w:val="Tabel-BrdtekstmedafstandptekstGaramond"/>
              <w:rPr>
                <w:rFonts w:cs="Georgia"/>
                <w:color w:val="000000"/>
                <w:szCs w:val="22"/>
              </w:rPr>
            </w:pPr>
          </w:p>
          <w:p w14:paraId="7085A982" w14:textId="77777777" w:rsidR="003C596E" w:rsidRDefault="003C596E" w:rsidP="0011616F">
            <w:pPr>
              <w:pStyle w:val="Tabel-BrdtekstmedafstandptekstGaramond"/>
              <w:rPr>
                <w:rFonts w:cs="Georgia"/>
                <w:color w:val="000000"/>
                <w:szCs w:val="22"/>
              </w:rPr>
            </w:pPr>
          </w:p>
          <w:p w14:paraId="19D84185" w14:textId="77777777" w:rsidR="003C596E" w:rsidRDefault="0011616F" w:rsidP="0011616F">
            <w:pPr>
              <w:pStyle w:val="Tabel-BrdtekstmedafstandptekstGaramond"/>
              <w:rPr>
                <w:rFonts w:cs="Georgia"/>
                <w:color w:val="000000"/>
                <w:szCs w:val="22"/>
              </w:rPr>
            </w:pPr>
            <w:r>
              <w:rPr>
                <w:rFonts w:cs="Georgia"/>
                <w:color w:val="000000"/>
                <w:szCs w:val="22"/>
              </w:rPr>
              <w:t>DI mener, at loftet</w:t>
            </w:r>
            <w:r w:rsidR="003C596E">
              <w:rPr>
                <w:rFonts w:cs="Georgia"/>
                <w:color w:val="000000"/>
                <w:szCs w:val="22"/>
              </w:rPr>
              <w:t xml:space="preserve"> over fradraget for forsøgs- og forskningsvirksomhed på 50 mio. kr. (skatteværdien)</w:t>
            </w:r>
            <w:r>
              <w:rPr>
                <w:rFonts w:cs="Georgia"/>
                <w:color w:val="000000"/>
                <w:szCs w:val="22"/>
              </w:rPr>
              <w:t xml:space="preserve"> kan stå i vejen for danske koncerners opkøb af andre virksomheder og kan skabe et skadeligt incitament til frasalg af virksomhed til udenlandske koncerner. </w:t>
            </w:r>
          </w:p>
          <w:p w14:paraId="411B1341" w14:textId="77777777" w:rsidR="003C596E" w:rsidRDefault="003C596E" w:rsidP="0011616F">
            <w:pPr>
              <w:pStyle w:val="Tabel-BrdtekstmedafstandptekstGaramond"/>
              <w:rPr>
                <w:rFonts w:cs="Georgia"/>
                <w:color w:val="000000"/>
                <w:szCs w:val="22"/>
              </w:rPr>
            </w:pPr>
          </w:p>
          <w:p w14:paraId="47A881D1" w14:textId="27BD7D21" w:rsidR="0011616F" w:rsidRDefault="0011616F" w:rsidP="0011616F">
            <w:pPr>
              <w:pStyle w:val="Tabel-BrdtekstmedafstandptekstGaramond"/>
              <w:rPr>
                <w:rFonts w:cs="Georgia"/>
                <w:color w:val="000000"/>
                <w:szCs w:val="22"/>
              </w:rPr>
            </w:pPr>
            <w:r>
              <w:rPr>
                <w:rFonts w:cs="Georgia"/>
                <w:color w:val="000000"/>
                <w:szCs w:val="22"/>
              </w:rPr>
              <w:t>Fondsejede koncerner vil efter lovforslaget blive anset for én samlet koncern med den konsekvens, at de omhandlede koncerner skal deles om ét loft på 50 mio. kr. og derved blive stillet dårligere</w:t>
            </w:r>
            <w:r w:rsidR="00632BC4">
              <w:rPr>
                <w:rFonts w:cs="Georgia"/>
                <w:color w:val="000000"/>
                <w:szCs w:val="22"/>
              </w:rPr>
              <w:t xml:space="preserve">. </w:t>
            </w:r>
            <w:r>
              <w:rPr>
                <w:rFonts w:cs="Georgia"/>
                <w:color w:val="000000"/>
                <w:szCs w:val="22"/>
              </w:rPr>
              <w:t>DI</w:t>
            </w:r>
            <w:r w:rsidR="00632BC4">
              <w:rPr>
                <w:rFonts w:cs="Georgia"/>
                <w:color w:val="000000"/>
                <w:szCs w:val="22"/>
              </w:rPr>
              <w:t xml:space="preserve"> foreslår</w:t>
            </w:r>
            <w:r>
              <w:rPr>
                <w:rFonts w:cs="Georgia"/>
                <w:color w:val="000000"/>
                <w:szCs w:val="22"/>
              </w:rPr>
              <w:t xml:space="preserve"> på den baggrund at fjerne loftet.</w:t>
            </w:r>
          </w:p>
          <w:p w14:paraId="26891248" w14:textId="77777777" w:rsidR="00202C5E" w:rsidRDefault="00202C5E" w:rsidP="0011616F">
            <w:pPr>
              <w:pStyle w:val="Tabel-BrdtekstmedafstandptekstGaramond"/>
              <w:rPr>
                <w:rFonts w:cs="Georgia"/>
                <w:color w:val="000000"/>
                <w:szCs w:val="22"/>
              </w:rPr>
            </w:pPr>
          </w:p>
          <w:p w14:paraId="58003835" w14:textId="2B7632BB" w:rsidR="00202C5E" w:rsidRDefault="00202C5E" w:rsidP="0011616F">
            <w:pPr>
              <w:pStyle w:val="Tabel-BrdtekstmedafstandptekstGaramond"/>
              <w:rPr>
                <w:rFonts w:cs="Georgia"/>
                <w:color w:val="000000"/>
                <w:szCs w:val="22"/>
              </w:rPr>
            </w:pPr>
            <w:r>
              <w:rPr>
                <w:rFonts w:cs="Georgia"/>
                <w:color w:val="000000"/>
                <w:szCs w:val="22"/>
              </w:rPr>
              <w:t xml:space="preserve">Endelig foreslår DI, at det i bemærkningerne til lovforslaget præciseres, at afgrænsningen for forsøgs- og forskningsaktiviteter som udgangspunkt følger internationale standarder i OECD’s Frascati-manual. Dette vil reducere uklarheden og dermed være med til at undgå langvarige sager om afgrænsningen af forsøgs- og forskningsaktiviteter, som forhøjelsen af fradraget må forventes at give anledning til. </w:t>
            </w:r>
          </w:p>
          <w:p w14:paraId="1B793D2C" w14:textId="77777777" w:rsidR="00AE75C5" w:rsidRDefault="00AE75C5" w:rsidP="0011616F">
            <w:pPr>
              <w:pStyle w:val="Tabel-BrdtekstmedafstandptekstGaramond"/>
              <w:rPr>
                <w:rFonts w:cs="Georgia"/>
                <w:color w:val="000000"/>
                <w:szCs w:val="22"/>
              </w:rPr>
            </w:pPr>
          </w:p>
          <w:p w14:paraId="152C7463" w14:textId="1F9A05AB" w:rsidR="00AE75C5" w:rsidRPr="005E1E9F" w:rsidRDefault="00AE75C5" w:rsidP="0011616F">
            <w:pPr>
              <w:pStyle w:val="Tabel-BrdtekstmedafstandptekstGaramond"/>
              <w:rPr>
                <w:rFonts w:cs="Georgia"/>
                <w:bCs/>
                <w:i/>
                <w:iCs/>
                <w:color w:val="000000"/>
                <w:szCs w:val="22"/>
              </w:rPr>
            </w:pPr>
            <w:r w:rsidRPr="005E1E9F">
              <w:rPr>
                <w:rFonts w:cs="Georgia"/>
                <w:bCs/>
                <w:i/>
                <w:iCs/>
                <w:color w:val="000000"/>
                <w:szCs w:val="22"/>
              </w:rPr>
              <w:t>Forhøjelse af bundfradrag ved udlejning af fritidsboliger</w:t>
            </w:r>
          </w:p>
          <w:p w14:paraId="3EF502F0" w14:textId="0B7AB1A3" w:rsidR="00AE75C5" w:rsidRPr="00AE75C5" w:rsidRDefault="00AE75C5" w:rsidP="0011616F">
            <w:pPr>
              <w:pStyle w:val="Tabel-BrdtekstmedafstandptekstGaramond"/>
              <w:rPr>
                <w:rFonts w:cs="Arial"/>
                <w:b/>
                <w:color w:val="000000" w:themeColor="text1"/>
                <w:szCs w:val="22"/>
              </w:rPr>
            </w:pPr>
            <w:r w:rsidRPr="000F27FA">
              <w:rPr>
                <w:rFonts w:cs="Arial"/>
                <w:color w:val="000000" w:themeColor="text1"/>
                <w:szCs w:val="22"/>
              </w:rPr>
              <w:t>DI tager den midlertidige forhøjelse af bundfradraget ved udlejning af fritidsboliger til efterretning.</w:t>
            </w:r>
          </w:p>
        </w:tc>
        <w:tc>
          <w:tcPr>
            <w:tcW w:w="230" w:type="dxa"/>
            <w:shd w:val="clear" w:color="auto" w:fill="FFFFFF" w:themeFill="background1"/>
          </w:tcPr>
          <w:p w14:paraId="587E881A" w14:textId="77777777" w:rsidR="00E57865" w:rsidRPr="00B5346F" w:rsidRDefault="00E57865" w:rsidP="00E57865"/>
        </w:tc>
        <w:tc>
          <w:tcPr>
            <w:tcW w:w="3443" w:type="dxa"/>
            <w:tcBorders>
              <w:bottom w:val="single" w:sz="4" w:space="0" w:color="14143C" w:themeColor="accent1"/>
            </w:tcBorders>
            <w:shd w:val="clear" w:color="auto" w:fill="D2CED8"/>
          </w:tcPr>
          <w:p w14:paraId="4294A571" w14:textId="77777777" w:rsidR="00B84121" w:rsidRDefault="00B84121" w:rsidP="00E57865">
            <w:pPr>
              <w:pStyle w:val="Tabel-BrdtekstmedafstandptekstGaramond"/>
            </w:pPr>
          </w:p>
          <w:p w14:paraId="22E6318E" w14:textId="20B6969A" w:rsidR="006942C8" w:rsidRDefault="003C596E" w:rsidP="00E57865">
            <w:pPr>
              <w:pStyle w:val="Tabel-BrdtekstmedafstandptekstGaramond"/>
            </w:pPr>
            <w:r>
              <w:t>Der henvises til besvarelsen af høringssvaret fra</w:t>
            </w:r>
            <w:r w:rsidR="00B84121">
              <w:t xml:space="preserve"> Akademikerne.</w:t>
            </w:r>
            <w:r w:rsidR="00632BC4">
              <w:t xml:space="preserve"> </w:t>
            </w:r>
          </w:p>
          <w:p w14:paraId="6E62860A" w14:textId="577B68D2" w:rsidR="006942C8" w:rsidRDefault="006942C8" w:rsidP="00E57865">
            <w:pPr>
              <w:pStyle w:val="Tabel-BrdtekstmedafstandptekstGaramond"/>
            </w:pPr>
          </w:p>
          <w:p w14:paraId="34711B7A" w14:textId="51D59DB2" w:rsidR="006942C8" w:rsidRDefault="004E7119" w:rsidP="00E57865">
            <w:pPr>
              <w:pStyle w:val="Tabel-BrdtekstmedafstandptekstGaramond"/>
            </w:pPr>
            <w:r>
              <w:t>Formålet med den midlertidige forhøjelse af fradraget er først og fremmest at afbøde den negative effekt af Covid-19 på danske virksomheders forskningsindsats i den aktuelle</w:t>
            </w:r>
            <w:r w:rsidR="005E1E9F">
              <w:t xml:space="preserve"> situation med </w:t>
            </w:r>
            <w:r>
              <w:t>økonomiske afmatning.</w:t>
            </w:r>
          </w:p>
          <w:p w14:paraId="62184467" w14:textId="5ADBFB13" w:rsidR="006942C8" w:rsidRDefault="006942C8" w:rsidP="00E57865">
            <w:pPr>
              <w:pStyle w:val="Tabel-BrdtekstmedafstandptekstGaramond"/>
            </w:pPr>
          </w:p>
          <w:p w14:paraId="443BDC32" w14:textId="06261ACB" w:rsidR="006942C8" w:rsidRDefault="006942C8" w:rsidP="00E57865">
            <w:pPr>
              <w:pStyle w:val="Tabel-BrdtekstmedafstandptekstGaramond"/>
            </w:pPr>
          </w:p>
          <w:p w14:paraId="7EDE83F5" w14:textId="204F6249" w:rsidR="006942C8" w:rsidRDefault="006942C8" w:rsidP="00E57865">
            <w:pPr>
              <w:pStyle w:val="Tabel-BrdtekstmedafstandptekstGaramond"/>
            </w:pPr>
          </w:p>
          <w:p w14:paraId="207A51EE" w14:textId="57D92FE3" w:rsidR="006942C8" w:rsidRDefault="006942C8" w:rsidP="00E57865">
            <w:pPr>
              <w:pStyle w:val="Tabel-BrdtekstmedafstandptekstGaramond"/>
            </w:pPr>
          </w:p>
          <w:p w14:paraId="420EFC3E" w14:textId="78EAD4E9" w:rsidR="006942C8" w:rsidRDefault="006942C8" w:rsidP="00E57865">
            <w:pPr>
              <w:pStyle w:val="Tabel-BrdtekstmedafstandptekstGaramond"/>
            </w:pPr>
          </w:p>
          <w:p w14:paraId="63F6E481" w14:textId="0DADA63E" w:rsidR="006942C8" w:rsidRDefault="006942C8" w:rsidP="00E57865">
            <w:pPr>
              <w:pStyle w:val="Tabel-BrdtekstmedafstandptekstGaramond"/>
            </w:pPr>
          </w:p>
          <w:p w14:paraId="59CF3FC9" w14:textId="3EC1731D" w:rsidR="006942C8" w:rsidRDefault="006942C8" w:rsidP="00E57865">
            <w:pPr>
              <w:pStyle w:val="Tabel-BrdtekstmedafstandptekstGaramond"/>
            </w:pPr>
          </w:p>
          <w:p w14:paraId="1E69F841" w14:textId="7896AF30" w:rsidR="006942C8" w:rsidRDefault="006942C8" w:rsidP="00E57865">
            <w:pPr>
              <w:pStyle w:val="Tabel-BrdtekstmedafstandptekstGaramond"/>
            </w:pPr>
          </w:p>
          <w:p w14:paraId="47CBBC06" w14:textId="556D10A4" w:rsidR="006942C8" w:rsidRDefault="006942C8" w:rsidP="00E57865">
            <w:pPr>
              <w:pStyle w:val="Tabel-BrdtekstmedafstandptekstGaramond"/>
            </w:pPr>
          </w:p>
          <w:p w14:paraId="4E39D63E" w14:textId="112EE2CA" w:rsidR="003C596E" w:rsidRDefault="003C596E" w:rsidP="003C596E">
            <w:pPr>
              <w:pStyle w:val="Tabel-BrdtekstmedafstandptekstGaramond"/>
            </w:pPr>
          </w:p>
          <w:p w14:paraId="4EBF187A" w14:textId="64262305" w:rsidR="00632BC4" w:rsidRDefault="00632BC4" w:rsidP="003C596E">
            <w:pPr>
              <w:pStyle w:val="Tabel-BrdtekstmedafstandptekstGaramond"/>
            </w:pPr>
          </w:p>
          <w:p w14:paraId="261A748C" w14:textId="3DE92061" w:rsidR="00632BC4" w:rsidRDefault="00632BC4" w:rsidP="003C596E">
            <w:pPr>
              <w:pStyle w:val="Tabel-BrdtekstmedafstandptekstGaramond"/>
            </w:pPr>
          </w:p>
          <w:p w14:paraId="338BF032" w14:textId="0813FE12" w:rsidR="00632BC4" w:rsidRDefault="00632BC4" w:rsidP="003C596E">
            <w:pPr>
              <w:pStyle w:val="Tabel-BrdtekstmedafstandptekstGaramond"/>
            </w:pPr>
          </w:p>
          <w:p w14:paraId="1BDCED61" w14:textId="77777777" w:rsidR="003C596E" w:rsidRDefault="003C596E" w:rsidP="003C596E">
            <w:pPr>
              <w:pStyle w:val="Tabel-BrdtekstmedafstandptekstGaramond"/>
            </w:pPr>
          </w:p>
          <w:p w14:paraId="058B6873" w14:textId="77777777" w:rsidR="003C596E" w:rsidRDefault="003C596E" w:rsidP="003C596E">
            <w:pPr>
              <w:pStyle w:val="Tabel-BrdtekstmedafstandptekstGaramond"/>
            </w:pPr>
          </w:p>
          <w:p w14:paraId="5032BED2" w14:textId="77777777" w:rsidR="003C596E" w:rsidRDefault="003C596E" w:rsidP="003C596E">
            <w:pPr>
              <w:pStyle w:val="Tabel-BrdtekstmedafstandptekstGaramond"/>
            </w:pPr>
          </w:p>
          <w:p w14:paraId="45CF5D39" w14:textId="77777777" w:rsidR="003C596E" w:rsidRDefault="003C596E" w:rsidP="003C596E">
            <w:pPr>
              <w:pStyle w:val="Tabel-BrdtekstmedafstandptekstGaramond"/>
            </w:pPr>
          </w:p>
          <w:p w14:paraId="3F48CE92" w14:textId="2FF6386C" w:rsidR="006942C8" w:rsidRDefault="003C596E" w:rsidP="00E57865">
            <w:pPr>
              <w:pStyle w:val="Tabel-BrdtekstmedafstandptekstGaramond"/>
            </w:pPr>
            <w:r>
              <w:t>Der henvises til besvarelsen af høringssvaret fra DE.</w:t>
            </w:r>
          </w:p>
          <w:p w14:paraId="71D51148" w14:textId="77777777" w:rsidR="00632BC4" w:rsidRDefault="00632BC4" w:rsidP="00E57865">
            <w:pPr>
              <w:pStyle w:val="Tabel-BrdtekstmedafstandptekstGaramond"/>
            </w:pPr>
          </w:p>
          <w:p w14:paraId="1DFA80C1" w14:textId="77777777" w:rsidR="00632BC4" w:rsidRDefault="00632BC4" w:rsidP="00E57865">
            <w:pPr>
              <w:pStyle w:val="Tabel-BrdtekstmedafstandptekstGaramond"/>
            </w:pPr>
          </w:p>
          <w:p w14:paraId="2115F078" w14:textId="77777777" w:rsidR="00632BC4" w:rsidRDefault="00632BC4" w:rsidP="00E57865">
            <w:pPr>
              <w:pStyle w:val="Tabel-BrdtekstmedafstandptekstGaramond"/>
            </w:pPr>
          </w:p>
          <w:p w14:paraId="1FA4775E" w14:textId="77777777" w:rsidR="00632BC4" w:rsidRDefault="00632BC4" w:rsidP="00E57865">
            <w:pPr>
              <w:pStyle w:val="Tabel-BrdtekstmedafstandptekstGaramond"/>
            </w:pPr>
          </w:p>
          <w:p w14:paraId="04FCC154" w14:textId="77777777" w:rsidR="00632BC4" w:rsidRDefault="00632BC4" w:rsidP="00E57865">
            <w:pPr>
              <w:pStyle w:val="Tabel-BrdtekstmedafstandptekstGaramond"/>
            </w:pPr>
          </w:p>
          <w:p w14:paraId="28C5026D" w14:textId="77777777" w:rsidR="00632BC4" w:rsidRDefault="00632BC4" w:rsidP="00E57865">
            <w:pPr>
              <w:pStyle w:val="Tabel-BrdtekstmedafstandptekstGaramond"/>
            </w:pPr>
          </w:p>
          <w:p w14:paraId="421E2D81" w14:textId="77777777" w:rsidR="00632BC4" w:rsidRDefault="00632BC4" w:rsidP="00E57865">
            <w:pPr>
              <w:pStyle w:val="Tabel-BrdtekstmedafstandptekstGaramond"/>
            </w:pPr>
          </w:p>
          <w:p w14:paraId="38F25905" w14:textId="778768E6" w:rsidR="00632BC4" w:rsidRDefault="00FC505B" w:rsidP="00E57865">
            <w:pPr>
              <w:pStyle w:val="Tabel-BrdtekstmedafstandptekstGaramond"/>
            </w:pPr>
            <w:r w:rsidRPr="00FC505B">
              <w:t xml:space="preserve">Der henvises til besvarelsen af </w:t>
            </w:r>
            <w:proofErr w:type="spellStart"/>
            <w:r w:rsidRPr="00FC505B">
              <w:t>hø-ringssvaret</w:t>
            </w:r>
            <w:proofErr w:type="spellEnd"/>
            <w:r w:rsidRPr="00FC505B">
              <w:t xml:space="preserve"> fra DE.</w:t>
            </w:r>
          </w:p>
          <w:p w14:paraId="1C6C236F" w14:textId="77777777" w:rsidR="00632BC4" w:rsidRDefault="00632BC4" w:rsidP="00E57865">
            <w:pPr>
              <w:pStyle w:val="Tabel-BrdtekstmedafstandptekstGaramond"/>
            </w:pPr>
          </w:p>
          <w:p w14:paraId="63C057D5" w14:textId="77777777" w:rsidR="00632BC4" w:rsidRDefault="00632BC4" w:rsidP="00E57865">
            <w:pPr>
              <w:pStyle w:val="Tabel-BrdtekstmedafstandptekstGaramond"/>
            </w:pPr>
          </w:p>
          <w:p w14:paraId="1D294861" w14:textId="77777777" w:rsidR="00632BC4" w:rsidRDefault="00632BC4" w:rsidP="00E57865">
            <w:pPr>
              <w:pStyle w:val="Tabel-BrdtekstmedafstandptekstGaramond"/>
            </w:pPr>
          </w:p>
          <w:p w14:paraId="6E987432" w14:textId="77777777" w:rsidR="00632BC4" w:rsidRDefault="00632BC4" w:rsidP="00E57865">
            <w:pPr>
              <w:pStyle w:val="Tabel-BrdtekstmedafstandptekstGaramond"/>
            </w:pPr>
          </w:p>
          <w:p w14:paraId="20BFA77B" w14:textId="77777777" w:rsidR="00632BC4" w:rsidRDefault="00632BC4" w:rsidP="00E57865">
            <w:pPr>
              <w:pStyle w:val="Tabel-BrdtekstmedafstandptekstGaramond"/>
            </w:pPr>
          </w:p>
          <w:p w14:paraId="729D8123" w14:textId="77777777" w:rsidR="00632BC4" w:rsidRDefault="00632BC4" w:rsidP="00E57865">
            <w:pPr>
              <w:pStyle w:val="Tabel-BrdtekstmedafstandptekstGaramond"/>
            </w:pPr>
          </w:p>
          <w:p w14:paraId="736E7046" w14:textId="77777777" w:rsidR="00632BC4" w:rsidRDefault="00632BC4" w:rsidP="00E57865">
            <w:pPr>
              <w:pStyle w:val="Tabel-BrdtekstmedafstandptekstGaramond"/>
            </w:pPr>
          </w:p>
          <w:p w14:paraId="72449AB7" w14:textId="241698B7" w:rsidR="006942C8" w:rsidRDefault="003C596E" w:rsidP="00E57865">
            <w:pPr>
              <w:pStyle w:val="Tabel-BrdtekstmedafstandptekstGaramond"/>
            </w:pPr>
            <w:r>
              <w:t>Der henvises til besvarelsen af høringssvaret fra DE.</w:t>
            </w:r>
            <w:r w:rsidR="00632BC4">
              <w:t xml:space="preserve"> </w:t>
            </w:r>
          </w:p>
          <w:p w14:paraId="14FC3BA4" w14:textId="68A95FD9" w:rsidR="006942C8" w:rsidRDefault="006942C8" w:rsidP="00E57865">
            <w:pPr>
              <w:pStyle w:val="Tabel-BrdtekstmedafstandptekstGaramond"/>
            </w:pPr>
          </w:p>
          <w:p w14:paraId="44CEF48E" w14:textId="28E1ED77" w:rsidR="006942C8" w:rsidRDefault="006942C8" w:rsidP="00E57865">
            <w:pPr>
              <w:pStyle w:val="Tabel-BrdtekstmedafstandptekstGaramond"/>
            </w:pPr>
          </w:p>
          <w:p w14:paraId="7E5FBBED" w14:textId="2722BA57" w:rsidR="006942C8" w:rsidRDefault="006942C8" w:rsidP="00E57865">
            <w:pPr>
              <w:pStyle w:val="Tabel-BrdtekstmedafstandptekstGaramond"/>
            </w:pPr>
          </w:p>
          <w:p w14:paraId="7A536D6D" w14:textId="4346538C" w:rsidR="006942C8" w:rsidRDefault="006942C8" w:rsidP="00E57865">
            <w:pPr>
              <w:pStyle w:val="Tabel-BrdtekstmedafstandptekstGaramond"/>
            </w:pPr>
          </w:p>
          <w:p w14:paraId="7C000BBB" w14:textId="233C70D1" w:rsidR="006942C8" w:rsidRDefault="006942C8" w:rsidP="00E57865">
            <w:pPr>
              <w:pStyle w:val="Tabel-BrdtekstmedafstandptekstGaramond"/>
            </w:pPr>
          </w:p>
          <w:p w14:paraId="60C0D791" w14:textId="2FB7CE6A" w:rsidR="006942C8" w:rsidRDefault="006942C8" w:rsidP="00E57865">
            <w:pPr>
              <w:pStyle w:val="Tabel-BrdtekstmedafstandptekstGaramond"/>
            </w:pPr>
          </w:p>
          <w:p w14:paraId="30FF995D" w14:textId="77777777" w:rsidR="003C596E" w:rsidRDefault="003C596E" w:rsidP="00E57865">
            <w:pPr>
              <w:pStyle w:val="Tabel-BrdtekstmedafstandptekstGaramond"/>
            </w:pPr>
          </w:p>
          <w:p w14:paraId="58AB61C5" w14:textId="77777777" w:rsidR="003C596E" w:rsidRDefault="003C596E" w:rsidP="00E57865">
            <w:pPr>
              <w:pStyle w:val="Tabel-BrdtekstmedafstandptekstGaramond"/>
            </w:pPr>
          </w:p>
          <w:p w14:paraId="41D2AC5E" w14:textId="77777777" w:rsidR="003C596E" w:rsidRDefault="003C596E" w:rsidP="00E57865">
            <w:pPr>
              <w:pStyle w:val="Tabel-BrdtekstmedafstandptekstGaramond"/>
            </w:pPr>
          </w:p>
          <w:p w14:paraId="4A2B57E8" w14:textId="77777777" w:rsidR="003C596E" w:rsidRDefault="003C596E" w:rsidP="00E57865">
            <w:pPr>
              <w:pStyle w:val="Tabel-BrdtekstmedafstandptekstGaramond"/>
            </w:pPr>
          </w:p>
          <w:p w14:paraId="7BD83D3D" w14:textId="77777777" w:rsidR="003C596E" w:rsidRDefault="003C596E" w:rsidP="00E57865">
            <w:pPr>
              <w:pStyle w:val="Tabel-BrdtekstmedafstandptekstGaramond"/>
            </w:pPr>
          </w:p>
          <w:p w14:paraId="6EED373B" w14:textId="40AF0473" w:rsidR="006942C8" w:rsidRDefault="006942C8" w:rsidP="00E57865">
            <w:pPr>
              <w:pStyle w:val="Tabel-BrdtekstmedafstandptekstGaramond"/>
            </w:pPr>
          </w:p>
          <w:p w14:paraId="154A91DD" w14:textId="13C223FD" w:rsidR="006942C8" w:rsidRDefault="006942C8" w:rsidP="00E57865">
            <w:pPr>
              <w:pStyle w:val="Tabel-BrdtekstmedafstandptekstGaramond"/>
            </w:pPr>
          </w:p>
          <w:p w14:paraId="19EB69AB" w14:textId="71CD5434" w:rsidR="006942C8" w:rsidRDefault="006942C8" w:rsidP="00E57865">
            <w:pPr>
              <w:pStyle w:val="Tabel-BrdtekstmedafstandptekstGaramond"/>
            </w:pPr>
          </w:p>
          <w:p w14:paraId="6D244FEA" w14:textId="1951AD23" w:rsidR="006942C8" w:rsidRDefault="006942C8" w:rsidP="00E57865">
            <w:pPr>
              <w:pStyle w:val="Tabel-BrdtekstmedafstandptekstGaramond"/>
            </w:pPr>
          </w:p>
          <w:p w14:paraId="09384243" w14:textId="0F8FFD2A" w:rsidR="006942C8" w:rsidRPr="002633C0" w:rsidRDefault="006942C8" w:rsidP="00AE75C5"/>
        </w:tc>
      </w:tr>
      <w:tr w:rsidR="00437CDD" w:rsidRPr="00B5346F" w14:paraId="7327792F" w14:textId="77777777" w:rsidTr="00E57865">
        <w:tc>
          <w:tcPr>
            <w:tcW w:w="2310" w:type="dxa"/>
            <w:tcBorders>
              <w:bottom w:val="single" w:sz="4" w:space="0" w:color="D1C5C3" w:themeColor="accent3"/>
            </w:tcBorders>
            <w:shd w:val="clear" w:color="auto" w:fill="FBF9F9"/>
          </w:tcPr>
          <w:p w14:paraId="46C2C143" w14:textId="6579C4AB" w:rsidR="00437CDD" w:rsidRPr="00227E73" w:rsidRDefault="00437CDD" w:rsidP="00E57865">
            <w:pPr>
              <w:pStyle w:val="Tabel-BrdtekstmedafstandptekstGaramond"/>
              <w:rPr>
                <w:i/>
                <w:szCs w:val="22"/>
              </w:rPr>
            </w:pPr>
            <w:r>
              <w:rPr>
                <w:i/>
                <w:szCs w:val="22"/>
              </w:rPr>
              <w:t>Dansk Metal</w:t>
            </w:r>
          </w:p>
        </w:tc>
        <w:tc>
          <w:tcPr>
            <w:tcW w:w="213" w:type="dxa"/>
            <w:shd w:val="clear" w:color="auto" w:fill="FFFFFF" w:themeFill="background1"/>
          </w:tcPr>
          <w:p w14:paraId="387D0527" w14:textId="77777777" w:rsidR="00437CDD" w:rsidRPr="00B5346F" w:rsidRDefault="00437CDD" w:rsidP="00E57865"/>
        </w:tc>
        <w:tc>
          <w:tcPr>
            <w:tcW w:w="3443" w:type="dxa"/>
            <w:tcBorders>
              <w:bottom w:val="single" w:sz="4" w:space="0" w:color="D1C5C3" w:themeColor="accent3"/>
            </w:tcBorders>
            <w:shd w:val="clear" w:color="auto" w:fill="FBF9F9"/>
          </w:tcPr>
          <w:p w14:paraId="2F3B6C88" w14:textId="77777777" w:rsidR="00437CDD" w:rsidRPr="005E1E9F" w:rsidRDefault="00437CDD" w:rsidP="00E57865">
            <w:pPr>
              <w:pStyle w:val="Tabel-BrdtekstmedafstandptekstGaramond"/>
              <w:rPr>
                <w:rFonts w:cs="Arial"/>
                <w:bCs/>
                <w:i/>
                <w:iCs/>
                <w:color w:val="000000" w:themeColor="text1"/>
                <w:szCs w:val="22"/>
              </w:rPr>
            </w:pPr>
            <w:proofErr w:type="spellStart"/>
            <w:r w:rsidRPr="005E1E9F">
              <w:rPr>
                <w:rFonts w:cs="Arial"/>
                <w:bCs/>
                <w:i/>
                <w:iCs/>
                <w:color w:val="000000" w:themeColor="text1"/>
                <w:szCs w:val="22"/>
              </w:rPr>
              <w:t>FoU</w:t>
            </w:r>
            <w:proofErr w:type="spellEnd"/>
          </w:p>
          <w:p w14:paraId="15BF5C33" w14:textId="7997D554" w:rsidR="00437CDD" w:rsidRDefault="00437CDD" w:rsidP="00E57865">
            <w:pPr>
              <w:pStyle w:val="Tabel-BrdtekstmedafstandptekstGaramond"/>
              <w:rPr>
                <w:rFonts w:cs="Arial"/>
                <w:color w:val="000000" w:themeColor="text1"/>
                <w:szCs w:val="22"/>
              </w:rPr>
            </w:pPr>
            <w:r>
              <w:rPr>
                <w:rFonts w:cs="Arial"/>
                <w:color w:val="000000" w:themeColor="text1"/>
                <w:szCs w:val="22"/>
              </w:rPr>
              <w:t>Dansk Metal støtter op om hhv. den midlertidige forhøjelse af fradrag for udgifter til forsøgs- og forskningsvirksomhed og selskabsskattefritagelse</w:t>
            </w:r>
            <w:r w:rsidR="00632BC4">
              <w:rPr>
                <w:rFonts w:cs="Arial"/>
                <w:color w:val="000000" w:themeColor="text1"/>
                <w:szCs w:val="22"/>
              </w:rPr>
              <w:t>n</w:t>
            </w:r>
            <w:r>
              <w:rPr>
                <w:rFonts w:cs="Arial"/>
                <w:color w:val="000000" w:themeColor="text1"/>
                <w:szCs w:val="22"/>
              </w:rPr>
              <w:t xml:space="preserve"> af Fonden. </w:t>
            </w:r>
          </w:p>
          <w:p w14:paraId="6940CC3E" w14:textId="77777777" w:rsidR="00437CDD" w:rsidRDefault="00437CDD" w:rsidP="00E57865">
            <w:pPr>
              <w:pStyle w:val="Tabel-BrdtekstmedafstandptekstGaramond"/>
              <w:rPr>
                <w:rFonts w:cs="Arial"/>
                <w:color w:val="000000" w:themeColor="text1"/>
                <w:szCs w:val="22"/>
              </w:rPr>
            </w:pPr>
          </w:p>
          <w:p w14:paraId="012F4E01" w14:textId="13DF538D" w:rsidR="00437CDD" w:rsidRDefault="00437CDD" w:rsidP="00E57865">
            <w:pPr>
              <w:pStyle w:val="Tabel-BrdtekstmedafstandptekstGaramond"/>
              <w:rPr>
                <w:rFonts w:cs="Arial"/>
                <w:color w:val="000000" w:themeColor="text1"/>
                <w:szCs w:val="22"/>
              </w:rPr>
            </w:pPr>
            <w:r>
              <w:rPr>
                <w:rFonts w:cs="Arial"/>
                <w:color w:val="000000" w:themeColor="text1"/>
                <w:szCs w:val="22"/>
              </w:rPr>
              <w:t>Dansk Metal ser det som et væsentligt redskab for at understøtte forsøgs- og forskningsaktiviteten i virksomhederne, at fradraget for udgifterne forhøjes</w:t>
            </w:r>
            <w:r w:rsidR="00632BC4">
              <w:rPr>
                <w:rFonts w:cs="Arial"/>
                <w:color w:val="000000" w:themeColor="text1"/>
                <w:szCs w:val="22"/>
              </w:rPr>
              <w:t>,</w:t>
            </w:r>
            <w:r>
              <w:rPr>
                <w:rFonts w:cs="Arial"/>
                <w:color w:val="000000" w:themeColor="text1"/>
                <w:szCs w:val="22"/>
              </w:rPr>
              <w:t xml:space="preserve"> således at der fortsat foretages investeringer i bl.a. ny teknologi. </w:t>
            </w:r>
          </w:p>
          <w:p w14:paraId="0ED0250D" w14:textId="77777777" w:rsidR="00437CDD" w:rsidRDefault="00437CDD" w:rsidP="00E57865">
            <w:pPr>
              <w:pStyle w:val="Tabel-BrdtekstmedafstandptekstGaramond"/>
              <w:rPr>
                <w:rFonts w:cs="Arial"/>
                <w:color w:val="000000" w:themeColor="text1"/>
                <w:szCs w:val="22"/>
              </w:rPr>
            </w:pPr>
          </w:p>
          <w:p w14:paraId="372CA798" w14:textId="79950EEA" w:rsidR="00A07CB1" w:rsidRDefault="00437CDD" w:rsidP="00A07CB1">
            <w:pPr>
              <w:pStyle w:val="Tabel-BrdtekstmedafstandptekstGaramond"/>
              <w:rPr>
                <w:rFonts w:cs="Arial"/>
                <w:color w:val="000000" w:themeColor="text1"/>
                <w:szCs w:val="22"/>
              </w:rPr>
            </w:pPr>
            <w:r>
              <w:rPr>
                <w:rFonts w:cs="Arial"/>
                <w:color w:val="000000" w:themeColor="text1"/>
                <w:szCs w:val="22"/>
              </w:rPr>
              <w:t>Dansk Metal finder det samtidigt fornuftigt, at der foreslås et loft over fradraget</w:t>
            </w:r>
            <w:r w:rsidR="00632BC4">
              <w:rPr>
                <w:rFonts w:cs="Arial"/>
                <w:color w:val="000000" w:themeColor="text1"/>
                <w:szCs w:val="22"/>
              </w:rPr>
              <w:t>,</w:t>
            </w:r>
            <w:r>
              <w:rPr>
                <w:rFonts w:cs="Arial"/>
                <w:color w:val="000000" w:themeColor="text1"/>
                <w:szCs w:val="22"/>
              </w:rPr>
              <w:t xml:space="preserve"> således at skatteværdien ikke kan overstige 50 mio. kr.</w:t>
            </w:r>
            <w:r w:rsidR="00632BC4">
              <w:rPr>
                <w:rFonts w:cs="Arial"/>
                <w:color w:val="000000" w:themeColor="text1"/>
                <w:szCs w:val="22"/>
              </w:rPr>
              <w:t>,</w:t>
            </w:r>
            <w:r>
              <w:rPr>
                <w:rFonts w:cs="Arial"/>
                <w:color w:val="000000" w:themeColor="text1"/>
                <w:szCs w:val="22"/>
              </w:rPr>
              <w:t xml:space="preserve"> for at mindske dødvægtstabet, mens SMV’er vil få fuld gavn af de forbedrede incitamenter. </w:t>
            </w:r>
          </w:p>
          <w:p w14:paraId="1F21BC96" w14:textId="77777777" w:rsidR="00A07CB1" w:rsidRDefault="00A07CB1" w:rsidP="00A07CB1">
            <w:pPr>
              <w:pStyle w:val="Tabel-BrdtekstmedafstandptekstGaramond"/>
              <w:rPr>
                <w:rFonts w:cs="Arial"/>
                <w:color w:val="000000" w:themeColor="text1"/>
                <w:szCs w:val="22"/>
              </w:rPr>
            </w:pPr>
          </w:p>
          <w:p w14:paraId="6E9F41C9" w14:textId="28838AE2" w:rsidR="00437CDD" w:rsidRPr="00BE439D" w:rsidRDefault="00437CDD" w:rsidP="00A07CB1">
            <w:pPr>
              <w:pStyle w:val="Tabel-BrdtekstmedafstandptekstGaramond"/>
              <w:rPr>
                <w:rFonts w:cs="Arial"/>
                <w:color w:val="000000" w:themeColor="text1"/>
                <w:szCs w:val="22"/>
              </w:rPr>
            </w:pPr>
            <w:r>
              <w:rPr>
                <w:rFonts w:cs="Arial"/>
                <w:color w:val="000000" w:themeColor="text1"/>
                <w:szCs w:val="22"/>
              </w:rPr>
              <w:t xml:space="preserve">Dansk Metal fremhæver, at </w:t>
            </w:r>
            <w:r w:rsidR="00A07CB1">
              <w:rPr>
                <w:rFonts w:cs="Arial"/>
                <w:color w:val="000000" w:themeColor="text1"/>
                <w:szCs w:val="22"/>
              </w:rPr>
              <w:t>man kunne overveje at gøre ordningen permanent,</w:t>
            </w:r>
            <w:r w:rsidR="007E2037">
              <w:rPr>
                <w:rFonts w:cs="Arial"/>
                <w:color w:val="000000" w:themeColor="text1"/>
                <w:szCs w:val="22"/>
              </w:rPr>
              <w:t xml:space="preserve"> såfremt evalueringerne af ordningen er gode</w:t>
            </w:r>
            <w:r w:rsidR="00A07CB1">
              <w:rPr>
                <w:rFonts w:cs="Arial"/>
                <w:color w:val="000000" w:themeColor="text1"/>
                <w:szCs w:val="22"/>
              </w:rPr>
              <w:t>.</w:t>
            </w:r>
            <w:r w:rsidR="007E2037">
              <w:rPr>
                <w:rFonts w:cs="Arial"/>
                <w:color w:val="000000" w:themeColor="text1"/>
                <w:szCs w:val="22"/>
              </w:rPr>
              <w:t xml:space="preserve"> </w:t>
            </w:r>
          </w:p>
        </w:tc>
        <w:tc>
          <w:tcPr>
            <w:tcW w:w="230" w:type="dxa"/>
            <w:shd w:val="clear" w:color="auto" w:fill="FFFFFF" w:themeFill="background1"/>
          </w:tcPr>
          <w:p w14:paraId="6EABA73D" w14:textId="77777777" w:rsidR="00437CDD" w:rsidRPr="00B5346F" w:rsidRDefault="00437CDD" w:rsidP="00E57865"/>
        </w:tc>
        <w:tc>
          <w:tcPr>
            <w:tcW w:w="3443" w:type="dxa"/>
            <w:tcBorders>
              <w:bottom w:val="single" w:sz="4" w:space="0" w:color="14143C" w:themeColor="accent1"/>
            </w:tcBorders>
            <w:shd w:val="clear" w:color="auto" w:fill="D2CED8"/>
          </w:tcPr>
          <w:p w14:paraId="4EDA0BD0" w14:textId="77777777" w:rsidR="00437CDD" w:rsidRDefault="00437CDD" w:rsidP="00E57865">
            <w:pPr>
              <w:pStyle w:val="Tabel-BrdtekstmedafstandptekstGaramond"/>
            </w:pPr>
          </w:p>
          <w:p w14:paraId="21906B9B" w14:textId="77777777" w:rsidR="00632BC4" w:rsidRDefault="00632BC4" w:rsidP="00E57865">
            <w:pPr>
              <w:pStyle w:val="Tabel-BrdtekstmedafstandptekstGaramond"/>
            </w:pPr>
          </w:p>
          <w:p w14:paraId="3F73EB84" w14:textId="77777777" w:rsidR="00632BC4" w:rsidRDefault="00632BC4" w:rsidP="00E57865">
            <w:pPr>
              <w:pStyle w:val="Tabel-BrdtekstmedafstandptekstGaramond"/>
            </w:pPr>
          </w:p>
          <w:p w14:paraId="4FF222A5" w14:textId="77777777" w:rsidR="00632BC4" w:rsidRDefault="00632BC4" w:rsidP="00E57865">
            <w:pPr>
              <w:pStyle w:val="Tabel-BrdtekstmedafstandptekstGaramond"/>
            </w:pPr>
          </w:p>
          <w:p w14:paraId="069BE9D9" w14:textId="77777777" w:rsidR="00632BC4" w:rsidRDefault="00632BC4" w:rsidP="00E57865">
            <w:pPr>
              <w:pStyle w:val="Tabel-BrdtekstmedafstandptekstGaramond"/>
            </w:pPr>
          </w:p>
          <w:p w14:paraId="607A1A80" w14:textId="77777777" w:rsidR="00632BC4" w:rsidRDefault="00632BC4" w:rsidP="00E57865">
            <w:pPr>
              <w:pStyle w:val="Tabel-BrdtekstmedafstandptekstGaramond"/>
            </w:pPr>
          </w:p>
          <w:p w14:paraId="68C493FE" w14:textId="77777777" w:rsidR="00632BC4" w:rsidRDefault="00632BC4" w:rsidP="00E57865">
            <w:pPr>
              <w:pStyle w:val="Tabel-BrdtekstmedafstandptekstGaramond"/>
            </w:pPr>
          </w:p>
          <w:p w14:paraId="0A0266A1" w14:textId="77777777" w:rsidR="00632BC4" w:rsidRDefault="00632BC4" w:rsidP="00E57865">
            <w:pPr>
              <w:pStyle w:val="Tabel-BrdtekstmedafstandptekstGaramond"/>
            </w:pPr>
          </w:p>
          <w:p w14:paraId="166612DF" w14:textId="77777777" w:rsidR="00632BC4" w:rsidRDefault="00632BC4" w:rsidP="00E57865">
            <w:pPr>
              <w:pStyle w:val="Tabel-BrdtekstmedafstandptekstGaramond"/>
            </w:pPr>
          </w:p>
          <w:p w14:paraId="0B9C59C5" w14:textId="77777777" w:rsidR="00632BC4" w:rsidRDefault="00632BC4" w:rsidP="00E57865">
            <w:pPr>
              <w:pStyle w:val="Tabel-BrdtekstmedafstandptekstGaramond"/>
            </w:pPr>
          </w:p>
          <w:p w14:paraId="4026600C" w14:textId="77777777" w:rsidR="00632BC4" w:rsidRDefault="00632BC4" w:rsidP="00E57865">
            <w:pPr>
              <w:pStyle w:val="Tabel-BrdtekstmedafstandptekstGaramond"/>
            </w:pPr>
          </w:p>
          <w:p w14:paraId="632D4FDA" w14:textId="77777777" w:rsidR="00632BC4" w:rsidRDefault="00632BC4" w:rsidP="00E57865">
            <w:pPr>
              <w:pStyle w:val="Tabel-BrdtekstmedafstandptekstGaramond"/>
            </w:pPr>
          </w:p>
          <w:p w14:paraId="3B84828F" w14:textId="77777777" w:rsidR="00632BC4" w:rsidRDefault="00632BC4" w:rsidP="00E57865">
            <w:pPr>
              <w:pStyle w:val="Tabel-BrdtekstmedafstandptekstGaramond"/>
            </w:pPr>
          </w:p>
          <w:p w14:paraId="6DB497B0" w14:textId="77777777" w:rsidR="00632BC4" w:rsidRDefault="00632BC4" w:rsidP="00E57865">
            <w:pPr>
              <w:pStyle w:val="Tabel-BrdtekstmedafstandptekstGaramond"/>
            </w:pPr>
          </w:p>
          <w:p w14:paraId="18947797" w14:textId="77777777" w:rsidR="00632BC4" w:rsidRDefault="00632BC4" w:rsidP="00E57865">
            <w:pPr>
              <w:pStyle w:val="Tabel-BrdtekstmedafstandptekstGaramond"/>
            </w:pPr>
          </w:p>
          <w:p w14:paraId="7E93262A" w14:textId="77777777" w:rsidR="00632BC4" w:rsidRDefault="00632BC4" w:rsidP="00E57865">
            <w:pPr>
              <w:pStyle w:val="Tabel-BrdtekstmedafstandptekstGaramond"/>
            </w:pPr>
          </w:p>
          <w:p w14:paraId="41BDE01C" w14:textId="77777777" w:rsidR="00632BC4" w:rsidRDefault="00632BC4" w:rsidP="00E57865">
            <w:pPr>
              <w:pStyle w:val="Tabel-BrdtekstmedafstandptekstGaramond"/>
            </w:pPr>
          </w:p>
          <w:p w14:paraId="4C4DF90C" w14:textId="77777777" w:rsidR="00632BC4" w:rsidRDefault="00632BC4" w:rsidP="00E57865">
            <w:pPr>
              <w:pStyle w:val="Tabel-BrdtekstmedafstandptekstGaramond"/>
            </w:pPr>
          </w:p>
          <w:p w14:paraId="330C57B4" w14:textId="77777777" w:rsidR="00632BC4" w:rsidRDefault="00632BC4" w:rsidP="00E57865">
            <w:pPr>
              <w:pStyle w:val="Tabel-BrdtekstmedafstandptekstGaramond"/>
            </w:pPr>
          </w:p>
          <w:p w14:paraId="62765CD0" w14:textId="77777777" w:rsidR="00632BC4" w:rsidRDefault="00632BC4" w:rsidP="00E57865">
            <w:pPr>
              <w:pStyle w:val="Tabel-BrdtekstmedafstandptekstGaramond"/>
            </w:pPr>
          </w:p>
          <w:p w14:paraId="7A636221" w14:textId="77777777" w:rsidR="00632BC4" w:rsidRDefault="00632BC4" w:rsidP="00E57865">
            <w:pPr>
              <w:pStyle w:val="Tabel-BrdtekstmedafstandptekstGaramond"/>
            </w:pPr>
          </w:p>
          <w:p w14:paraId="71F9E395" w14:textId="77777777" w:rsidR="00632BC4" w:rsidRDefault="00632BC4" w:rsidP="00E57865">
            <w:pPr>
              <w:pStyle w:val="Tabel-BrdtekstmedafstandptekstGaramond"/>
            </w:pPr>
          </w:p>
          <w:p w14:paraId="3F0019C2" w14:textId="77777777" w:rsidR="00632BC4" w:rsidRDefault="00632BC4" w:rsidP="00E57865">
            <w:pPr>
              <w:pStyle w:val="Tabel-BrdtekstmedafstandptekstGaramond"/>
            </w:pPr>
          </w:p>
          <w:p w14:paraId="73148529" w14:textId="2ACE2FB1" w:rsidR="00632BC4" w:rsidRDefault="00632BC4" w:rsidP="00E57865">
            <w:pPr>
              <w:pStyle w:val="Tabel-BrdtekstmedafstandptekstGaramond"/>
            </w:pPr>
            <w:r>
              <w:t>Der henvises til besvarelsen af høringssvaret fra Akademikerne.</w:t>
            </w:r>
          </w:p>
          <w:p w14:paraId="5C81E50C" w14:textId="77777777" w:rsidR="00632BC4" w:rsidRDefault="00632BC4" w:rsidP="00E57865">
            <w:pPr>
              <w:pStyle w:val="Tabel-BrdtekstmedafstandptekstGaramond"/>
            </w:pPr>
          </w:p>
          <w:p w14:paraId="4A3BCCAA" w14:textId="1EC73D28" w:rsidR="00632BC4" w:rsidRPr="00B5346F" w:rsidRDefault="00632BC4" w:rsidP="00E57865">
            <w:pPr>
              <w:pStyle w:val="Tabel-BrdtekstmedafstandptekstGaramond"/>
            </w:pPr>
          </w:p>
        </w:tc>
      </w:tr>
      <w:tr w:rsidR="0032253D" w:rsidRPr="00B5346F" w14:paraId="4CF88636" w14:textId="77777777" w:rsidTr="003326BB">
        <w:tc>
          <w:tcPr>
            <w:tcW w:w="2310" w:type="dxa"/>
            <w:tcBorders>
              <w:bottom w:val="single" w:sz="4" w:space="0" w:color="D1C5C3" w:themeColor="accent3"/>
            </w:tcBorders>
            <w:shd w:val="clear" w:color="auto" w:fill="FBF9F9"/>
          </w:tcPr>
          <w:p w14:paraId="74C475AD" w14:textId="7541B209" w:rsidR="0032253D" w:rsidRPr="00227E73" w:rsidRDefault="0032253D" w:rsidP="00DC10A2">
            <w:pPr>
              <w:pStyle w:val="Tabel-BrdtekstmedafstandptekstGaramond"/>
              <w:rPr>
                <w:i/>
                <w:szCs w:val="22"/>
              </w:rPr>
            </w:pPr>
            <w:r>
              <w:rPr>
                <w:i/>
                <w:szCs w:val="22"/>
              </w:rPr>
              <w:t>Danske Rederier</w:t>
            </w:r>
          </w:p>
        </w:tc>
        <w:tc>
          <w:tcPr>
            <w:tcW w:w="213" w:type="dxa"/>
            <w:shd w:val="clear" w:color="auto" w:fill="FFFFFF" w:themeFill="background1"/>
          </w:tcPr>
          <w:p w14:paraId="2FE3613D" w14:textId="77777777" w:rsidR="0032253D" w:rsidRPr="00B5346F" w:rsidRDefault="0032253D" w:rsidP="00DC10A2"/>
        </w:tc>
        <w:tc>
          <w:tcPr>
            <w:tcW w:w="3443" w:type="dxa"/>
            <w:tcBorders>
              <w:bottom w:val="single" w:sz="4" w:space="0" w:color="D1C5C3" w:themeColor="accent3"/>
            </w:tcBorders>
            <w:shd w:val="clear" w:color="auto" w:fill="FBF9F9"/>
          </w:tcPr>
          <w:p w14:paraId="7457FD1A" w14:textId="77777777" w:rsidR="0032253D" w:rsidRPr="005E1E9F" w:rsidRDefault="0032253D" w:rsidP="006D791F">
            <w:pPr>
              <w:pStyle w:val="Tabel-BrdtekstmedafstandptekstGaramond"/>
              <w:rPr>
                <w:bCs/>
                <w:i/>
                <w:iCs/>
                <w:szCs w:val="22"/>
              </w:rPr>
            </w:pPr>
            <w:proofErr w:type="spellStart"/>
            <w:r w:rsidRPr="005E1E9F">
              <w:rPr>
                <w:bCs/>
                <w:i/>
                <w:iCs/>
                <w:szCs w:val="22"/>
              </w:rPr>
              <w:t>FoU</w:t>
            </w:r>
            <w:proofErr w:type="spellEnd"/>
          </w:p>
          <w:p w14:paraId="23F0EB9B" w14:textId="666A2286" w:rsidR="0032253D" w:rsidRDefault="0032253D" w:rsidP="006D791F">
            <w:pPr>
              <w:pStyle w:val="Tabel-BrdtekstmedafstandptekstGaramond"/>
              <w:rPr>
                <w:szCs w:val="22"/>
              </w:rPr>
            </w:pPr>
            <w:r>
              <w:rPr>
                <w:szCs w:val="22"/>
              </w:rPr>
              <w:t xml:space="preserve">Danske Rederier indleder høringssvaret med at fremhæve, at dansk skibsfart er Danmarks største enkeltstående eksporterhverv, hvor forsøgs- og forskningsaktiviteter er medvirkende til at sikre danske rederiers position på verdensmarkedet og dermed Danmark som førende søfartsnation. </w:t>
            </w:r>
          </w:p>
          <w:p w14:paraId="470FFCE6" w14:textId="575AE817" w:rsidR="003C596E" w:rsidRDefault="003C596E" w:rsidP="006D791F">
            <w:pPr>
              <w:pStyle w:val="Tabel-BrdtekstmedafstandptekstGaramond"/>
              <w:rPr>
                <w:szCs w:val="22"/>
              </w:rPr>
            </w:pPr>
          </w:p>
          <w:p w14:paraId="39547108" w14:textId="77DB5347" w:rsidR="0032253D" w:rsidRDefault="0032253D" w:rsidP="0032253D">
            <w:pPr>
              <w:pStyle w:val="Tabel-BrdtekstmedafstandptekstGaramond"/>
              <w:rPr>
                <w:szCs w:val="22"/>
              </w:rPr>
            </w:pPr>
            <w:r>
              <w:rPr>
                <w:szCs w:val="22"/>
              </w:rPr>
              <w:t xml:space="preserve">Danske Rederier anbefaler at gøre ordningen om det forhøjede fradrag for forsøgs- og forskningsvirksomhed på 130 pct. permanent og samtidig ophæve loftet over fradraget på 50 mio. kr. (skatteværdien). </w:t>
            </w:r>
          </w:p>
          <w:p w14:paraId="2C5E61BC" w14:textId="77777777" w:rsidR="0032253D" w:rsidRDefault="0032253D" w:rsidP="0032253D">
            <w:pPr>
              <w:pStyle w:val="Tabel-BrdtekstmedafstandptekstGaramond"/>
              <w:rPr>
                <w:szCs w:val="22"/>
              </w:rPr>
            </w:pPr>
          </w:p>
          <w:p w14:paraId="2425176C" w14:textId="39139FAD" w:rsidR="0032253D" w:rsidRDefault="0032253D" w:rsidP="0032253D">
            <w:pPr>
              <w:pStyle w:val="Tabel-BrdtekstmedafstandptekstGaramond"/>
              <w:rPr>
                <w:rFonts w:cs="Arial"/>
                <w:color w:val="000000"/>
                <w:szCs w:val="22"/>
              </w:rPr>
            </w:pPr>
            <w:r>
              <w:rPr>
                <w:rFonts w:cs="Arial"/>
                <w:color w:val="000000"/>
                <w:szCs w:val="22"/>
              </w:rPr>
              <w:t>Danske R</w:t>
            </w:r>
            <w:r w:rsidRPr="0032253D">
              <w:rPr>
                <w:rFonts w:cs="Arial"/>
                <w:color w:val="000000"/>
                <w:szCs w:val="22"/>
              </w:rPr>
              <w:t xml:space="preserve">ederier </w:t>
            </w:r>
            <w:r>
              <w:rPr>
                <w:rFonts w:cs="Arial"/>
                <w:color w:val="000000"/>
                <w:szCs w:val="22"/>
              </w:rPr>
              <w:t>fremhæver</w:t>
            </w:r>
            <w:r w:rsidR="00B851ED">
              <w:rPr>
                <w:rFonts w:cs="Arial"/>
                <w:color w:val="000000"/>
                <w:szCs w:val="22"/>
              </w:rPr>
              <w:t xml:space="preserve">, at der er behov for ny teknologi, såfremt målet om at nedbringe CO2-udledning med 50 pct. i 2050 skal indfries. </w:t>
            </w:r>
          </w:p>
          <w:p w14:paraId="3E005517" w14:textId="77777777" w:rsidR="0032253D" w:rsidRDefault="0032253D" w:rsidP="0032253D">
            <w:pPr>
              <w:pStyle w:val="Tabel-BrdtekstmedafstandptekstGaramond"/>
              <w:rPr>
                <w:rFonts w:cs="Arial"/>
                <w:color w:val="000000"/>
                <w:szCs w:val="22"/>
              </w:rPr>
            </w:pPr>
          </w:p>
          <w:p w14:paraId="3319D39B" w14:textId="7BEF6572" w:rsidR="0032253D" w:rsidRDefault="0032253D" w:rsidP="0032253D">
            <w:pPr>
              <w:pStyle w:val="Tabel-BrdtekstmedafstandptekstGaramond"/>
              <w:rPr>
                <w:szCs w:val="22"/>
              </w:rPr>
            </w:pPr>
            <w:r>
              <w:rPr>
                <w:szCs w:val="22"/>
              </w:rPr>
              <w:t xml:space="preserve">Danske Rederier understreger ligeledes, at den maritime branche modtager langt færre offentlige forskningsmidler end de fleste øvrige sektorer, som fx energi og life-science, </w:t>
            </w:r>
            <w:r w:rsidR="005E1E9F">
              <w:rPr>
                <w:szCs w:val="22"/>
              </w:rPr>
              <w:t>hvilket</w:t>
            </w:r>
            <w:r>
              <w:rPr>
                <w:szCs w:val="22"/>
              </w:rPr>
              <w:t xml:space="preserve"> kan få konsekvenser for branchen</w:t>
            </w:r>
            <w:r w:rsidR="00B851ED">
              <w:rPr>
                <w:szCs w:val="22"/>
              </w:rPr>
              <w:t>.</w:t>
            </w:r>
          </w:p>
          <w:p w14:paraId="1AB3B6B1" w14:textId="77777777" w:rsidR="0095609C" w:rsidRDefault="0095609C" w:rsidP="0032253D">
            <w:pPr>
              <w:pStyle w:val="Tabel-BrdtekstmedafstandptekstGaramond"/>
              <w:rPr>
                <w:szCs w:val="22"/>
              </w:rPr>
            </w:pPr>
          </w:p>
          <w:p w14:paraId="41163082" w14:textId="2B4000AF" w:rsidR="0095609C" w:rsidRPr="0032253D" w:rsidRDefault="0095609C" w:rsidP="0032253D">
            <w:pPr>
              <w:pStyle w:val="Tabel-BrdtekstmedafstandptekstGaramond"/>
              <w:rPr>
                <w:szCs w:val="22"/>
              </w:rPr>
            </w:pPr>
            <w:r>
              <w:rPr>
                <w:szCs w:val="22"/>
              </w:rPr>
              <w:t>Danske Rederier afrunder høringssvaret med at understrege, at der er behov for en dedikeret og ambitiøs indsats, herunder flere offentlige midler, for at sikre fremtidens klimaløsninger og Danmarks position som førende søfartsnation, hvor e</w:t>
            </w:r>
            <w:r w:rsidR="005D3111">
              <w:rPr>
                <w:szCs w:val="22"/>
              </w:rPr>
              <w:t>n</w:t>
            </w:r>
            <w:r>
              <w:rPr>
                <w:szCs w:val="22"/>
              </w:rPr>
              <w:t xml:space="preserve"> permanent forhøjelse af fradrag for udgifter til forsøgs- og forskningsvirksomhed og </w:t>
            </w:r>
            <w:r w:rsidR="005D3111">
              <w:rPr>
                <w:szCs w:val="22"/>
              </w:rPr>
              <w:t>intet</w:t>
            </w:r>
            <w:r>
              <w:rPr>
                <w:szCs w:val="22"/>
              </w:rPr>
              <w:t xml:space="preserve"> loft over adgangen til fradraget er en del af løsningen. </w:t>
            </w:r>
          </w:p>
        </w:tc>
        <w:tc>
          <w:tcPr>
            <w:tcW w:w="230" w:type="dxa"/>
            <w:shd w:val="clear" w:color="auto" w:fill="FFFFFF" w:themeFill="background1"/>
          </w:tcPr>
          <w:p w14:paraId="0B4FD2C8" w14:textId="77777777" w:rsidR="0032253D" w:rsidRPr="00B5346F" w:rsidRDefault="0032253D" w:rsidP="00DC10A2"/>
        </w:tc>
        <w:tc>
          <w:tcPr>
            <w:tcW w:w="3443" w:type="dxa"/>
            <w:tcBorders>
              <w:bottom w:val="single" w:sz="4" w:space="0" w:color="14143C" w:themeColor="accent1"/>
            </w:tcBorders>
            <w:shd w:val="clear" w:color="auto" w:fill="D2CED8"/>
          </w:tcPr>
          <w:p w14:paraId="50630E78" w14:textId="77777777" w:rsidR="0032253D" w:rsidRDefault="0032253D" w:rsidP="00DC10A2">
            <w:pPr>
              <w:pStyle w:val="Tabel-BrdtekstmedafstandptekstGaramond"/>
            </w:pPr>
          </w:p>
          <w:p w14:paraId="5B9EB7F7" w14:textId="77777777" w:rsidR="006942C8" w:rsidRDefault="006942C8" w:rsidP="00DC10A2">
            <w:pPr>
              <w:pStyle w:val="Tabel-BrdtekstmedafstandptekstGaramond"/>
            </w:pPr>
          </w:p>
          <w:p w14:paraId="40D4E7BB" w14:textId="77777777" w:rsidR="006942C8" w:rsidRDefault="006942C8" w:rsidP="00DC10A2">
            <w:pPr>
              <w:pStyle w:val="Tabel-BrdtekstmedafstandptekstGaramond"/>
            </w:pPr>
          </w:p>
          <w:p w14:paraId="0A43DCF7" w14:textId="77777777" w:rsidR="006942C8" w:rsidRDefault="006942C8" w:rsidP="00DC10A2">
            <w:pPr>
              <w:pStyle w:val="Tabel-BrdtekstmedafstandptekstGaramond"/>
            </w:pPr>
          </w:p>
          <w:p w14:paraId="115CF4B9" w14:textId="77777777" w:rsidR="006942C8" w:rsidRDefault="006942C8" w:rsidP="00DC10A2">
            <w:pPr>
              <w:pStyle w:val="Tabel-BrdtekstmedafstandptekstGaramond"/>
            </w:pPr>
          </w:p>
          <w:p w14:paraId="659E46B0" w14:textId="77777777" w:rsidR="006942C8" w:rsidRDefault="006942C8" w:rsidP="00DC10A2">
            <w:pPr>
              <w:pStyle w:val="Tabel-BrdtekstmedafstandptekstGaramond"/>
            </w:pPr>
          </w:p>
          <w:p w14:paraId="731AD106" w14:textId="77777777" w:rsidR="006942C8" w:rsidRDefault="006942C8" w:rsidP="00DC10A2">
            <w:pPr>
              <w:pStyle w:val="Tabel-BrdtekstmedafstandptekstGaramond"/>
            </w:pPr>
          </w:p>
          <w:p w14:paraId="28A4599C" w14:textId="77777777" w:rsidR="006942C8" w:rsidRDefault="006942C8" w:rsidP="00DC10A2">
            <w:pPr>
              <w:pStyle w:val="Tabel-BrdtekstmedafstandptekstGaramond"/>
            </w:pPr>
          </w:p>
          <w:p w14:paraId="0486ACEC" w14:textId="32350D9E" w:rsidR="006942C8" w:rsidRDefault="006942C8" w:rsidP="00DC10A2">
            <w:pPr>
              <w:pStyle w:val="Tabel-BrdtekstmedafstandptekstGaramond"/>
            </w:pPr>
          </w:p>
          <w:p w14:paraId="38583081" w14:textId="77777777" w:rsidR="00170CCF" w:rsidRDefault="00170CCF" w:rsidP="00DC10A2">
            <w:pPr>
              <w:pStyle w:val="Tabel-BrdtekstmedafstandptekstGaramond"/>
            </w:pPr>
          </w:p>
          <w:p w14:paraId="3DE70B52" w14:textId="6C47ADF3" w:rsidR="006942C8" w:rsidRDefault="006942C8" w:rsidP="00DC10A2">
            <w:pPr>
              <w:pStyle w:val="Tabel-BrdtekstmedafstandptekstGaramond"/>
            </w:pPr>
          </w:p>
          <w:p w14:paraId="1055F72F" w14:textId="013DA9EA" w:rsidR="006942C8" w:rsidRPr="00B5346F" w:rsidRDefault="003C596E" w:rsidP="003C596E">
            <w:pPr>
              <w:pStyle w:val="Tabel-BrdtekstmedafstandptekstGaramond"/>
            </w:pPr>
            <w:r>
              <w:t>Der henvises til besvarelsen af høringssvare</w:t>
            </w:r>
            <w:r w:rsidR="002C2A3E">
              <w:t>ne</w:t>
            </w:r>
            <w:r>
              <w:t xml:space="preserve"> fra</w:t>
            </w:r>
            <w:r w:rsidR="006942C8">
              <w:t xml:space="preserve"> Akademikerne og DI.</w:t>
            </w:r>
          </w:p>
        </w:tc>
      </w:tr>
      <w:tr w:rsidR="00943E9C" w:rsidRPr="00B5346F" w14:paraId="43D89B8F" w14:textId="77777777" w:rsidTr="003326BB">
        <w:tc>
          <w:tcPr>
            <w:tcW w:w="2310" w:type="dxa"/>
            <w:tcBorders>
              <w:bottom w:val="single" w:sz="4" w:space="0" w:color="D1C5C3" w:themeColor="accent3"/>
            </w:tcBorders>
            <w:shd w:val="clear" w:color="auto" w:fill="FBF9F9"/>
          </w:tcPr>
          <w:p w14:paraId="5DBF87ED" w14:textId="22C27FF6" w:rsidR="00943E9C" w:rsidRDefault="002A49E8" w:rsidP="00DC10A2">
            <w:pPr>
              <w:pStyle w:val="Tabel-BrdtekstmedafstandptekstGaramond"/>
              <w:rPr>
                <w:i/>
                <w:szCs w:val="22"/>
              </w:rPr>
            </w:pPr>
            <w:r w:rsidRPr="00227E73">
              <w:rPr>
                <w:i/>
                <w:szCs w:val="22"/>
              </w:rPr>
              <w:t xml:space="preserve">Erhvervsstyrelsen – </w:t>
            </w:r>
            <w:r w:rsidR="00D5604D">
              <w:rPr>
                <w:i/>
                <w:szCs w:val="22"/>
              </w:rPr>
              <w:t>Område for bedre regulering</w:t>
            </w:r>
          </w:p>
          <w:p w14:paraId="17CE723B" w14:textId="77777777" w:rsidR="00D5604D" w:rsidRPr="00227E73" w:rsidRDefault="00D5604D" w:rsidP="00DC10A2">
            <w:pPr>
              <w:pStyle w:val="Tabel-BrdtekstmedafstandptekstGaramond"/>
              <w:rPr>
                <w:i/>
                <w:szCs w:val="22"/>
              </w:rPr>
            </w:pPr>
            <w:r>
              <w:rPr>
                <w:i/>
                <w:szCs w:val="22"/>
              </w:rPr>
              <w:t>(OBR)</w:t>
            </w:r>
          </w:p>
        </w:tc>
        <w:tc>
          <w:tcPr>
            <w:tcW w:w="213" w:type="dxa"/>
            <w:shd w:val="clear" w:color="auto" w:fill="FFFFFF" w:themeFill="background1"/>
          </w:tcPr>
          <w:p w14:paraId="660100D2" w14:textId="77777777" w:rsidR="00943E9C" w:rsidRPr="00B5346F" w:rsidRDefault="00943E9C" w:rsidP="00DC10A2"/>
        </w:tc>
        <w:tc>
          <w:tcPr>
            <w:tcW w:w="3443" w:type="dxa"/>
            <w:tcBorders>
              <w:bottom w:val="single" w:sz="4" w:space="0" w:color="D1C5C3" w:themeColor="accent3"/>
            </w:tcBorders>
            <w:shd w:val="clear" w:color="auto" w:fill="FBF9F9"/>
          </w:tcPr>
          <w:p w14:paraId="773C7BAD" w14:textId="77777777" w:rsidR="006D791F" w:rsidRPr="005E1E9F" w:rsidRDefault="006D791F" w:rsidP="006D791F">
            <w:pPr>
              <w:pStyle w:val="Tabel-BrdtekstmedafstandptekstGaramond"/>
              <w:rPr>
                <w:bCs/>
                <w:i/>
                <w:iCs/>
                <w:szCs w:val="22"/>
              </w:rPr>
            </w:pPr>
            <w:proofErr w:type="spellStart"/>
            <w:r w:rsidRPr="005E1E9F">
              <w:rPr>
                <w:bCs/>
                <w:i/>
                <w:iCs/>
                <w:szCs w:val="22"/>
              </w:rPr>
              <w:t>FoU</w:t>
            </w:r>
            <w:proofErr w:type="spellEnd"/>
          </w:p>
          <w:p w14:paraId="051BD0CB" w14:textId="0585C764" w:rsidR="006D791F" w:rsidRDefault="006D791F" w:rsidP="006D791F">
            <w:pPr>
              <w:pStyle w:val="Tabel-BrdtekstmedafstandptekstGaramond"/>
            </w:pPr>
            <w:r>
              <w:t>OBR vurderer</w:t>
            </w:r>
            <w:r w:rsidR="005D3111">
              <w:t>,</w:t>
            </w:r>
            <w:r>
              <w:t xml:space="preserve"> at lovforslaget ikke medfører administrative konsekvenser for erhvervslivet og har dermed ikke yderligere kommentarer.</w:t>
            </w:r>
          </w:p>
          <w:p w14:paraId="666189FE" w14:textId="77777777" w:rsidR="006D791F" w:rsidRDefault="006D791F" w:rsidP="006D791F">
            <w:pPr>
              <w:pStyle w:val="Tabel-BrdtekstmedafstandptekstGaramond"/>
              <w:rPr>
                <w:szCs w:val="22"/>
              </w:rPr>
            </w:pPr>
          </w:p>
          <w:p w14:paraId="29A3428A" w14:textId="77777777" w:rsidR="006D791F" w:rsidRPr="005E1E9F" w:rsidRDefault="006D791F" w:rsidP="006D791F">
            <w:pPr>
              <w:pStyle w:val="Tabel-BrdtekstmedafstandptekstGaramond"/>
              <w:rPr>
                <w:bCs/>
                <w:i/>
                <w:iCs/>
                <w:szCs w:val="22"/>
              </w:rPr>
            </w:pPr>
            <w:r w:rsidRPr="005E1E9F">
              <w:rPr>
                <w:bCs/>
                <w:i/>
                <w:iCs/>
                <w:szCs w:val="22"/>
              </w:rPr>
              <w:t>Forhøjelse af bundfradrag ved udlejning af fritidsboliger</w:t>
            </w:r>
          </w:p>
          <w:p w14:paraId="4F896BC1" w14:textId="52ABD937" w:rsidR="004B5A2A" w:rsidRDefault="004B5A2A" w:rsidP="00DC10A2">
            <w:pPr>
              <w:pStyle w:val="Tabel-BrdtekstmedafstandptekstGaramond"/>
            </w:pPr>
            <w:r>
              <w:t>OBR vurderer</w:t>
            </w:r>
            <w:r w:rsidR="005D3111">
              <w:t>,</w:t>
            </w:r>
            <w:r>
              <w:t xml:space="preserve"> at lovforslaget ikke medfører administrative konsekvenser for erhvervslivet og har dermed ikke yderligere kommentarer.</w:t>
            </w:r>
          </w:p>
          <w:p w14:paraId="65F7A16E" w14:textId="77777777" w:rsidR="004B5A2A" w:rsidRDefault="004B5A2A" w:rsidP="00DC10A2">
            <w:pPr>
              <w:pStyle w:val="Tabel-BrdtekstmedafstandptekstGaramond"/>
            </w:pPr>
          </w:p>
          <w:p w14:paraId="67F8DC63" w14:textId="77777777" w:rsidR="00943E9C" w:rsidRPr="00B5346F" w:rsidRDefault="004B5A2A" w:rsidP="00DC10A2">
            <w:pPr>
              <w:pStyle w:val="Tabel-BrdtekstmedafstandptekstGaramond"/>
            </w:pPr>
            <w:r>
              <w:t xml:space="preserve">OBR har ingen bemærkning til Skatteministeriets vurdering af, at principperne for agil erhvervsrettet regulering ikke er relevante for de konkrete ændringer i forslaget. </w:t>
            </w:r>
          </w:p>
        </w:tc>
        <w:tc>
          <w:tcPr>
            <w:tcW w:w="230" w:type="dxa"/>
            <w:shd w:val="clear" w:color="auto" w:fill="FFFFFF" w:themeFill="background1"/>
          </w:tcPr>
          <w:p w14:paraId="512BC397" w14:textId="77777777" w:rsidR="00943E9C" w:rsidRPr="00B5346F" w:rsidRDefault="00943E9C" w:rsidP="00DC10A2"/>
        </w:tc>
        <w:tc>
          <w:tcPr>
            <w:tcW w:w="3443" w:type="dxa"/>
            <w:tcBorders>
              <w:bottom w:val="single" w:sz="4" w:space="0" w:color="14143C" w:themeColor="accent1"/>
            </w:tcBorders>
            <w:shd w:val="clear" w:color="auto" w:fill="D2CED8"/>
          </w:tcPr>
          <w:p w14:paraId="16FB5AD7" w14:textId="77777777" w:rsidR="00943E9C" w:rsidRPr="00B5346F" w:rsidRDefault="00943E9C" w:rsidP="00DC10A2">
            <w:pPr>
              <w:pStyle w:val="Tabel-BrdtekstmedafstandptekstGaramond"/>
            </w:pPr>
          </w:p>
        </w:tc>
      </w:tr>
      <w:tr w:rsidR="00943E9C" w:rsidRPr="00B5346F" w14:paraId="1CB6E0D5" w14:textId="77777777" w:rsidTr="003326BB">
        <w:tc>
          <w:tcPr>
            <w:tcW w:w="2310" w:type="dxa"/>
            <w:tcBorders>
              <w:bottom w:val="single" w:sz="4" w:space="0" w:color="D1C5C3" w:themeColor="accent3"/>
            </w:tcBorders>
            <w:shd w:val="clear" w:color="auto" w:fill="FBF9F9"/>
          </w:tcPr>
          <w:p w14:paraId="67D4924A" w14:textId="46F7AFB6" w:rsidR="00943E9C" w:rsidRPr="00227E73" w:rsidRDefault="002A49E8" w:rsidP="00DC10A2">
            <w:pPr>
              <w:pStyle w:val="Tabel-BrdtekstmedafstandptekstGaramond"/>
              <w:rPr>
                <w:i/>
                <w:szCs w:val="22"/>
              </w:rPr>
            </w:pPr>
            <w:r w:rsidRPr="00227E73">
              <w:rPr>
                <w:i/>
                <w:szCs w:val="22"/>
              </w:rPr>
              <w:t>Feriehusudlejernes Brancheforening</w:t>
            </w:r>
          </w:p>
        </w:tc>
        <w:tc>
          <w:tcPr>
            <w:tcW w:w="213" w:type="dxa"/>
            <w:shd w:val="clear" w:color="auto" w:fill="FFFFFF" w:themeFill="background1"/>
          </w:tcPr>
          <w:p w14:paraId="60FD1CD0" w14:textId="77777777" w:rsidR="00943E9C" w:rsidRPr="00B5346F" w:rsidRDefault="00943E9C" w:rsidP="00DC10A2"/>
        </w:tc>
        <w:tc>
          <w:tcPr>
            <w:tcW w:w="3443" w:type="dxa"/>
            <w:tcBorders>
              <w:bottom w:val="single" w:sz="4" w:space="0" w:color="D1C5C3" w:themeColor="accent3"/>
            </w:tcBorders>
            <w:shd w:val="clear" w:color="auto" w:fill="FBF9F9"/>
          </w:tcPr>
          <w:p w14:paraId="5B13C3E3" w14:textId="77777777" w:rsidR="00AA7878" w:rsidRPr="005E1E9F" w:rsidRDefault="00AA7878" w:rsidP="00AA7878">
            <w:pPr>
              <w:pStyle w:val="Tabel-BrdtekstmedafstandptekstGaramond"/>
              <w:rPr>
                <w:bCs/>
                <w:i/>
                <w:iCs/>
                <w:szCs w:val="22"/>
              </w:rPr>
            </w:pPr>
            <w:r w:rsidRPr="005E1E9F">
              <w:rPr>
                <w:bCs/>
                <w:i/>
                <w:iCs/>
                <w:szCs w:val="22"/>
              </w:rPr>
              <w:t>Forhøjelse af bundfradrag ved udlejning af fritidsboliger</w:t>
            </w:r>
          </w:p>
          <w:p w14:paraId="69474209" w14:textId="408B94BC" w:rsidR="00F5077E" w:rsidRDefault="004B5A2A" w:rsidP="00F5077E">
            <w:pPr>
              <w:pStyle w:val="Tabel-BrdtekstmedafstandptekstGaramond"/>
              <w:rPr>
                <w:rFonts w:cs="Verdana"/>
                <w:color w:val="000000"/>
                <w:szCs w:val="22"/>
              </w:rPr>
            </w:pPr>
            <w:r w:rsidRPr="004B5A2A">
              <w:rPr>
                <w:rFonts w:cs="Verdana"/>
                <w:color w:val="000000"/>
                <w:szCs w:val="22"/>
              </w:rPr>
              <w:t>Feriehusudlejernes Brancheforening</w:t>
            </w:r>
            <w:r w:rsidR="00F5077E">
              <w:rPr>
                <w:rFonts w:cs="Verdana"/>
                <w:color w:val="000000"/>
                <w:szCs w:val="22"/>
              </w:rPr>
              <w:t xml:space="preserve"> (FB)</w:t>
            </w:r>
            <w:r w:rsidRPr="004B5A2A">
              <w:rPr>
                <w:rFonts w:cs="Verdana"/>
                <w:color w:val="000000"/>
                <w:szCs w:val="22"/>
              </w:rPr>
              <w:t xml:space="preserve"> bakker fuldt </w:t>
            </w:r>
            <w:r w:rsidR="007E1014">
              <w:rPr>
                <w:rFonts w:cs="Verdana"/>
                <w:color w:val="000000"/>
                <w:szCs w:val="22"/>
              </w:rPr>
              <w:t xml:space="preserve">ud </w:t>
            </w:r>
            <w:r w:rsidRPr="004B5A2A">
              <w:rPr>
                <w:rFonts w:cs="Verdana"/>
                <w:color w:val="000000"/>
                <w:szCs w:val="22"/>
              </w:rPr>
              <w:t>op om forhøjelsen af det</w:t>
            </w:r>
            <w:r>
              <w:rPr>
                <w:rFonts w:cs="Verdana"/>
                <w:color w:val="000000"/>
                <w:szCs w:val="22"/>
              </w:rPr>
              <w:t xml:space="preserve"> </w:t>
            </w:r>
            <w:r w:rsidRPr="004B5A2A">
              <w:rPr>
                <w:rFonts w:cs="Verdana"/>
                <w:color w:val="000000"/>
                <w:szCs w:val="22"/>
              </w:rPr>
              <w:t xml:space="preserve">skattefrie bundfradrag for </w:t>
            </w:r>
            <w:r w:rsidR="00B42E2B">
              <w:rPr>
                <w:rFonts w:cs="Verdana"/>
                <w:color w:val="000000"/>
                <w:szCs w:val="22"/>
              </w:rPr>
              <w:t>sommerhus</w:t>
            </w:r>
            <w:r w:rsidRPr="004B5A2A">
              <w:rPr>
                <w:rFonts w:cs="Verdana"/>
                <w:color w:val="000000"/>
                <w:szCs w:val="22"/>
              </w:rPr>
              <w:t>udlejere fra 41.800 kr. til 60.000 kr. i</w:t>
            </w:r>
            <w:r>
              <w:rPr>
                <w:rFonts w:cs="Verdana"/>
                <w:color w:val="000000"/>
                <w:szCs w:val="22"/>
              </w:rPr>
              <w:t xml:space="preserve"> </w:t>
            </w:r>
            <w:r w:rsidRPr="004B5A2A">
              <w:rPr>
                <w:rFonts w:cs="Verdana"/>
                <w:color w:val="000000"/>
                <w:szCs w:val="22"/>
              </w:rPr>
              <w:t>2020.</w:t>
            </w:r>
          </w:p>
          <w:p w14:paraId="6DBD3161" w14:textId="77777777" w:rsidR="00F5077E" w:rsidRDefault="00F5077E" w:rsidP="00F5077E">
            <w:pPr>
              <w:pStyle w:val="Tabel-BrdtekstmedafstandptekstGaramond"/>
              <w:rPr>
                <w:rFonts w:cs="Verdana"/>
                <w:color w:val="000000"/>
                <w:szCs w:val="22"/>
              </w:rPr>
            </w:pPr>
          </w:p>
          <w:p w14:paraId="0E1C357A" w14:textId="53988135" w:rsidR="00F5077E" w:rsidRDefault="004B5A2A" w:rsidP="00F5077E">
            <w:pPr>
              <w:pStyle w:val="Tabel-BrdtekstmedafstandptekstGaramond"/>
              <w:rPr>
                <w:rFonts w:cs="Verdana"/>
                <w:color w:val="000000"/>
                <w:szCs w:val="22"/>
              </w:rPr>
            </w:pPr>
            <w:r w:rsidRPr="004B5A2A">
              <w:rPr>
                <w:rFonts w:cs="Verdana"/>
                <w:color w:val="000000"/>
                <w:szCs w:val="22"/>
              </w:rPr>
              <w:t>Grænseåbningen den 15. juni betød, at feriehusbranchen hen over sommeren</w:t>
            </w:r>
            <w:r w:rsidR="00F5077E">
              <w:rPr>
                <w:rFonts w:cs="Verdana"/>
                <w:color w:val="000000"/>
                <w:szCs w:val="22"/>
              </w:rPr>
              <w:t xml:space="preserve"> </w:t>
            </w:r>
            <w:r w:rsidRPr="004B5A2A">
              <w:rPr>
                <w:rFonts w:cs="Verdana"/>
                <w:color w:val="000000"/>
                <w:szCs w:val="22"/>
              </w:rPr>
              <w:t>og i efteråret</w:t>
            </w:r>
            <w:r w:rsidR="005D3111">
              <w:rPr>
                <w:rFonts w:cs="Verdana"/>
                <w:color w:val="000000"/>
                <w:szCs w:val="22"/>
              </w:rPr>
              <w:t xml:space="preserve"> 2020</w:t>
            </w:r>
            <w:r w:rsidRPr="004B5A2A">
              <w:rPr>
                <w:rFonts w:cs="Verdana"/>
                <w:color w:val="000000"/>
                <w:szCs w:val="22"/>
              </w:rPr>
              <w:t xml:space="preserve"> har kunnet indhente noget af det tabte i første halvår</w:t>
            </w:r>
            <w:r w:rsidR="00151113">
              <w:rPr>
                <w:rFonts w:cs="Verdana"/>
                <w:color w:val="000000"/>
                <w:szCs w:val="22"/>
              </w:rPr>
              <w:t>.</w:t>
            </w:r>
            <w:r w:rsidRPr="00F5077E">
              <w:rPr>
                <w:rFonts w:cs="Verdana"/>
                <w:color w:val="000000"/>
                <w:szCs w:val="22"/>
              </w:rPr>
              <w:t xml:space="preserve"> Tabet skønnes</w:t>
            </w:r>
            <w:r w:rsidR="007E1014">
              <w:rPr>
                <w:rFonts w:cs="Verdana"/>
                <w:color w:val="000000"/>
                <w:szCs w:val="22"/>
              </w:rPr>
              <w:t xml:space="preserve"> dog</w:t>
            </w:r>
            <w:r w:rsidRPr="00F5077E">
              <w:rPr>
                <w:rFonts w:cs="Verdana"/>
                <w:color w:val="000000"/>
                <w:szCs w:val="22"/>
              </w:rPr>
              <w:t xml:space="preserve"> at koste en nedgang i omsætning fra</w:t>
            </w:r>
            <w:r w:rsidR="00F5077E">
              <w:rPr>
                <w:rFonts w:cs="Verdana"/>
                <w:color w:val="000000"/>
                <w:szCs w:val="22"/>
              </w:rPr>
              <w:t xml:space="preserve"> </w:t>
            </w:r>
            <w:r w:rsidRPr="00F5077E">
              <w:rPr>
                <w:rFonts w:cs="Verdana"/>
                <w:color w:val="000000"/>
                <w:szCs w:val="22"/>
              </w:rPr>
              <w:t>udenlandske gæster på over 2,5 milliarder kroner i foråret 2020.</w:t>
            </w:r>
          </w:p>
          <w:p w14:paraId="6B3C37B3" w14:textId="77777777" w:rsidR="00F5077E" w:rsidRDefault="00F5077E" w:rsidP="00F5077E">
            <w:pPr>
              <w:pStyle w:val="Tabel-BrdtekstmedafstandptekstGaramond"/>
              <w:rPr>
                <w:rFonts w:cs="Verdana"/>
                <w:color w:val="000000"/>
                <w:szCs w:val="22"/>
              </w:rPr>
            </w:pPr>
          </w:p>
          <w:p w14:paraId="0031B894" w14:textId="76AF900C" w:rsidR="00F5077E" w:rsidRDefault="004B5A2A" w:rsidP="00F5077E">
            <w:pPr>
              <w:pStyle w:val="Tabel-BrdtekstmedafstandptekstGaramond"/>
              <w:rPr>
                <w:rFonts w:cs="Verdana"/>
                <w:color w:val="000000"/>
                <w:szCs w:val="22"/>
              </w:rPr>
            </w:pPr>
            <w:r w:rsidRPr="00F5077E">
              <w:rPr>
                <w:rFonts w:cs="Verdana"/>
                <w:color w:val="000000"/>
                <w:szCs w:val="22"/>
              </w:rPr>
              <w:t>Sommerhusejerne vil i 2020 miste en omsætning på mellem 600 millioner</w:t>
            </w:r>
            <w:r w:rsidR="00F5077E">
              <w:rPr>
                <w:rFonts w:cs="Verdana"/>
                <w:color w:val="000000"/>
                <w:szCs w:val="22"/>
              </w:rPr>
              <w:t xml:space="preserve"> </w:t>
            </w:r>
            <w:r w:rsidRPr="00F5077E">
              <w:rPr>
                <w:rFonts w:cs="Verdana"/>
                <w:color w:val="000000"/>
                <w:szCs w:val="22"/>
              </w:rPr>
              <w:t xml:space="preserve">kroner </w:t>
            </w:r>
            <w:r w:rsidR="007E1014">
              <w:rPr>
                <w:rFonts w:cs="Verdana"/>
                <w:color w:val="000000"/>
                <w:szCs w:val="22"/>
              </w:rPr>
              <w:t xml:space="preserve">og </w:t>
            </w:r>
            <w:r w:rsidRPr="00F5077E">
              <w:rPr>
                <w:rFonts w:cs="Verdana"/>
                <w:color w:val="000000"/>
                <w:szCs w:val="22"/>
              </w:rPr>
              <w:t>op mod 1 milliard kroner afhængigt af, hvor mange der vælger at</w:t>
            </w:r>
            <w:r w:rsidR="00F5077E">
              <w:rPr>
                <w:rFonts w:cs="Verdana"/>
                <w:color w:val="000000"/>
                <w:szCs w:val="22"/>
              </w:rPr>
              <w:t xml:space="preserve"> </w:t>
            </w:r>
            <w:r w:rsidRPr="00F5077E">
              <w:rPr>
                <w:rFonts w:cs="Verdana"/>
                <w:color w:val="000000"/>
                <w:szCs w:val="22"/>
              </w:rPr>
              <w:t>booke sommerhuse resten af året. Det er en stor regning, som sommerhusejerne</w:t>
            </w:r>
            <w:r w:rsidR="00F5077E">
              <w:rPr>
                <w:rFonts w:cs="Verdana"/>
                <w:color w:val="000000"/>
                <w:szCs w:val="22"/>
              </w:rPr>
              <w:t xml:space="preserve"> </w:t>
            </w:r>
            <w:r w:rsidRPr="00F5077E">
              <w:rPr>
                <w:rFonts w:cs="Verdana"/>
                <w:color w:val="000000"/>
                <w:szCs w:val="22"/>
              </w:rPr>
              <w:t>ikke har kunnet modtage hjælp til at dække fra de offentlige</w:t>
            </w:r>
            <w:r w:rsidR="00F5077E">
              <w:rPr>
                <w:rFonts w:cs="Verdana"/>
                <w:color w:val="000000"/>
                <w:szCs w:val="22"/>
              </w:rPr>
              <w:t xml:space="preserve"> </w:t>
            </w:r>
            <w:r w:rsidRPr="00F5077E">
              <w:rPr>
                <w:rFonts w:cs="Verdana"/>
                <w:color w:val="000000"/>
                <w:szCs w:val="22"/>
              </w:rPr>
              <w:t>hjælpepakker.</w:t>
            </w:r>
          </w:p>
          <w:p w14:paraId="0E82C4A2" w14:textId="77777777" w:rsidR="00F5077E" w:rsidRDefault="00F5077E" w:rsidP="00F5077E">
            <w:pPr>
              <w:pStyle w:val="Tabel-BrdtekstmedafstandptekstGaramond"/>
              <w:rPr>
                <w:rFonts w:cs="Verdana"/>
                <w:color w:val="000000"/>
                <w:szCs w:val="22"/>
              </w:rPr>
            </w:pPr>
          </w:p>
          <w:p w14:paraId="49BE3D8A" w14:textId="77777777" w:rsidR="00F5077E" w:rsidRDefault="004B5A2A" w:rsidP="00F5077E">
            <w:pPr>
              <w:pStyle w:val="Tabel-BrdtekstmedafstandptekstGaramond"/>
              <w:rPr>
                <w:rFonts w:cs="Verdana"/>
                <w:color w:val="000000"/>
                <w:szCs w:val="22"/>
              </w:rPr>
            </w:pPr>
            <w:r w:rsidRPr="00F5077E">
              <w:rPr>
                <w:rFonts w:cs="Verdana"/>
                <w:color w:val="000000"/>
                <w:szCs w:val="22"/>
              </w:rPr>
              <w:t xml:space="preserve">En forhøjelse af bundfradraget i 2020 vil </w:t>
            </w:r>
            <w:r w:rsidR="00151113">
              <w:rPr>
                <w:rFonts w:cs="Verdana"/>
                <w:color w:val="000000"/>
                <w:szCs w:val="22"/>
              </w:rPr>
              <w:t xml:space="preserve">ifølge FB </w:t>
            </w:r>
            <w:r w:rsidRPr="00F5077E">
              <w:rPr>
                <w:rFonts w:cs="Verdana"/>
                <w:color w:val="000000"/>
                <w:szCs w:val="22"/>
              </w:rPr>
              <w:t>begrænse sommerhusejernes tab</w:t>
            </w:r>
            <w:r w:rsidR="00F5077E">
              <w:rPr>
                <w:rFonts w:cs="Verdana"/>
                <w:color w:val="000000"/>
                <w:szCs w:val="22"/>
              </w:rPr>
              <w:t xml:space="preserve"> </w:t>
            </w:r>
            <w:r w:rsidRPr="00F5077E">
              <w:rPr>
                <w:rFonts w:cs="Verdana"/>
                <w:color w:val="000000"/>
                <w:szCs w:val="22"/>
              </w:rPr>
              <w:t>forårsaget af grænselukningen, men det har den yderligere fordel, at det</w:t>
            </w:r>
            <w:r w:rsidR="00F5077E">
              <w:rPr>
                <w:rFonts w:cs="Verdana"/>
                <w:color w:val="000000"/>
                <w:szCs w:val="22"/>
              </w:rPr>
              <w:t xml:space="preserve"> </w:t>
            </w:r>
            <w:r w:rsidRPr="00F5077E">
              <w:rPr>
                <w:rFonts w:cs="Verdana"/>
                <w:color w:val="000000"/>
                <w:szCs w:val="22"/>
              </w:rPr>
              <w:t>vil motivere flere sommerhusejere til at udleje deres sommerhuse mere,</w:t>
            </w:r>
            <w:r w:rsidR="00F5077E">
              <w:rPr>
                <w:rFonts w:cs="Verdana"/>
                <w:color w:val="000000"/>
                <w:szCs w:val="22"/>
              </w:rPr>
              <w:t xml:space="preserve"> </w:t>
            </w:r>
            <w:r w:rsidRPr="00F5077E">
              <w:rPr>
                <w:rFonts w:cs="Verdana"/>
                <w:color w:val="000000"/>
                <w:szCs w:val="22"/>
              </w:rPr>
              <w:t>hvilket vil skabe øget omsætning i kystturismen.</w:t>
            </w:r>
            <w:r w:rsidR="00F5077E">
              <w:rPr>
                <w:rFonts w:cs="Verdana"/>
                <w:color w:val="000000"/>
                <w:szCs w:val="22"/>
              </w:rPr>
              <w:t xml:space="preserve"> </w:t>
            </w:r>
          </w:p>
          <w:p w14:paraId="224BB24E" w14:textId="77777777" w:rsidR="00F5077E" w:rsidRDefault="00F5077E" w:rsidP="00F5077E">
            <w:pPr>
              <w:pStyle w:val="Tabel-BrdtekstmedafstandptekstGaramond"/>
              <w:rPr>
                <w:rFonts w:cs="Verdana"/>
                <w:color w:val="000000"/>
                <w:szCs w:val="22"/>
              </w:rPr>
            </w:pPr>
          </w:p>
          <w:p w14:paraId="4D0417DA" w14:textId="77777777" w:rsidR="00B42E2B" w:rsidRDefault="00F5077E" w:rsidP="00B42E2B">
            <w:pPr>
              <w:pStyle w:val="Tabel-BrdtekstmedafstandptekstGaramond"/>
              <w:rPr>
                <w:rFonts w:cs="Verdana"/>
                <w:color w:val="000000"/>
                <w:szCs w:val="22"/>
              </w:rPr>
            </w:pPr>
            <w:r>
              <w:rPr>
                <w:rFonts w:cs="Verdana"/>
                <w:color w:val="000000"/>
                <w:szCs w:val="22"/>
              </w:rPr>
              <w:t>FB ser et</w:t>
            </w:r>
            <w:r w:rsidR="004B5A2A" w:rsidRPr="00F5077E">
              <w:rPr>
                <w:rFonts w:cs="Verdana"/>
                <w:color w:val="000000"/>
                <w:szCs w:val="22"/>
              </w:rPr>
              <w:t xml:space="preserve"> frafald af huse fra udlejningsmarkedet i takt med, at der er</w:t>
            </w:r>
            <w:r>
              <w:rPr>
                <w:rFonts w:cs="Verdana"/>
                <w:color w:val="000000"/>
                <w:szCs w:val="22"/>
              </w:rPr>
              <w:t xml:space="preserve"> </w:t>
            </w:r>
            <w:r w:rsidR="004B5A2A" w:rsidRPr="00F5077E">
              <w:rPr>
                <w:rFonts w:cs="Verdana"/>
                <w:color w:val="000000"/>
                <w:szCs w:val="22"/>
              </w:rPr>
              <w:t>sket en massiv stigning i salg af sommerhuse</w:t>
            </w:r>
            <w:r>
              <w:rPr>
                <w:rFonts w:cs="Verdana"/>
                <w:color w:val="000000"/>
                <w:szCs w:val="22"/>
              </w:rPr>
              <w:t xml:space="preserve">. </w:t>
            </w:r>
            <w:r w:rsidR="004B5A2A" w:rsidRPr="00F5077E">
              <w:rPr>
                <w:rFonts w:cs="Verdana"/>
                <w:color w:val="000000"/>
                <w:szCs w:val="22"/>
              </w:rPr>
              <w:t>Mange af de nye sommerhusejere vælger desværre at tage</w:t>
            </w:r>
            <w:r>
              <w:rPr>
                <w:rFonts w:cs="Verdana"/>
                <w:color w:val="000000"/>
                <w:szCs w:val="22"/>
              </w:rPr>
              <w:t xml:space="preserve"> </w:t>
            </w:r>
            <w:r w:rsidR="004B5A2A" w:rsidRPr="00F5077E">
              <w:rPr>
                <w:rFonts w:cs="Verdana"/>
                <w:color w:val="000000"/>
                <w:szCs w:val="22"/>
              </w:rPr>
              <w:t>sommerhusene ud af markedet, men et forhøjet bundfradrag vil modvirke</w:t>
            </w:r>
            <w:r>
              <w:rPr>
                <w:rFonts w:cs="Verdana"/>
                <w:color w:val="000000"/>
                <w:szCs w:val="22"/>
              </w:rPr>
              <w:t xml:space="preserve"> </w:t>
            </w:r>
            <w:r w:rsidR="004B5A2A" w:rsidRPr="00F5077E">
              <w:rPr>
                <w:rFonts w:cs="Verdana"/>
                <w:color w:val="000000"/>
                <w:szCs w:val="22"/>
              </w:rPr>
              <w:t>dette.</w:t>
            </w:r>
          </w:p>
          <w:p w14:paraId="3113E4E8" w14:textId="77777777" w:rsidR="00B42E2B" w:rsidRDefault="00B42E2B" w:rsidP="00B42E2B">
            <w:pPr>
              <w:pStyle w:val="Tabel-BrdtekstmedafstandptekstGaramond"/>
              <w:rPr>
                <w:rFonts w:cs="Verdana"/>
                <w:color w:val="000000"/>
                <w:szCs w:val="22"/>
              </w:rPr>
            </w:pPr>
          </w:p>
          <w:p w14:paraId="63416289" w14:textId="77777777" w:rsidR="00B42E2B" w:rsidRDefault="004B5A2A" w:rsidP="00B42E2B">
            <w:pPr>
              <w:pStyle w:val="Tabel-BrdtekstmedafstandptekstGaramond"/>
              <w:rPr>
                <w:rFonts w:cs="Verdana"/>
                <w:color w:val="000000"/>
                <w:szCs w:val="22"/>
              </w:rPr>
            </w:pPr>
            <w:r w:rsidRPr="00F5077E">
              <w:rPr>
                <w:rFonts w:cs="Verdana"/>
                <w:color w:val="000000"/>
                <w:szCs w:val="22"/>
              </w:rPr>
              <w:t>Efter ophævelse af erstatningsansvaret i epidemiloven har det ikke været</w:t>
            </w:r>
            <w:r w:rsidR="00B42E2B">
              <w:rPr>
                <w:rFonts w:cs="Verdana"/>
                <w:color w:val="000000"/>
                <w:szCs w:val="22"/>
              </w:rPr>
              <w:t xml:space="preserve"> </w:t>
            </w:r>
            <w:r w:rsidRPr="00F5077E">
              <w:rPr>
                <w:rFonts w:cs="Verdana"/>
                <w:color w:val="000000"/>
                <w:szCs w:val="22"/>
              </w:rPr>
              <w:t xml:space="preserve">muligt at søge offentlig erstatning for mistede bookinger, men der har </w:t>
            </w:r>
            <w:r w:rsidR="00B42E2B">
              <w:rPr>
                <w:rFonts w:cs="Verdana"/>
                <w:color w:val="000000"/>
                <w:szCs w:val="22"/>
              </w:rPr>
              <w:t xml:space="preserve">ifølge FB </w:t>
            </w:r>
            <w:r w:rsidRPr="00F5077E">
              <w:rPr>
                <w:rFonts w:cs="Verdana"/>
                <w:color w:val="000000"/>
                <w:szCs w:val="22"/>
              </w:rPr>
              <w:t>ikke</w:t>
            </w:r>
            <w:r w:rsidR="00B42E2B">
              <w:rPr>
                <w:rFonts w:cs="Verdana"/>
                <w:color w:val="000000"/>
                <w:szCs w:val="22"/>
              </w:rPr>
              <w:t xml:space="preserve"> </w:t>
            </w:r>
            <w:r w:rsidRPr="00F5077E">
              <w:rPr>
                <w:rFonts w:cs="Verdana"/>
                <w:color w:val="000000"/>
                <w:szCs w:val="22"/>
              </w:rPr>
              <w:t>været dækning af sommerhusejeres tab trods hensigten i ændringen af</w:t>
            </w:r>
            <w:r w:rsidR="00B42E2B">
              <w:rPr>
                <w:rFonts w:cs="Verdana"/>
                <w:color w:val="000000"/>
                <w:szCs w:val="22"/>
              </w:rPr>
              <w:t xml:space="preserve"> </w:t>
            </w:r>
            <w:r w:rsidRPr="00F5077E">
              <w:rPr>
                <w:rFonts w:cs="Verdana"/>
                <w:color w:val="000000"/>
                <w:szCs w:val="22"/>
              </w:rPr>
              <w:t xml:space="preserve">epidemiloven om hjælpepakker til nødlidende erhverv. </w:t>
            </w:r>
            <w:r w:rsidR="00B42E2B">
              <w:rPr>
                <w:rFonts w:cs="Verdana"/>
                <w:color w:val="000000"/>
                <w:szCs w:val="22"/>
              </w:rPr>
              <w:t>FB bemærker, at</w:t>
            </w:r>
            <w:r w:rsidRPr="00F5077E">
              <w:rPr>
                <w:rFonts w:cs="Verdana"/>
                <w:color w:val="000000"/>
                <w:szCs w:val="22"/>
              </w:rPr>
              <w:t xml:space="preserve"> forhøjelsen</w:t>
            </w:r>
            <w:r w:rsidR="00B42E2B">
              <w:rPr>
                <w:rFonts w:cs="Verdana"/>
                <w:color w:val="000000"/>
                <w:szCs w:val="22"/>
              </w:rPr>
              <w:t xml:space="preserve"> </w:t>
            </w:r>
            <w:r w:rsidRPr="00F5077E">
              <w:rPr>
                <w:rFonts w:cs="Verdana"/>
                <w:color w:val="000000"/>
                <w:szCs w:val="22"/>
              </w:rPr>
              <w:t>af bundfradraget delvist</w:t>
            </w:r>
            <w:r w:rsidR="00B42E2B">
              <w:rPr>
                <w:rFonts w:cs="Verdana"/>
                <w:color w:val="000000"/>
                <w:szCs w:val="22"/>
              </w:rPr>
              <w:t xml:space="preserve"> vil</w:t>
            </w:r>
            <w:r w:rsidRPr="00F5077E">
              <w:rPr>
                <w:rFonts w:cs="Verdana"/>
                <w:color w:val="000000"/>
                <w:szCs w:val="22"/>
              </w:rPr>
              <w:t xml:space="preserve"> kompensere nogle sommerhusejere gennem</w:t>
            </w:r>
            <w:r w:rsidR="00B42E2B">
              <w:rPr>
                <w:rFonts w:cs="Verdana"/>
                <w:color w:val="000000"/>
                <w:szCs w:val="22"/>
              </w:rPr>
              <w:t xml:space="preserve"> forslaget, </w:t>
            </w:r>
            <w:r w:rsidRPr="00F5077E">
              <w:rPr>
                <w:rFonts w:cs="Verdana"/>
                <w:color w:val="000000"/>
                <w:szCs w:val="22"/>
              </w:rPr>
              <w:t>hvilket F</w:t>
            </w:r>
            <w:r w:rsidR="00B42E2B">
              <w:rPr>
                <w:rFonts w:cs="Verdana"/>
                <w:color w:val="000000"/>
                <w:szCs w:val="22"/>
              </w:rPr>
              <w:t>B</w:t>
            </w:r>
            <w:r w:rsidRPr="00F5077E">
              <w:rPr>
                <w:rFonts w:cs="Verdana"/>
                <w:color w:val="000000"/>
                <w:szCs w:val="22"/>
              </w:rPr>
              <w:t xml:space="preserve"> bakker fuldt</w:t>
            </w:r>
            <w:r w:rsidR="00B42E2B">
              <w:rPr>
                <w:rFonts w:cs="Verdana"/>
                <w:color w:val="000000"/>
                <w:szCs w:val="22"/>
              </w:rPr>
              <w:t xml:space="preserve"> </w:t>
            </w:r>
            <w:r w:rsidRPr="00F5077E">
              <w:rPr>
                <w:rFonts w:cs="Verdana"/>
                <w:color w:val="000000"/>
                <w:szCs w:val="22"/>
              </w:rPr>
              <w:t>op om.</w:t>
            </w:r>
          </w:p>
          <w:p w14:paraId="5E6DFBD5" w14:textId="77777777" w:rsidR="00B42E2B" w:rsidRDefault="00B42E2B" w:rsidP="00B42E2B">
            <w:pPr>
              <w:pStyle w:val="Tabel-BrdtekstmedafstandptekstGaramond"/>
              <w:rPr>
                <w:rFonts w:cs="Verdana"/>
                <w:color w:val="000000"/>
                <w:szCs w:val="22"/>
              </w:rPr>
            </w:pPr>
          </w:p>
          <w:p w14:paraId="3C6300F5" w14:textId="77777777" w:rsidR="004B5A2A" w:rsidRDefault="00B42E2B" w:rsidP="00B42E2B">
            <w:pPr>
              <w:pStyle w:val="Tabel-BrdtekstmedafstandptekstGaramond"/>
              <w:rPr>
                <w:rFonts w:cs="Verdana"/>
                <w:color w:val="000000"/>
                <w:szCs w:val="22"/>
              </w:rPr>
            </w:pPr>
            <w:r>
              <w:rPr>
                <w:rFonts w:cs="Verdana"/>
                <w:color w:val="000000"/>
                <w:szCs w:val="22"/>
              </w:rPr>
              <w:t>FB bemærker</w:t>
            </w:r>
            <w:r w:rsidR="004B5A2A" w:rsidRPr="00F5077E">
              <w:rPr>
                <w:rFonts w:cs="Verdana"/>
                <w:color w:val="000000"/>
                <w:szCs w:val="22"/>
              </w:rPr>
              <w:t>, at et forhøjet fradrag langt fra vil dække</w:t>
            </w:r>
            <w:r>
              <w:rPr>
                <w:rFonts w:cs="Verdana"/>
                <w:color w:val="000000"/>
                <w:szCs w:val="22"/>
              </w:rPr>
              <w:t xml:space="preserve"> </w:t>
            </w:r>
            <w:r w:rsidR="004B5A2A" w:rsidRPr="00F5077E">
              <w:rPr>
                <w:rFonts w:cs="Verdana"/>
                <w:color w:val="000000"/>
                <w:szCs w:val="22"/>
              </w:rPr>
              <w:t>det tab, som mange sommerhusejere har lidt på grund af de manglende udenlandske overnatninger forårsaget af</w:t>
            </w:r>
            <w:r>
              <w:rPr>
                <w:rFonts w:cs="Verdana"/>
                <w:color w:val="000000"/>
                <w:szCs w:val="22"/>
              </w:rPr>
              <w:t xml:space="preserve"> </w:t>
            </w:r>
            <w:r w:rsidR="004B5A2A" w:rsidRPr="00F5077E">
              <w:rPr>
                <w:rFonts w:cs="Verdana"/>
                <w:color w:val="000000"/>
                <w:szCs w:val="22"/>
              </w:rPr>
              <w:t>grænselukningen, men det vil være et signal om, at man er opmærksomme</w:t>
            </w:r>
            <w:r>
              <w:rPr>
                <w:rFonts w:cs="Verdana"/>
                <w:color w:val="000000"/>
                <w:szCs w:val="22"/>
              </w:rPr>
              <w:t xml:space="preserve"> </w:t>
            </w:r>
            <w:r w:rsidR="004B5A2A" w:rsidRPr="00F5077E">
              <w:rPr>
                <w:rFonts w:cs="Verdana"/>
                <w:color w:val="000000"/>
                <w:szCs w:val="22"/>
              </w:rPr>
              <w:t>på deres situation, og det vil motivere flere til at udleje.</w:t>
            </w:r>
          </w:p>
          <w:p w14:paraId="3D288408" w14:textId="77777777" w:rsidR="00B42E2B" w:rsidRDefault="00B42E2B" w:rsidP="00B42E2B">
            <w:pPr>
              <w:pStyle w:val="Tabel-BrdtekstmedafstandptekstGaramond"/>
              <w:rPr>
                <w:rFonts w:cs="Verdana"/>
                <w:color w:val="000000"/>
                <w:szCs w:val="22"/>
              </w:rPr>
            </w:pPr>
          </w:p>
          <w:p w14:paraId="565DF641" w14:textId="77777777" w:rsidR="003326BB" w:rsidRDefault="00B42E2B" w:rsidP="003326BB">
            <w:pPr>
              <w:pStyle w:val="Tabel-BrdtekstmedafstandptekstGaramond"/>
              <w:rPr>
                <w:rFonts w:cs="Verdana"/>
                <w:color w:val="000000"/>
                <w:szCs w:val="22"/>
              </w:rPr>
            </w:pPr>
            <w:r>
              <w:rPr>
                <w:rFonts w:cs="Verdana"/>
                <w:color w:val="000000"/>
                <w:szCs w:val="22"/>
              </w:rPr>
              <w:t>FB fremhæver, at med</w:t>
            </w:r>
            <w:r w:rsidR="004B5A2A" w:rsidRPr="00F5077E">
              <w:rPr>
                <w:rFonts w:cs="Verdana"/>
                <w:color w:val="000000"/>
                <w:szCs w:val="22"/>
              </w:rPr>
              <w:t xml:space="preserve"> en omsætning på 18,2 milliarder kr. i 2018 skaber feriehusudlejning et</w:t>
            </w:r>
            <w:r>
              <w:rPr>
                <w:rFonts w:cs="Verdana"/>
                <w:color w:val="000000"/>
                <w:szCs w:val="22"/>
              </w:rPr>
              <w:t xml:space="preserve"> </w:t>
            </w:r>
            <w:r w:rsidR="004B5A2A" w:rsidRPr="00F5077E">
              <w:rPr>
                <w:rFonts w:cs="Verdana"/>
                <w:color w:val="000000"/>
                <w:szCs w:val="22"/>
              </w:rPr>
              <w:t>skatteprovenu på 6,6 milliarder kr. årligt</w:t>
            </w:r>
            <w:r w:rsidR="003326BB">
              <w:rPr>
                <w:rFonts w:cs="Verdana"/>
                <w:color w:val="000000"/>
                <w:szCs w:val="22"/>
              </w:rPr>
              <w:t>.</w:t>
            </w:r>
          </w:p>
          <w:p w14:paraId="6DBD0329" w14:textId="77777777" w:rsidR="003326BB" w:rsidRDefault="003326BB" w:rsidP="003326BB">
            <w:pPr>
              <w:pStyle w:val="Tabel-BrdtekstmedafstandptekstGaramond"/>
              <w:rPr>
                <w:rFonts w:cs="Verdana"/>
                <w:color w:val="000000"/>
                <w:szCs w:val="22"/>
              </w:rPr>
            </w:pPr>
          </w:p>
          <w:p w14:paraId="072F3D26" w14:textId="77777777" w:rsidR="003326BB" w:rsidRDefault="003326BB" w:rsidP="003326BB">
            <w:pPr>
              <w:pStyle w:val="Tabel-BrdtekstmedafstandptekstGaramond"/>
              <w:rPr>
                <w:rFonts w:cs="Verdana"/>
                <w:color w:val="000000"/>
                <w:szCs w:val="22"/>
              </w:rPr>
            </w:pPr>
            <w:r>
              <w:rPr>
                <w:rFonts w:cs="Verdana"/>
                <w:color w:val="000000"/>
                <w:szCs w:val="22"/>
              </w:rPr>
              <w:t xml:space="preserve">FB skønner, </w:t>
            </w:r>
            <w:r w:rsidR="004B5A2A" w:rsidRPr="00F5077E">
              <w:rPr>
                <w:rFonts w:cs="Verdana"/>
                <w:color w:val="000000"/>
                <w:szCs w:val="22"/>
              </w:rPr>
              <w:t>at forhøjelsen vil betyde</w:t>
            </w:r>
            <w:r>
              <w:rPr>
                <w:rFonts w:cs="Verdana"/>
                <w:color w:val="000000"/>
                <w:szCs w:val="22"/>
              </w:rPr>
              <w:t xml:space="preserve"> </w:t>
            </w:r>
            <w:r w:rsidR="004B5A2A" w:rsidRPr="00F5077E">
              <w:rPr>
                <w:rFonts w:cs="Verdana"/>
                <w:color w:val="000000"/>
                <w:szCs w:val="22"/>
              </w:rPr>
              <w:t>en væsentlig stigning i kapaciteten og dermed flere udlejede uger. Dermed</w:t>
            </w:r>
            <w:r>
              <w:rPr>
                <w:rFonts w:cs="Verdana"/>
                <w:color w:val="000000"/>
                <w:szCs w:val="22"/>
              </w:rPr>
              <w:t xml:space="preserve"> </w:t>
            </w:r>
            <w:r w:rsidR="004B5A2A" w:rsidRPr="00F5077E">
              <w:rPr>
                <w:rFonts w:cs="Verdana"/>
                <w:color w:val="000000"/>
                <w:szCs w:val="22"/>
              </w:rPr>
              <w:t>er forslaget ifølge F</w:t>
            </w:r>
            <w:r>
              <w:rPr>
                <w:rFonts w:cs="Verdana"/>
                <w:color w:val="000000"/>
                <w:szCs w:val="22"/>
              </w:rPr>
              <w:t>B</w:t>
            </w:r>
            <w:r w:rsidR="004B5A2A" w:rsidRPr="00F5077E">
              <w:rPr>
                <w:rFonts w:cs="Verdana"/>
                <w:color w:val="000000"/>
                <w:szCs w:val="22"/>
              </w:rPr>
              <w:t xml:space="preserve"> provenuneutralt for</w:t>
            </w:r>
            <w:r>
              <w:rPr>
                <w:rFonts w:cs="Verdana"/>
                <w:color w:val="000000"/>
                <w:szCs w:val="22"/>
              </w:rPr>
              <w:t xml:space="preserve"> </w:t>
            </w:r>
            <w:r w:rsidR="004B5A2A" w:rsidRPr="00F5077E">
              <w:rPr>
                <w:rFonts w:cs="Verdana"/>
                <w:color w:val="000000"/>
                <w:szCs w:val="22"/>
              </w:rPr>
              <w:t>staten, når man indregner såkaldte dynamiske effekter i form af et større</w:t>
            </w:r>
            <w:r>
              <w:rPr>
                <w:rFonts w:cs="Verdana"/>
                <w:color w:val="000000"/>
                <w:szCs w:val="22"/>
              </w:rPr>
              <w:t xml:space="preserve"> </w:t>
            </w:r>
            <w:r w:rsidR="004B5A2A" w:rsidRPr="00F5077E">
              <w:rPr>
                <w:rFonts w:cs="Verdana"/>
                <w:color w:val="000000"/>
                <w:szCs w:val="22"/>
              </w:rPr>
              <w:t>udbud forårsaget af forslaget.</w:t>
            </w:r>
          </w:p>
          <w:p w14:paraId="3A499B05" w14:textId="77777777" w:rsidR="003326BB" w:rsidRDefault="003326BB" w:rsidP="003326BB">
            <w:pPr>
              <w:pStyle w:val="Tabel-BrdtekstmedafstandptekstGaramond"/>
              <w:rPr>
                <w:rFonts w:cs="Verdana"/>
                <w:b/>
                <w:bCs/>
                <w:color w:val="000000"/>
                <w:szCs w:val="22"/>
              </w:rPr>
            </w:pPr>
          </w:p>
          <w:p w14:paraId="7A0CE26A" w14:textId="77777777" w:rsidR="005E1E9F" w:rsidRDefault="005E1E9F" w:rsidP="003326BB">
            <w:pPr>
              <w:pStyle w:val="Tabel-BrdtekstmedafstandptekstGaramond"/>
              <w:rPr>
                <w:rFonts w:cs="Verdana-Bold"/>
                <w:color w:val="000000"/>
                <w:szCs w:val="22"/>
              </w:rPr>
            </w:pPr>
          </w:p>
          <w:p w14:paraId="14A092E5" w14:textId="77777777" w:rsidR="005E1E9F" w:rsidRDefault="005E1E9F" w:rsidP="003326BB">
            <w:pPr>
              <w:pStyle w:val="Tabel-BrdtekstmedafstandptekstGaramond"/>
              <w:rPr>
                <w:rFonts w:cs="Verdana-Bold"/>
                <w:color w:val="000000"/>
                <w:szCs w:val="22"/>
              </w:rPr>
            </w:pPr>
          </w:p>
          <w:p w14:paraId="46CA857A" w14:textId="7D17C9AB" w:rsidR="003326BB" w:rsidRDefault="003326BB" w:rsidP="003326BB">
            <w:pPr>
              <w:pStyle w:val="Tabel-BrdtekstmedafstandptekstGaramond"/>
              <w:rPr>
                <w:rFonts w:cs="Verdana"/>
                <w:color w:val="000000"/>
                <w:szCs w:val="22"/>
              </w:rPr>
            </w:pPr>
            <w:r w:rsidRPr="003326BB">
              <w:rPr>
                <w:rFonts w:cs="Verdana-Bold"/>
                <w:color w:val="000000"/>
                <w:szCs w:val="22"/>
              </w:rPr>
              <w:t>FB</w:t>
            </w:r>
            <w:r w:rsidR="004B5A2A" w:rsidRPr="003326BB">
              <w:rPr>
                <w:rFonts w:cs="Verdana"/>
                <w:color w:val="000000"/>
                <w:szCs w:val="22"/>
              </w:rPr>
              <w:t xml:space="preserve"> foreslår, at bundfradraget også forhøjes</w:t>
            </w:r>
            <w:r>
              <w:rPr>
                <w:rFonts w:cs="Verdana"/>
                <w:color w:val="000000"/>
                <w:szCs w:val="22"/>
              </w:rPr>
              <w:t xml:space="preserve"> </w:t>
            </w:r>
            <w:r w:rsidR="004B5A2A" w:rsidRPr="003326BB">
              <w:rPr>
                <w:rFonts w:cs="Verdana"/>
                <w:color w:val="000000"/>
                <w:szCs w:val="22"/>
              </w:rPr>
              <w:t>til 60.000 kr. i 2021. Det vurderes, at der i højsæsonen 2021 igen vil</w:t>
            </w:r>
            <w:r>
              <w:rPr>
                <w:rFonts w:cs="Verdana"/>
                <w:color w:val="000000"/>
                <w:szCs w:val="22"/>
              </w:rPr>
              <w:t xml:space="preserve"> </w:t>
            </w:r>
            <w:r w:rsidR="004B5A2A" w:rsidRPr="003326BB">
              <w:rPr>
                <w:rFonts w:cs="Verdana"/>
                <w:color w:val="000000"/>
                <w:szCs w:val="22"/>
              </w:rPr>
              <w:t>være mangel på sommerhuse til udlejning, hvilket direkte vil mindske turismen.</w:t>
            </w:r>
          </w:p>
          <w:p w14:paraId="626F7435" w14:textId="77777777" w:rsidR="003326BB" w:rsidRDefault="003326BB" w:rsidP="003326BB">
            <w:pPr>
              <w:pStyle w:val="Tabel-BrdtekstmedafstandptekstGaramond"/>
              <w:rPr>
                <w:rFonts w:cs="Verdana"/>
                <w:color w:val="000000"/>
                <w:szCs w:val="22"/>
              </w:rPr>
            </w:pPr>
          </w:p>
          <w:p w14:paraId="68C9FBC1" w14:textId="2B32EF87" w:rsidR="003326BB" w:rsidRDefault="004B5A2A" w:rsidP="003326BB">
            <w:pPr>
              <w:pStyle w:val="Tabel-BrdtekstmedafstandptekstGaramond"/>
              <w:rPr>
                <w:rFonts w:cs="Verdana"/>
                <w:color w:val="000000"/>
                <w:szCs w:val="22"/>
              </w:rPr>
            </w:pPr>
            <w:r w:rsidRPr="003326BB">
              <w:rPr>
                <w:rFonts w:cs="Verdana"/>
                <w:color w:val="000000"/>
                <w:szCs w:val="22"/>
              </w:rPr>
              <w:t>For at øge interessen for udlejning af feriehuse foreslå</w:t>
            </w:r>
            <w:r w:rsidR="003326BB">
              <w:rPr>
                <w:rFonts w:cs="Verdana"/>
                <w:color w:val="000000"/>
                <w:szCs w:val="22"/>
              </w:rPr>
              <w:t>r FB</w:t>
            </w:r>
            <w:r w:rsidRPr="003326BB">
              <w:rPr>
                <w:rFonts w:cs="Verdana"/>
                <w:color w:val="000000"/>
                <w:szCs w:val="22"/>
              </w:rPr>
              <w:t xml:space="preserve"> at forlænge den</w:t>
            </w:r>
            <w:r w:rsidR="003326BB">
              <w:rPr>
                <w:rFonts w:cs="Verdana"/>
                <w:color w:val="000000"/>
                <w:szCs w:val="22"/>
              </w:rPr>
              <w:t xml:space="preserve"> midlertidige forhøjelse af bundfradraget.</w:t>
            </w:r>
          </w:p>
          <w:p w14:paraId="69439FEE" w14:textId="77777777" w:rsidR="005E1E9F" w:rsidRDefault="005E1E9F" w:rsidP="003326BB">
            <w:pPr>
              <w:pStyle w:val="Tabel-BrdtekstmedafstandptekstGaramond"/>
              <w:rPr>
                <w:rFonts w:cs="Verdana"/>
                <w:color w:val="000000"/>
                <w:szCs w:val="22"/>
              </w:rPr>
            </w:pPr>
          </w:p>
          <w:p w14:paraId="11B6196B" w14:textId="7E359936" w:rsidR="003326BB" w:rsidRDefault="004B5A2A" w:rsidP="003326BB">
            <w:pPr>
              <w:pStyle w:val="Tabel-BrdtekstmedafstandptekstGaramond"/>
              <w:rPr>
                <w:rFonts w:cs="Verdana"/>
                <w:color w:val="000000"/>
                <w:szCs w:val="22"/>
              </w:rPr>
            </w:pPr>
            <w:r w:rsidRPr="003326BB">
              <w:rPr>
                <w:rFonts w:cs="Verdana"/>
                <w:color w:val="000000"/>
                <w:szCs w:val="22"/>
              </w:rPr>
              <w:t>Personer, der udlejer deres egen helårsbolig, har et skattefrit bundfradrag</w:t>
            </w:r>
            <w:r w:rsidR="003326BB">
              <w:rPr>
                <w:rFonts w:cs="Verdana"/>
                <w:color w:val="000000"/>
                <w:szCs w:val="22"/>
              </w:rPr>
              <w:t xml:space="preserve"> </w:t>
            </w:r>
            <w:r w:rsidRPr="003326BB">
              <w:rPr>
                <w:rFonts w:cs="Verdana"/>
                <w:color w:val="000000"/>
                <w:szCs w:val="22"/>
              </w:rPr>
              <w:t>på 29.300 kroner (2020-niveau) årligt, hvis de udlejer gennem et udlejningsbureau</w:t>
            </w:r>
            <w:r w:rsidR="003326BB">
              <w:rPr>
                <w:rFonts w:cs="Verdana"/>
                <w:color w:val="000000"/>
                <w:szCs w:val="22"/>
              </w:rPr>
              <w:t xml:space="preserve"> </w:t>
            </w:r>
            <w:r w:rsidRPr="003326BB">
              <w:rPr>
                <w:rFonts w:cs="Verdana"/>
                <w:color w:val="000000"/>
                <w:szCs w:val="22"/>
              </w:rPr>
              <w:t>eller en portal</w:t>
            </w:r>
            <w:r w:rsidR="00383FB7">
              <w:rPr>
                <w:rFonts w:cs="Verdana"/>
                <w:color w:val="000000"/>
                <w:szCs w:val="22"/>
              </w:rPr>
              <w:t>,</w:t>
            </w:r>
            <w:r w:rsidRPr="003326BB">
              <w:rPr>
                <w:rFonts w:cs="Verdana"/>
                <w:color w:val="000000"/>
                <w:szCs w:val="22"/>
              </w:rPr>
              <w:t xml:space="preserve"> der indberetter deres lejeindtægt.</w:t>
            </w:r>
          </w:p>
          <w:p w14:paraId="11F9D2B3" w14:textId="77777777" w:rsidR="00151113" w:rsidRDefault="00151113" w:rsidP="003326BB">
            <w:pPr>
              <w:pStyle w:val="Tabel-BrdtekstmedafstandptekstGaramond"/>
              <w:rPr>
                <w:rFonts w:cs="Verdana"/>
                <w:color w:val="000000"/>
                <w:szCs w:val="22"/>
              </w:rPr>
            </w:pPr>
          </w:p>
          <w:p w14:paraId="3814D2AD" w14:textId="5B8D1E9F" w:rsidR="004B5A2A" w:rsidRPr="00B5346F" w:rsidRDefault="00151113" w:rsidP="00151113">
            <w:pPr>
              <w:pStyle w:val="Tabel-BrdtekstmedafstandptekstGaramond"/>
            </w:pPr>
            <w:r>
              <w:rPr>
                <w:rFonts w:cs="Verdana"/>
                <w:color w:val="000000"/>
                <w:szCs w:val="22"/>
              </w:rPr>
              <w:t xml:space="preserve">FB bemærker, at personer, der </w:t>
            </w:r>
            <w:r w:rsidR="004B5A2A" w:rsidRPr="003326BB">
              <w:rPr>
                <w:rFonts w:cs="Verdana"/>
                <w:color w:val="000000"/>
                <w:szCs w:val="22"/>
              </w:rPr>
              <w:t>udlejer egen helårsbolig</w:t>
            </w:r>
            <w:r w:rsidR="00E358D6">
              <w:rPr>
                <w:rFonts w:cs="Verdana"/>
                <w:color w:val="000000"/>
                <w:szCs w:val="22"/>
              </w:rPr>
              <w:t>,</w:t>
            </w:r>
            <w:r w:rsidR="004B5A2A" w:rsidRPr="003326BB">
              <w:rPr>
                <w:rFonts w:cs="Verdana"/>
                <w:color w:val="000000"/>
                <w:szCs w:val="22"/>
              </w:rPr>
              <w:t xml:space="preserve"> er ekstremt hårdt ramt af rejserestriktioner,</w:t>
            </w:r>
            <w:r>
              <w:rPr>
                <w:rFonts w:cs="Verdana"/>
                <w:color w:val="000000"/>
                <w:szCs w:val="22"/>
              </w:rPr>
              <w:t xml:space="preserve"> </w:t>
            </w:r>
            <w:r w:rsidR="004B5A2A" w:rsidRPr="003326BB">
              <w:rPr>
                <w:rFonts w:cs="Verdana"/>
                <w:color w:val="000000"/>
                <w:szCs w:val="22"/>
              </w:rPr>
              <w:t>men er i modsætning til andre overnatningsformer i byerne</w:t>
            </w:r>
            <w:r>
              <w:rPr>
                <w:rFonts w:cs="Verdana"/>
                <w:color w:val="000000"/>
                <w:szCs w:val="22"/>
              </w:rPr>
              <w:t xml:space="preserve"> </w:t>
            </w:r>
            <w:r w:rsidR="004B5A2A" w:rsidRPr="003326BB">
              <w:rPr>
                <w:rFonts w:cs="Verdana"/>
                <w:color w:val="000000"/>
                <w:szCs w:val="22"/>
              </w:rPr>
              <w:t>ikke blevet kompenseret. F</w:t>
            </w:r>
            <w:r>
              <w:rPr>
                <w:rFonts w:cs="Verdana"/>
                <w:color w:val="000000"/>
                <w:szCs w:val="22"/>
              </w:rPr>
              <w:t>B</w:t>
            </w:r>
            <w:r w:rsidR="004B5A2A" w:rsidRPr="003326BB">
              <w:rPr>
                <w:rFonts w:cs="Verdana"/>
                <w:color w:val="000000"/>
                <w:szCs w:val="22"/>
              </w:rPr>
              <w:t xml:space="preserve"> foreslå</w:t>
            </w:r>
            <w:r>
              <w:rPr>
                <w:rFonts w:cs="Verdana"/>
                <w:color w:val="000000"/>
                <w:szCs w:val="22"/>
              </w:rPr>
              <w:t>r</w:t>
            </w:r>
            <w:r w:rsidR="004B5A2A" w:rsidRPr="003326BB">
              <w:rPr>
                <w:rFonts w:cs="Verdana"/>
                <w:color w:val="000000"/>
                <w:szCs w:val="22"/>
              </w:rPr>
              <w:t>, at</w:t>
            </w:r>
            <w:r>
              <w:rPr>
                <w:rFonts w:cs="Verdana"/>
                <w:color w:val="000000"/>
                <w:szCs w:val="22"/>
              </w:rPr>
              <w:t xml:space="preserve"> </w:t>
            </w:r>
            <w:r w:rsidR="004B5A2A" w:rsidRPr="003326BB">
              <w:rPr>
                <w:rFonts w:cs="Verdana"/>
                <w:color w:val="000000"/>
                <w:szCs w:val="22"/>
              </w:rPr>
              <w:t>de også får en ekstraordinær forhøjelse af bundfradraget til 60.000 kr. som</w:t>
            </w:r>
            <w:r>
              <w:rPr>
                <w:rFonts w:cs="Verdana"/>
                <w:color w:val="000000"/>
                <w:szCs w:val="22"/>
              </w:rPr>
              <w:t xml:space="preserve"> </w:t>
            </w:r>
            <w:r w:rsidR="004B5A2A" w:rsidRPr="003326BB">
              <w:rPr>
                <w:rFonts w:cs="Verdana"/>
                <w:color w:val="000000"/>
                <w:szCs w:val="22"/>
              </w:rPr>
              <w:t>en kompensation og som en motivation til at udleje, og dermed til at skabe</w:t>
            </w:r>
            <w:r>
              <w:rPr>
                <w:rFonts w:cs="Verdana"/>
                <w:color w:val="000000"/>
                <w:szCs w:val="22"/>
              </w:rPr>
              <w:t xml:space="preserve"> </w:t>
            </w:r>
            <w:r w:rsidR="004B5A2A" w:rsidRPr="003326BB">
              <w:rPr>
                <w:rFonts w:cs="Verdana"/>
                <w:color w:val="000000"/>
                <w:szCs w:val="22"/>
              </w:rPr>
              <w:t>øget turismeomsætning i byerne.</w:t>
            </w:r>
          </w:p>
        </w:tc>
        <w:tc>
          <w:tcPr>
            <w:tcW w:w="230" w:type="dxa"/>
            <w:shd w:val="clear" w:color="auto" w:fill="FFFFFF" w:themeFill="background1"/>
          </w:tcPr>
          <w:p w14:paraId="11E312CA" w14:textId="77777777" w:rsidR="00943E9C" w:rsidRPr="00B5346F" w:rsidRDefault="00943E9C" w:rsidP="00DC10A2"/>
        </w:tc>
        <w:tc>
          <w:tcPr>
            <w:tcW w:w="3443" w:type="dxa"/>
            <w:tcBorders>
              <w:bottom w:val="single" w:sz="4" w:space="0" w:color="14143C" w:themeColor="accent1"/>
            </w:tcBorders>
            <w:shd w:val="clear" w:color="auto" w:fill="D2CED8"/>
          </w:tcPr>
          <w:p w14:paraId="4F547DFD" w14:textId="77777777" w:rsidR="00151113" w:rsidRDefault="00151113" w:rsidP="00151113">
            <w:pPr>
              <w:pStyle w:val="Tabel-BrdtekstmedafstandptekstGaramond"/>
              <w:tabs>
                <w:tab w:val="left" w:pos="1171"/>
              </w:tabs>
            </w:pPr>
          </w:p>
          <w:p w14:paraId="77722BFF" w14:textId="77777777" w:rsidR="00151113" w:rsidRDefault="00151113" w:rsidP="00151113">
            <w:pPr>
              <w:pStyle w:val="Tabel-BrdtekstmedafstandptekstGaramond"/>
              <w:tabs>
                <w:tab w:val="left" w:pos="1171"/>
              </w:tabs>
            </w:pPr>
          </w:p>
          <w:p w14:paraId="720ED4B6" w14:textId="77777777" w:rsidR="00151113" w:rsidRDefault="00151113" w:rsidP="00151113">
            <w:pPr>
              <w:pStyle w:val="Tabel-BrdtekstmedafstandptekstGaramond"/>
              <w:tabs>
                <w:tab w:val="left" w:pos="1171"/>
              </w:tabs>
            </w:pPr>
          </w:p>
          <w:p w14:paraId="3E034CB8" w14:textId="77777777" w:rsidR="00151113" w:rsidRDefault="00151113" w:rsidP="00151113">
            <w:pPr>
              <w:pStyle w:val="Tabel-BrdtekstmedafstandptekstGaramond"/>
              <w:tabs>
                <w:tab w:val="left" w:pos="1171"/>
              </w:tabs>
            </w:pPr>
          </w:p>
          <w:p w14:paraId="1FA2F966" w14:textId="77777777" w:rsidR="00151113" w:rsidRDefault="00151113" w:rsidP="00151113">
            <w:pPr>
              <w:pStyle w:val="Tabel-BrdtekstmedafstandptekstGaramond"/>
              <w:tabs>
                <w:tab w:val="left" w:pos="1171"/>
              </w:tabs>
            </w:pPr>
          </w:p>
          <w:p w14:paraId="4A468DA1" w14:textId="77777777" w:rsidR="00151113" w:rsidRDefault="00151113" w:rsidP="00151113">
            <w:pPr>
              <w:pStyle w:val="Tabel-BrdtekstmedafstandptekstGaramond"/>
              <w:tabs>
                <w:tab w:val="left" w:pos="1171"/>
              </w:tabs>
            </w:pPr>
          </w:p>
          <w:p w14:paraId="0FB42F96" w14:textId="77777777" w:rsidR="00151113" w:rsidRDefault="00151113" w:rsidP="00151113">
            <w:pPr>
              <w:pStyle w:val="Tabel-BrdtekstmedafstandptekstGaramond"/>
              <w:tabs>
                <w:tab w:val="left" w:pos="1171"/>
              </w:tabs>
            </w:pPr>
          </w:p>
          <w:p w14:paraId="0E9235A8" w14:textId="77777777" w:rsidR="00151113" w:rsidRDefault="00151113" w:rsidP="00151113">
            <w:pPr>
              <w:pStyle w:val="Tabel-BrdtekstmedafstandptekstGaramond"/>
              <w:tabs>
                <w:tab w:val="left" w:pos="1171"/>
              </w:tabs>
            </w:pPr>
          </w:p>
          <w:p w14:paraId="1A212F4C" w14:textId="77777777" w:rsidR="00151113" w:rsidRDefault="00151113" w:rsidP="00151113">
            <w:pPr>
              <w:pStyle w:val="Tabel-BrdtekstmedafstandptekstGaramond"/>
              <w:tabs>
                <w:tab w:val="left" w:pos="1171"/>
              </w:tabs>
            </w:pPr>
          </w:p>
          <w:p w14:paraId="0620321B" w14:textId="77777777" w:rsidR="00151113" w:rsidRDefault="00151113" w:rsidP="00151113">
            <w:pPr>
              <w:pStyle w:val="Tabel-BrdtekstmedafstandptekstGaramond"/>
              <w:tabs>
                <w:tab w:val="left" w:pos="1171"/>
              </w:tabs>
            </w:pPr>
          </w:p>
          <w:p w14:paraId="1C2EF1D4" w14:textId="77777777" w:rsidR="00151113" w:rsidRDefault="00151113" w:rsidP="00151113">
            <w:pPr>
              <w:pStyle w:val="Tabel-BrdtekstmedafstandptekstGaramond"/>
              <w:tabs>
                <w:tab w:val="left" w:pos="1171"/>
              </w:tabs>
            </w:pPr>
          </w:p>
          <w:p w14:paraId="50001873" w14:textId="77777777" w:rsidR="00151113" w:rsidRDefault="00151113" w:rsidP="00151113">
            <w:pPr>
              <w:pStyle w:val="Tabel-BrdtekstmedafstandptekstGaramond"/>
              <w:tabs>
                <w:tab w:val="left" w:pos="1171"/>
              </w:tabs>
            </w:pPr>
          </w:p>
          <w:p w14:paraId="2EB6C3BA" w14:textId="77777777" w:rsidR="00151113" w:rsidRDefault="00151113" w:rsidP="00151113">
            <w:pPr>
              <w:pStyle w:val="Tabel-BrdtekstmedafstandptekstGaramond"/>
              <w:tabs>
                <w:tab w:val="left" w:pos="1171"/>
              </w:tabs>
            </w:pPr>
          </w:p>
          <w:p w14:paraId="347F8924" w14:textId="77777777" w:rsidR="00151113" w:rsidRDefault="00151113" w:rsidP="00151113">
            <w:pPr>
              <w:pStyle w:val="Tabel-BrdtekstmedafstandptekstGaramond"/>
              <w:tabs>
                <w:tab w:val="left" w:pos="1171"/>
              </w:tabs>
            </w:pPr>
          </w:p>
          <w:p w14:paraId="1BBD0A5D" w14:textId="77777777" w:rsidR="00151113" w:rsidRDefault="00151113" w:rsidP="00151113">
            <w:pPr>
              <w:pStyle w:val="Tabel-BrdtekstmedafstandptekstGaramond"/>
              <w:tabs>
                <w:tab w:val="left" w:pos="1171"/>
              </w:tabs>
            </w:pPr>
          </w:p>
          <w:p w14:paraId="3E4354EC" w14:textId="77777777" w:rsidR="00151113" w:rsidRDefault="00151113" w:rsidP="00151113">
            <w:pPr>
              <w:pStyle w:val="Tabel-BrdtekstmedafstandptekstGaramond"/>
              <w:tabs>
                <w:tab w:val="left" w:pos="1171"/>
              </w:tabs>
            </w:pPr>
          </w:p>
          <w:p w14:paraId="381DB1FC" w14:textId="77777777" w:rsidR="00151113" w:rsidRDefault="00151113" w:rsidP="00151113">
            <w:pPr>
              <w:pStyle w:val="Tabel-BrdtekstmedafstandptekstGaramond"/>
              <w:tabs>
                <w:tab w:val="left" w:pos="1171"/>
              </w:tabs>
            </w:pPr>
          </w:p>
          <w:p w14:paraId="6641D8A0" w14:textId="77777777" w:rsidR="00151113" w:rsidRDefault="00151113" w:rsidP="00151113">
            <w:pPr>
              <w:pStyle w:val="Tabel-BrdtekstmedafstandptekstGaramond"/>
              <w:tabs>
                <w:tab w:val="left" w:pos="1171"/>
              </w:tabs>
            </w:pPr>
          </w:p>
          <w:p w14:paraId="0720684A" w14:textId="77777777" w:rsidR="00151113" w:rsidRDefault="00151113" w:rsidP="00151113">
            <w:pPr>
              <w:pStyle w:val="Tabel-BrdtekstmedafstandptekstGaramond"/>
              <w:tabs>
                <w:tab w:val="left" w:pos="1171"/>
              </w:tabs>
            </w:pPr>
          </w:p>
          <w:p w14:paraId="014DA385" w14:textId="77777777" w:rsidR="00151113" w:rsidRDefault="00151113" w:rsidP="00151113">
            <w:pPr>
              <w:pStyle w:val="Tabel-BrdtekstmedafstandptekstGaramond"/>
              <w:tabs>
                <w:tab w:val="left" w:pos="1171"/>
              </w:tabs>
            </w:pPr>
          </w:p>
          <w:p w14:paraId="1A86E77B" w14:textId="77777777" w:rsidR="00151113" w:rsidRDefault="00151113" w:rsidP="00151113">
            <w:pPr>
              <w:pStyle w:val="Tabel-BrdtekstmedafstandptekstGaramond"/>
              <w:tabs>
                <w:tab w:val="left" w:pos="1171"/>
              </w:tabs>
            </w:pPr>
          </w:p>
          <w:p w14:paraId="446B1C12" w14:textId="77777777" w:rsidR="00151113" w:rsidRDefault="00151113" w:rsidP="00151113">
            <w:pPr>
              <w:pStyle w:val="Tabel-BrdtekstmedafstandptekstGaramond"/>
              <w:tabs>
                <w:tab w:val="left" w:pos="1171"/>
              </w:tabs>
            </w:pPr>
          </w:p>
          <w:p w14:paraId="5C20C155" w14:textId="77777777" w:rsidR="00151113" w:rsidRDefault="00151113" w:rsidP="00151113">
            <w:pPr>
              <w:pStyle w:val="Tabel-BrdtekstmedafstandptekstGaramond"/>
              <w:tabs>
                <w:tab w:val="left" w:pos="1171"/>
              </w:tabs>
            </w:pPr>
          </w:p>
          <w:p w14:paraId="6FA5B37E" w14:textId="77777777" w:rsidR="00151113" w:rsidRDefault="00151113" w:rsidP="00151113">
            <w:pPr>
              <w:pStyle w:val="Tabel-BrdtekstmedafstandptekstGaramond"/>
              <w:tabs>
                <w:tab w:val="left" w:pos="1171"/>
              </w:tabs>
            </w:pPr>
          </w:p>
          <w:p w14:paraId="42E3CBE7" w14:textId="77777777" w:rsidR="00151113" w:rsidRDefault="00151113" w:rsidP="00151113">
            <w:pPr>
              <w:pStyle w:val="Tabel-BrdtekstmedafstandptekstGaramond"/>
              <w:tabs>
                <w:tab w:val="left" w:pos="1171"/>
              </w:tabs>
            </w:pPr>
          </w:p>
          <w:p w14:paraId="381242BF" w14:textId="77777777" w:rsidR="00151113" w:rsidRDefault="00151113" w:rsidP="00151113">
            <w:pPr>
              <w:pStyle w:val="Tabel-BrdtekstmedafstandptekstGaramond"/>
              <w:tabs>
                <w:tab w:val="left" w:pos="1171"/>
              </w:tabs>
            </w:pPr>
          </w:p>
          <w:p w14:paraId="2F976D75" w14:textId="77777777" w:rsidR="00151113" w:rsidRDefault="00151113" w:rsidP="00151113">
            <w:pPr>
              <w:pStyle w:val="Tabel-BrdtekstmedafstandptekstGaramond"/>
              <w:tabs>
                <w:tab w:val="left" w:pos="1171"/>
              </w:tabs>
            </w:pPr>
          </w:p>
          <w:p w14:paraId="5F4EF3B3" w14:textId="77777777" w:rsidR="00151113" w:rsidRDefault="00151113" w:rsidP="00151113">
            <w:pPr>
              <w:pStyle w:val="Tabel-BrdtekstmedafstandptekstGaramond"/>
              <w:tabs>
                <w:tab w:val="left" w:pos="1171"/>
              </w:tabs>
            </w:pPr>
          </w:p>
          <w:p w14:paraId="72E7FDD4" w14:textId="77777777" w:rsidR="00151113" w:rsidRDefault="00151113" w:rsidP="00151113">
            <w:pPr>
              <w:pStyle w:val="Tabel-BrdtekstmedafstandptekstGaramond"/>
              <w:tabs>
                <w:tab w:val="left" w:pos="1171"/>
              </w:tabs>
            </w:pPr>
          </w:p>
          <w:p w14:paraId="4901AC1F" w14:textId="77777777" w:rsidR="00151113" w:rsidRDefault="00151113" w:rsidP="00151113">
            <w:pPr>
              <w:pStyle w:val="Tabel-BrdtekstmedafstandptekstGaramond"/>
              <w:tabs>
                <w:tab w:val="left" w:pos="1171"/>
              </w:tabs>
            </w:pPr>
          </w:p>
          <w:p w14:paraId="6034EFB6" w14:textId="77777777" w:rsidR="00151113" w:rsidRDefault="00151113" w:rsidP="00151113">
            <w:pPr>
              <w:pStyle w:val="Tabel-BrdtekstmedafstandptekstGaramond"/>
              <w:tabs>
                <w:tab w:val="left" w:pos="1171"/>
              </w:tabs>
            </w:pPr>
          </w:p>
          <w:p w14:paraId="69DCF9C6" w14:textId="77777777" w:rsidR="00151113" w:rsidRDefault="00151113" w:rsidP="00151113">
            <w:pPr>
              <w:pStyle w:val="Tabel-BrdtekstmedafstandptekstGaramond"/>
              <w:tabs>
                <w:tab w:val="left" w:pos="1171"/>
              </w:tabs>
            </w:pPr>
          </w:p>
          <w:p w14:paraId="5D6706E8" w14:textId="77777777" w:rsidR="00151113" w:rsidRDefault="00151113" w:rsidP="00151113">
            <w:pPr>
              <w:pStyle w:val="Tabel-BrdtekstmedafstandptekstGaramond"/>
              <w:tabs>
                <w:tab w:val="left" w:pos="1171"/>
              </w:tabs>
            </w:pPr>
          </w:p>
          <w:p w14:paraId="5480D449" w14:textId="77777777" w:rsidR="00151113" w:rsidRDefault="00151113" w:rsidP="00151113">
            <w:pPr>
              <w:pStyle w:val="Tabel-BrdtekstmedafstandptekstGaramond"/>
              <w:tabs>
                <w:tab w:val="left" w:pos="1171"/>
              </w:tabs>
            </w:pPr>
          </w:p>
          <w:p w14:paraId="6D5CE4D6" w14:textId="77777777" w:rsidR="00151113" w:rsidRDefault="00151113" w:rsidP="00151113">
            <w:pPr>
              <w:pStyle w:val="Tabel-BrdtekstmedafstandptekstGaramond"/>
              <w:tabs>
                <w:tab w:val="left" w:pos="1171"/>
              </w:tabs>
            </w:pPr>
          </w:p>
          <w:p w14:paraId="1FC3CA4C" w14:textId="77777777" w:rsidR="00151113" w:rsidRDefault="00151113" w:rsidP="00151113">
            <w:pPr>
              <w:pStyle w:val="Tabel-BrdtekstmedafstandptekstGaramond"/>
              <w:tabs>
                <w:tab w:val="left" w:pos="1171"/>
              </w:tabs>
            </w:pPr>
          </w:p>
          <w:p w14:paraId="35349675" w14:textId="77777777" w:rsidR="00151113" w:rsidRDefault="00151113" w:rsidP="00151113">
            <w:pPr>
              <w:pStyle w:val="Tabel-BrdtekstmedafstandptekstGaramond"/>
              <w:tabs>
                <w:tab w:val="left" w:pos="1171"/>
              </w:tabs>
            </w:pPr>
          </w:p>
          <w:p w14:paraId="3D7CDFF8" w14:textId="77777777" w:rsidR="00151113" w:rsidRDefault="00151113" w:rsidP="00151113">
            <w:pPr>
              <w:pStyle w:val="Tabel-BrdtekstmedafstandptekstGaramond"/>
              <w:tabs>
                <w:tab w:val="left" w:pos="1171"/>
              </w:tabs>
            </w:pPr>
          </w:p>
          <w:p w14:paraId="7AA90249" w14:textId="77777777" w:rsidR="00151113" w:rsidRDefault="00151113" w:rsidP="00151113">
            <w:pPr>
              <w:pStyle w:val="Tabel-BrdtekstmedafstandptekstGaramond"/>
              <w:tabs>
                <w:tab w:val="left" w:pos="1171"/>
              </w:tabs>
            </w:pPr>
          </w:p>
          <w:p w14:paraId="40C99884" w14:textId="77777777" w:rsidR="00151113" w:rsidRDefault="00151113" w:rsidP="00151113">
            <w:pPr>
              <w:pStyle w:val="Tabel-BrdtekstmedafstandptekstGaramond"/>
              <w:tabs>
                <w:tab w:val="left" w:pos="1171"/>
              </w:tabs>
            </w:pPr>
          </w:p>
          <w:p w14:paraId="10ECCC4F" w14:textId="77777777" w:rsidR="00151113" w:rsidRDefault="00151113" w:rsidP="00151113">
            <w:pPr>
              <w:pStyle w:val="Tabel-BrdtekstmedafstandptekstGaramond"/>
              <w:tabs>
                <w:tab w:val="left" w:pos="1171"/>
              </w:tabs>
            </w:pPr>
          </w:p>
          <w:p w14:paraId="6766A9B2" w14:textId="77777777" w:rsidR="00151113" w:rsidRDefault="00151113" w:rsidP="00151113">
            <w:pPr>
              <w:pStyle w:val="Tabel-BrdtekstmedafstandptekstGaramond"/>
              <w:tabs>
                <w:tab w:val="left" w:pos="1171"/>
              </w:tabs>
            </w:pPr>
          </w:p>
          <w:p w14:paraId="6888F7F0" w14:textId="77777777" w:rsidR="00151113" w:rsidRDefault="00151113" w:rsidP="00151113">
            <w:pPr>
              <w:pStyle w:val="Tabel-BrdtekstmedafstandptekstGaramond"/>
              <w:tabs>
                <w:tab w:val="left" w:pos="1171"/>
              </w:tabs>
            </w:pPr>
          </w:p>
          <w:p w14:paraId="699CB011" w14:textId="77777777" w:rsidR="00151113" w:rsidRDefault="00151113" w:rsidP="00151113">
            <w:pPr>
              <w:pStyle w:val="Tabel-BrdtekstmedafstandptekstGaramond"/>
              <w:tabs>
                <w:tab w:val="left" w:pos="1171"/>
              </w:tabs>
            </w:pPr>
          </w:p>
          <w:p w14:paraId="3B1B5C02" w14:textId="77777777" w:rsidR="00151113" w:rsidRDefault="00151113" w:rsidP="00151113">
            <w:pPr>
              <w:pStyle w:val="Tabel-BrdtekstmedafstandptekstGaramond"/>
              <w:tabs>
                <w:tab w:val="left" w:pos="1171"/>
              </w:tabs>
            </w:pPr>
          </w:p>
          <w:p w14:paraId="23A59EC8" w14:textId="77777777" w:rsidR="00151113" w:rsidRDefault="00151113" w:rsidP="00151113">
            <w:pPr>
              <w:pStyle w:val="Tabel-BrdtekstmedafstandptekstGaramond"/>
              <w:tabs>
                <w:tab w:val="left" w:pos="1171"/>
              </w:tabs>
            </w:pPr>
          </w:p>
          <w:p w14:paraId="23C92145" w14:textId="77777777" w:rsidR="00151113" w:rsidRDefault="00151113" w:rsidP="00151113">
            <w:pPr>
              <w:pStyle w:val="Tabel-BrdtekstmedafstandptekstGaramond"/>
              <w:tabs>
                <w:tab w:val="left" w:pos="1171"/>
              </w:tabs>
            </w:pPr>
          </w:p>
          <w:p w14:paraId="760E19E6" w14:textId="77777777" w:rsidR="00151113" w:rsidRDefault="00151113" w:rsidP="00151113">
            <w:pPr>
              <w:pStyle w:val="Tabel-BrdtekstmedafstandptekstGaramond"/>
              <w:tabs>
                <w:tab w:val="left" w:pos="1171"/>
              </w:tabs>
            </w:pPr>
          </w:p>
          <w:p w14:paraId="1604717C" w14:textId="77777777" w:rsidR="00151113" w:rsidRDefault="00151113" w:rsidP="00151113">
            <w:pPr>
              <w:pStyle w:val="Tabel-BrdtekstmedafstandptekstGaramond"/>
              <w:tabs>
                <w:tab w:val="left" w:pos="1171"/>
              </w:tabs>
            </w:pPr>
          </w:p>
          <w:p w14:paraId="43826F4C" w14:textId="77777777" w:rsidR="00151113" w:rsidRDefault="00151113" w:rsidP="00151113">
            <w:pPr>
              <w:pStyle w:val="Tabel-BrdtekstmedafstandptekstGaramond"/>
              <w:tabs>
                <w:tab w:val="left" w:pos="1171"/>
              </w:tabs>
            </w:pPr>
          </w:p>
          <w:p w14:paraId="7DF49ADC" w14:textId="77777777" w:rsidR="00151113" w:rsidRDefault="00151113" w:rsidP="00151113">
            <w:pPr>
              <w:pStyle w:val="Tabel-BrdtekstmedafstandptekstGaramond"/>
              <w:tabs>
                <w:tab w:val="left" w:pos="1171"/>
              </w:tabs>
            </w:pPr>
          </w:p>
          <w:p w14:paraId="2BE5EB79" w14:textId="77777777" w:rsidR="00151113" w:rsidRDefault="00151113" w:rsidP="00151113">
            <w:pPr>
              <w:pStyle w:val="Tabel-BrdtekstmedafstandptekstGaramond"/>
              <w:tabs>
                <w:tab w:val="left" w:pos="1171"/>
              </w:tabs>
            </w:pPr>
          </w:p>
          <w:p w14:paraId="2E875D0C" w14:textId="77777777" w:rsidR="00151113" w:rsidRDefault="00151113" w:rsidP="00151113">
            <w:pPr>
              <w:pStyle w:val="Tabel-BrdtekstmedafstandptekstGaramond"/>
              <w:tabs>
                <w:tab w:val="left" w:pos="1171"/>
              </w:tabs>
            </w:pPr>
          </w:p>
          <w:p w14:paraId="1A0951E7" w14:textId="77777777" w:rsidR="00151113" w:rsidRDefault="00151113" w:rsidP="00151113">
            <w:pPr>
              <w:pStyle w:val="Tabel-BrdtekstmedafstandptekstGaramond"/>
              <w:tabs>
                <w:tab w:val="left" w:pos="1171"/>
              </w:tabs>
            </w:pPr>
          </w:p>
          <w:p w14:paraId="7297DBC3" w14:textId="77777777" w:rsidR="00151113" w:rsidRDefault="00151113" w:rsidP="00151113">
            <w:pPr>
              <w:pStyle w:val="Tabel-BrdtekstmedafstandptekstGaramond"/>
              <w:tabs>
                <w:tab w:val="left" w:pos="1171"/>
              </w:tabs>
            </w:pPr>
          </w:p>
          <w:p w14:paraId="46D6C7AB" w14:textId="77777777" w:rsidR="00151113" w:rsidRDefault="00151113" w:rsidP="00151113">
            <w:pPr>
              <w:pStyle w:val="Tabel-BrdtekstmedafstandptekstGaramond"/>
              <w:tabs>
                <w:tab w:val="left" w:pos="1171"/>
              </w:tabs>
            </w:pPr>
          </w:p>
          <w:p w14:paraId="38B6C077" w14:textId="77777777" w:rsidR="00151113" w:rsidRDefault="00151113" w:rsidP="00151113">
            <w:pPr>
              <w:pStyle w:val="Tabel-BrdtekstmedafstandptekstGaramond"/>
              <w:tabs>
                <w:tab w:val="left" w:pos="1171"/>
              </w:tabs>
            </w:pPr>
          </w:p>
          <w:p w14:paraId="56026ACC" w14:textId="77777777" w:rsidR="00151113" w:rsidRDefault="00151113" w:rsidP="00151113">
            <w:pPr>
              <w:pStyle w:val="Tabel-BrdtekstmedafstandptekstGaramond"/>
              <w:tabs>
                <w:tab w:val="left" w:pos="1171"/>
              </w:tabs>
            </w:pPr>
          </w:p>
          <w:p w14:paraId="35C7FE95" w14:textId="77777777" w:rsidR="00151113" w:rsidRDefault="00151113" w:rsidP="00151113">
            <w:pPr>
              <w:pStyle w:val="Tabel-BrdtekstmedafstandptekstGaramond"/>
              <w:tabs>
                <w:tab w:val="left" w:pos="1171"/>
              </w:tabs>
            </w:pPr>
          </w:p>
          <w:p w14:paraId="547E783D" w14:textId="77777777" w:rsidR="00151113" w:rsidRDefault="00151113" w:rsidP="00151113">
            <w:pPr>
              <w:pStyle w:val="Tabel-BrdtekstmedafstandptekstGaramond"/>
              <w:tabs>
                <w:tab w:val="left" w:pos="1171"/>
              </w:tabs>
            </w:pPr>
          </w:p>
          <w:p w14:paraId="12D79B66" w14:textId="77777777" w:rsidR="00151113" w:rsidRDefault="00151113" w:rsidP="00151113">
            <w:pPr>
              <w:pStyle w:val="Tabel-BrdtekstmedafstandptekstGaramond"/>
              <w:tabs>
                <w:tab w:val="left" w:pos="1171"/>
              </w:tabs>
            </w:pPr>
          </w:p>
          <w:p w14:paraId="7471465C" w14:textId="77777777" w:rsidR="00151113" w:rsidRDefault="00151113" w:rsidP="00151113">
            <w:pPr>
              <w:pStyle w:val="Tabel-BrdtekstmedafstandptekstGaramond"/>
              <w:tabs>
                <w:tab w:val="left" w:pos="1171"/>
              </w:tabs>
            </w:pPr>
          </w:p>
          <w:p w14:paraId="38A51B01" w14:textId="77777777" w:rsidR="00151113" w:rsidRDefault="00151113" w:rsidP="00151113">
            <w:pPr>
              <w:pStyle w:val="Tabel-BrdtekstmedafstandptekstGaramond"/>
              <w:tabs>
                <w:tab w:val="left" w:pos="1171"/>
              </w:tabs>
            </w:pPr>
          </w:p>
          <w:p w14:paraId="3109B847" w14:textId="77777777" w:rsidR="00151113" w:rsidRDefault="00151113" w:rsidP="00151113">
            <w:pPr>
              <w:pStyle w:val="Tabel-BrdtekstmedafstandptekstGaramond"/>
              <w:tabs>
                <w:tab w:val="left" w:pos="1171"/>
              </w:tabs>
            </w:pPr>
          </w:p>
          <w:p w14:paraId="5CEF3722" w14:textId="77777777" w:rsidR="00151113" w:rsidRDefault="00151113" w:rsidP="00151113">
            <w:pPr>
              <w:pStyle w:val="Tabel-BrdtekstmedafstandptekstGaramond"/>
              <w:tabs>
                <w:tab w:val="left" w:pos="1171"/>
              </w:tabs>
            </w:pPr>
          </w:p>
          <w:p w14:paraId="60230E28" w14:textId="77777777" w:rsidR="00151113" w:rsidRDefault="00151113" w:rsidP="00151113">
            <w:pPr>
              <w:pStyle w:val="Tabel-BrdtekstmedafstandptekstGaramond"/>
              <w:tabs>
                <w:tab w:val="left" w:pos="1171"/>
              </w:tabs>
            </w:pPr>
          </w:p>
          <w:p w14:paraId="3BE30992" w14:textId="77777777" w:rsidR="00151113" w:rsidRDefault="00151113" w:rsidP="00151113">
            <w:pPr>
              <w:pStyle w:val="Tabel-BrdtekstmedafstandptekstGaramond"/>
              <w:tabs>
                <w:tab w:val="left" w:pos="1171"/>
              </w:tabs>
            </w:pPr>
          </w:p>
          <w:p w14:paraId="0FF2F53E" w14:textId="77777777" w:rsidR="00151113" w:rsidRDefault="00151113" w:rsidP="00151113">
            <w:pPr>
              <w:pStyle w:val="Tabel-BrdtekstmedafstandptekstGaramond"/>
              <w:tabs>
                <w:tab w:val="left" w:pos="1171"/>
              </w:tabs>
            </w:pPr>
          </w:p>
          <w:p w14:paraId="76B6FEC5" w14:textId="77777777" w:rsidR="00151113" w:rsidRDefault="00151113" w:rsidP="00151113">
            <w:pPr>
              <w:pStyle w:val="Tabel-BrdtekstmedafstandptekstGaramond"/>
              <w:tabs>
                <w:tab w:val="left" w:pos="1171"/>
              </w:tabs>
            </w:pPr>
          </w:p>
          <w:p w14:paraId="6558D50F" w14:textId="77777777" w:rsidR="00151113" w:rsidRDefault="00151113" w:rsidP="00151113">
            <w:pPr>
              <w:pStyle w:val="Tabel-BrdtekstmedafstandptekstGaramond"/>
              <w:tabs>
                <w:tab w:val="left" w:pos="1171"/>
              </w:tabs>
            </w:pPr>
          </w:p>
          <w:p w14:paraId="1BF28647" w14:textId="77777777" w:rsidR="00151113" w:rsidRDefault="00151113" w:rsidP="00151113">
            <w:pPr>
              <w:pStyle w:val="Tabel-BrdtekstmedafstandptekstGaramond"/>
              <w:tabs>
                <w:tab w:val="left" w:pos="1171"/>
              </w:tabs>
            </w:pPr>
          </w:p>
          <w:p w14:paraId="421625DD" w14:textId="77777777" w:rsidR="00151113" w:rsidRDefault="00151113" w:rsidP="00151113">
            <w:pPr>
              <w:pStyle w:val="Tabel-BrdtekstmedafstandptekstGaramond"/>
              <w:tabs>
                <w:tab w:val="left" w:pos="1171"/>
              </w:tabs>
            </w:pPr>
          </w:p>
          <w:p w14:paraId="66B7617B" w14:textId="77777777" w:rsidR="00151113" w:rsidRDefault="00151113" w:rsidP="00151113">
            <w:pPr>
              <w:pStyle w:val="Tabel-BrdtekstmedafstandptekstGaramond"/>
              <w:tabs>
                <w:tab w:val="left" w:pos="1171"/>
              </w:tabs>
            </w:pPr>
          </w:p>
          <w:p w14:paraId="24238F7D" w14:textId="77777777" w:rsidR="00151113" w:rsidRDefault="00151113" w:rsidP="00151113">
            <w:pPr>
              <w:pStyle w:val="Tabel-BrdtekstmedafstandptekstGaramond"/>
              <w:tabs>
                <w:tab w:val="left" w:pos="1171"/>
              </w:tabs>
            </w:pPr>
          </w:p>
          <w:p w14:paraId="03448628" w14:textId="77777777" w:rsidR="00151113" w:rsidRDefault="00151113" w:rsidP="00151113">
            <w:pPr>
              <w:pStyle w:val="Tabel-BrdtekstmedafstandptekstGaramond"/>
              <w:tabs>
                <w:tab w:val="left" w:pos="1171"/>
              </w:tabs>
            </w:pPr>
          </w:p>
          <w:p w14:paraId="76DB548A" w14:textId="77777777" w:rsidR="00151113" w:rsidRDefault="00151113" w:rsidP="00151113">
            <w:pPr>
              <w:pStyle w:val="Tabel-BrdtekstmedafstandptekstGaramond"/>
              <w:tabs>
                <w:tab w:val="left" w:pos="1171"/>
              </w:tabs>
            </w:pPr>
          </w:p>
          <w:p w14:paraId="57473230" w14:textId="77777777" w:rsidR="00151113" w:rsidRDefault="00151113" w:rsidP="00151113">
            <w:pPr>
              <w:pStyle w:val="Tabel-BrdtekstmedafstandptekstGaramond"/>
              <w:tabs>
                <w:tab w:val="left" w:pos="1171"/>
              </w:tabs>
            </w:pPr>
          </w:p>
          <w:p w14:paraId="615D362D" w14:textId="77777777" w:rsidR="00151113" w:rsidRDefault="00151113" w:rsidP="00151113">
            <w:pPr>
              <w:pStyle w:val="Tabel-BrdtekstmedafstandptekstGaramond"/>
              <w:tabs>
                <w:tab w:val="left" w:pos="1171"/>
              </w:tabs>
            </w:pPr>
          </w:p>
          <w:p w14:paraId="4FF434EA" w14:textId="77777777" w:rsidR="00151113" w:rsidRDefault="00151113" w:rsidP="00151113">
            <w:pPr>
              <w:pStyle w:val="Tabel-BrdtekstmedafstandptekstGaramond"/>
              <w:tabs>
                <w:tab w:val="left" w:pos="1171"/>
              </w:tabs>
            </w:pPr>
          </w:p>
          <w:p w14:paraId="669EC34E" w14:textId="77777777" w:rsidR="00151113" w:rsidRDefault="00151113" w:rsidP="00151113">
            <w:pPr>
              <w:pStyle w:val="Tabel-BrdtekstmedafstandptekstGaramond"/>
              <w:tabs>
                <w:tab w:val="left" w:pos="1171"/>
              </w:tabs>
            </w:pPr>
          </w:p>
          <w:p w14:paraId="73B7806B" w14:textId="77777777" w:rsidR="00151113" w:rsidRDefault="00151113" w:rsidP="00151113">
            <w:pPr>
              <w:pStyle w:val="Tabel-BrdtekstmedafstandptekstGaramond"/>
              <w:tabs>
                <w:tab w:val="left" w:pos="1171"/>
              </w:tabs>
            </w:pPr>
          </w:p>
          <w:p w14:paraId="61C67717" w14:textId="77777777" w:rsidR="00151113" w:rsidRDefault="00151113" w:rsidP="00151113">
            <w:pPr>
              <w:pStyle w:val="Tabel-BrdtekstmedafstandptekstGaramond"/>
              <w:tabs>
                <w:tab w:val="left" w:pos="1171"/>
              </w:tabs>
            </w:pPr>
          </w:p>
          <w:p w14:paraId="15D38EB1" w14:textId="77777777" w:rsidR="00151113" w:rsidRDefault="00151113" w:rsidP="00151113">
            <w:pPr>
              <w:pStyle w:val="Tabel-BrdtekstmedafstandptekstGaramond"/>
              <w:tabs>
                <w:tab w:val="left" w:pos="1171"/>
              </w:tabs>
            </w:pPr>
          </w:p>
          <w:p w14:paraId="7015CDE7" w14:textId="77777777" w:rsidR="00151113" w:rsidRDefault="00151113" w:rsidP="00151113">
            <w:pPr>
              <w:pStyle w:val="Tabel-BrdtekstmedafstandptekstGaramond"/>
              <w:tabs>
                <w:tab w:val="left" w:pos="1171"/>
              </w:tabs>
            </w:pPr>
          </w:p>
          <w:p w14:paraId="0F88FA34" w14:textId="77777777" w:rsidR="00151113" w:rsidRDefault="00151113" w:rsidP="00151113">
            <w:pPr>
              <w:pStyle w:val="Tabel-BrdtekstmedafstandptekstGaramond"/>
              <w:tabs>
                <w:tab w:val="left" w:pos="1171"/>
              </w:tabs>
            </w:pPr>
          </w:p>
          <w:p w14:paraId="14F343EE" w14:textId="77777777" w:rsidR="00151113" w:rsidRDefault="00151113" w:rsidP="00151113">
            <w:pPr>
              <w:pStyle w:val="Tabel-BrdtekstmedafstandptekstGaramond"/>
              <w:tabs>
                <w:tab w:val="left" w:pos="1171"/>
              </w:tabs>
            </w:pPr>
          </w:p>
          <w:p w14:paraId="5381CD4A" w14:textId="77777777" w:rsidR="00151113" w:rsidRDefault="00151113" w:rsidP="00151113">
            <w:pPr>
              <w:pStyle w:val="Tabel-BrdtekstmedafstandptekstGaramond"/>
              <w:tabs>
                <w:tab w:val="left" w:pos="1171"/>
              </w:tabs>
            </w:pPr>
          </w:p>
          <w:p w14:paraId="5C814FBD" w14:textId="77777777" w:rsidR="005E1E9F" w:rsidRDefault="005E1E9F" w:rsidP="00151113">
            <w:pPr>
              <w:pStyle w:val="Tabel-BrdtekstmedafstandptekstGaramond"/>
              <w:tabs>
                <w:tab w:val="left" w:pos="1171"/>
              </w:tabs>
            </w:pPr>
          </w:p>
          <w:p w14:paraId="35AD62D4" w14:textId="38DEF59D" w:rsidR="00635A07" w:rsidRDefault="005E1E9F" w:rsidP="00151113">
            <w:pPr>
              <w:pStyle w:val="Tabel-BrdtekstmedafstandptekstGaramond"/>
              <w:tabs>
                <w:tab w:val="left" w:pos="1171"/>
              </w:tabs>
            </w:pPr>
            <w:r>
              <w:t>D</w:t>
            </w:r>
            <w:r w:rsidR="00B03792">
              <w:t>er henvises til kommentar</w:t>
            </w:r>
            <w:r w:rsidR="007E1014">
              <w:t>en</w:t>
            </w:r>
            <w:r w:rsidR="00B03792">
              <w:t xml:space="preserve"> til</w:t>
            </w:r>
            <w:r w:rsidR="007E1014">
              <w:t xml:space="preserve"> høringssvaret fra </w:t>
            </w:r>
            <w:r w:rsidR="00B03792">
              <w:t>Dansk Erhverv.</w:t>
            </w:r>
          </w:p>
          <w:p w14:paraId="57B53BC7" w14:textId="77777777" w:rsidR="00B03792" w:rsidRDefault="00B03792" w:rsidP="00151113">
            <w:pPr>
              <w:pStyle w:val="Tabel-BrdtekstmedafstandptekstGaramond"/>
              <w:tabs>
                <w:tab w:val="left" w:pos="1171"/>
              </w:tabs>
            </w:pPr>
          </w:p>
          <w:p w14:paraId="5EC3162F" w14:textId="77777777" w:rsidR="00B03792" w:rsidRDefault="00B03792" w:rsidP="00151113">
            <w:pPr>
              <w:pStyle w:val="Tabel-BrdtekstmedafstandptekstGaramond"/>
              <w:tabs>
                <w:tab w:val="left" w:pos="1171"/>
              </w:tabs>
            </w:pPr>
          </w:p>
          <w:p w14:paraId="7D37018E" w14:textId="77777777" w:rsidR="00B03792" w:rsidRDefault="00B03792" w:rsidP="00151113">
            <w:pPr>
              <w:pStyle w:val="Tabel-BrdtekstmedafstandptekstGaramond"/>
              <w:tabs>
                <w:tab w:val="left" w:pos="1171"/>
              </w:tabs>
            </w:pPr>
          </w:p>
          <w:p w14:paraId="4243A7C9" w14:textId="77777777" w:rsidR="00B03792" w:rsidRDefault="00B03792" w:rsidP="00151113">
            <w:pPr>
              <w:pStyle w:val="Tabel-BrdtekstmedafstandptekstGaramond"/>
              <w:tabs>
                <w:tab w:val="left" w:pos="1171"/>
              </w:tabs>
            </w:pPr>
          </w:p>
          <w:p w14:paraId="3888A5F5" w14:textId="77777777" w:rsidR="00635A07" w:rsidRDefault="00635A07" w:rsidP="00151113">
            <w:pPr>
              <w:pStyle w:val="Tabel-BrdtekstmedafstandptekstGaramond"/>
              <w:tabs>
                <w:tab w:val="left" w:pos="1171"/>
              </w:tabs>
            </w:pPr>
          </w:p>
          <w:p w14:paraId="6D537CF8" w14:textId="77777777" w:rsidR="00635A07" w:rsidRDefault="00635A07" w:rsidP="00151113">
            <w:pPr>
              <w:pStyle w:val="Tabel-BrdtekstmedafstandptekstGaramond"/>
              <w:tabs>
                <w:tab w:val="left" w:pos="1171"/>
              </w:tabs>
            </w:pPr>
          </w:p>
          <w:p w14:paraId="36EE358C" w14:textId="77777777" w:rsidR="00635A07" w:rsidRDefault="00635A07" w:rsidP="00151113">
            <w:pPr>
              <w:pStyle w:val="Tabel-BrdtekstmedafstandptekstGaramond"/>
              <w:tabs>
                <w:tab w:val="left" w:pos="1171"/>
              </w:tabs>
            </w:pPr>
          </w:p>
          <w:p w14:paraId="6B8914A6" w14:textId="77777777" w:rsidR="00635A07" w:rsidRDefault="00635A07" w:rsidP="00151113">
            <w:pPr>
              <w:pStyle w:val="Tabel-BrdtekstmedafstandptekstGaramond"/>
              <w:tabs>
                <w:tab w:val="left" w:pos="1171"/>
              </w:tabs>
            </w:pPr>
          </w:p>
          <w:p w14:paraId="04EA0784" w14:textId="77777777" w:rsidR="00635A07" w:rsidRDefault="00635A07" w:rsidP="00151113">
            <w:pPr>
              <w:pStyle w:val="Tabel-BrdtekstmedafstandptekstGaramond"/>
              <w:tabs>
                <w:tab w:val="left" w:pos="1171"/>
              </w:tabs>
            </w:pPr>
          </w:p>
          <w:p w14:paraId="212EF2F3" w14:textId="77777777" w:rsidR="00635A07" w:rsidRDefault="00635A07" w:rsidP="00151113">
            <w:pPr>
              <w:pStyle w:val="Tabel-BrdtekstmedafstandptekstGaramond"/>
              <w:tabs>
                <w:tab w:val="left" w:pos="1171"/>
              </w:tabs>
            </w:pPr>
          </w:p>
          <w:p w14:paraId="6385BD2A" w14:textId="5629D634" w:rsidR="00943E9C" w:rsidRPr="00B5346F" w:rsidRDefault="00635A07" w:rsidP="00AE75C5">
            <w:pPr>
              <w:pStyle w:val="Tabel-BrdtekstmedafstandptekstGaramond"/>
              <w:tabs>
                <w:tab w:val="left" w:pos="1171"/>
              </w:tabs>
            </w:pPr>
            <w:r>
              <w:t>Sommerpakken omfatter alene udlejning af fritidsboliger, hvor der sker en indberetning af lejeindtægterne. Det er</w:t>
            </w:r>
            <w:r w:rsidR="000C0F0F">
              <w:t xml:space="preserve"> </w:t>
            </w:r>
            <w:r>
              <w:t>ikke fundet hensigtsmæssigt at udvide sommerpakken til helårsboliger, hvor der først fra og med indkomståret 2021 vil være etableret en indberetningsordning.</w:t>
            </w:r>
            <w:r w:rsidR="00151113">
              <w:t xml:space="preserve"> </w:t>
            </w:r>
            <w:r w:rsidR="00151113">
              <w:tab/>
            </w:r>
          </w:p>
        </w:tc>
      </w:tr>
      <w:tr w:rsidR="00F01F78" w:rsidRPr="00B5346F" w14:paraId="560A02C3" w14:textId="77777777" w:rsidTr="003326BB">
        <w:tc>
          <w:tcPr>
            <w:tcW w:w="2310" w:type="dxa"/>
            <w:tcBorders>
              <w:bottom w:val="single" w:sz="4" w:space="0" w:color="D1C5C3" w:themeColor="accent3"/>
            </w:tcBorders>
            <w:shd w:val="clear" w:color="auto" w:fill="FBF9F9"/>
          </w:tcPr>
          <w:p w14:paraId="783D3703" w14:textId="5918E542" w:rsidR="00F01F78" w:rsidRPr="00227E73" w:rsidRDefault="00F01F78" w:rsidP="00DC10A2">
            <w:pPr>
              <w:pStyle w:val="Tabel-BrdtekstmedafstandptekstGaramond"/>
              <w:rPr>
                <w:i/>
                <w:szCs w:val="22"/>
              </w:rPr>
            </w:pPr>
            <w:r>
              <w:rPr>
                <w:i/>
                <w:szCs w:val="22"/>
              </w:rPr>
              <w:t>Fagbevægelsens Hovedorganisation (FH)</w:t>
            </w:r>
          </w:p>
        </w:tc>
        <w:tc>
          <w:tcPr>
            <w:tcW w:w="213" w:type="dxa"/>
            <w:shd w:val="clear" w:color="auto" w:fill="FFFFFF" w:themeFill="background1"/>
          </w:tcPr>
          <w:p w14:paraId="5F7459E9" w14:textId="77777777" w:rsidR="00F01F78" w:rsidRPr="00B5346F" w:rsidRDefault="00F01F78" w:rsidP="00DC10A2"/>
        </w:tc>
        <w:tc>
          <w:tcPr>
            <w:tcW w:w="3443" w:type="dxa"/>
            <w:tcBorders>
              <w:bottom w:val="single" w:sz="4" w:space="0" w:color="D1C5C3" w:themeColor="accent3"/>
            </w:tcBorders>
            <w:shd w:val="clear" w:color="auto" w:fill="FBF9F9"/>
          </w:tcPr>
          <w:p w14:paraId="2B1FED78" w14:textId="77777777" w:rsidR="00F01F78" w:rsidRPr="00B21FD2" w:rsidRDefault="00F01F78" w:rsidP="00152C4B">
            <w:pPr>
              <w:pStyle w:val="Tabel-BrdtekstmedafstandptekstGaramond"/>
              <w:rPr>
                <w:bCs/>
                <w:i/>
                <w:iCs/>
              </w:rPr>
            </w:pPr>
            <w:proofErr w:type="spellStart"/>
            <w:r w:rsidRPr="00B21FD2">
              <w:rPr>
                <w:bCs/>
                <w:i/>
                <w:iCs/>
              </w:rPr>
              <w:t>FoU</w:t>
            </w:r>
            <w:proofErr w:type="spellEnd"/>
          </w:p>
          <w:p w14:paraId="67CACEDD" w14:textId="23643B84" w:rsidR="00F01F78" w:rsidRDefault="00F01F78" w:rsidP="00152C4B">
            <w:pPr>
              <w:pStyle w:val="Tabel-BrdtekstmedafstandptekstGaramond"/>
            </w:pPr>
            <w:r>
              <w:t xml:space="preserve">FH bifalder ambitionen om at styrke virksomhedernes incitament til at forske og udvikle, som efter </w:t>
            </w:r>
            <w:proofErr w:type="spellStart"/>
            <w:r>
              <w:t>FH’s</w:t>
            </w:r>
            <w:proofErr w:type="spellEnd"/>
            <w:r>
              <w:t xml:space="preserve"> vurdering vil bidrage med likviditet i en økonomisk usikker tid. </w:t>
            </w:r>
          </w:p>
          <w:p w14:paraId="6A6EF23D" w14:textId="77777777" w:rsidR="00F01F78" w:rsidRDefault="00F01F78" w:rsidP="00152C4B">
            <w:pPr>
              <w:pStyle w:val="Tabel-BrdtekstmedafstandptekstGaramond"/>
            </w:pPr>
          </w:p>
          <w:p w14:paraId="6BD0F3D1" w14:textId="4C76E7D1" w:rsidR="00F01F78" w:rsidRDefault="00F01F78" w:rsidP="00152C4B">
            <w:pPr>
              <w:pStyle w:val="Tabel-BrdtekstmedafstandptekstGaramond"/>
            </w:pPr>
            <w:r>
              <w:t xml:space="preserve">FH påpeger dog, at det primært vil være </w:t>
            </w:r>
            <w:r w:rsidR="00B851ED">
              <w:t xml:space="preserve">store </w:t>
            </w:r>
            <w:r>
              <w:t>virksomh</w:t>
            </w:r>
            <w:r w:rsidR="00B851ED">
              <w:t>eder</w:t>
            </w:r>
            <w:r>
              <w:t xml:space="preserve"> inde for </w:t>
            </w:r>
            <w:proofErr w:type="spellStart"/>
            <w:r>
              <w:t>life</w:t>
            </w:r>
            <w:proofErr w:type="spellEnd"/>
            <w:r>
              <w:t xml:space="preserve"> science, der vil få gavn af det forhøjede fradrag</w:t>
            </w:r>
            <w:r w:rsidR="00B851ED">
              <w:t>, da der i lovforslaget foreslås indført et loft over de fradragsberettigede udgifter på koncernniveau på 50 mio. kr. (skatteværdien).</w:t>
            </w:r>
            <w:r>
              <w:t xml:space="preserve"> </w:t>
            </w:r>
          </w:p>
          <w:p w14:paraId="4A268AF7" w14:textId="77777777" w:rsidR="00F01F78" w:rsidRDefault="00F01F78" w:rsidP="00152C4B">
            <w:pPr>
              <w:pStyle w:val="Tabel-BrdtekstmedafstandptekstGaramond"/>
            </w:pPr>
          </w:p>
          <w:p w14:paraId="56B99E1A" w14:textId="0F57BE46" w:rsidR="00F01F78" w:rsidRDefault="00F01F78" w:rsidP="00F01F78">
            <w:pPr>
              <w:pStyle w:val="Tabel-BrdtekstmedafstandptekstGaramond"/>
            </w:pPr>
            <w:r>
              <w:t>FH bemærker i den sammenhæng, at det forhøjede fradrag muligvis ikke vil medføre yderligere forskning og udvikling, men måske snarere udbyttebetalinger eller aktietilbagekøb, idet disse virksomheders forretningsmodel i forvejen er bygget op om forsøgs- og forskningsaktiviteter. FH fremhæver, at dette også fremgår af lovforslaget</w:t>
            </w:r>
            <w:r w:rsidR="00631E5A">
              <w:t>s</w:t>
            </w:r>
            <w:r>
              <w:t xml:space="preserve"> økonomiske bemærkninger, hvor forhøjelse af fradraget ikke forventes at have væsentlige strukturelle virkninger på investeringerne i forskning og udvikling. </w:t>
            </w:r>
          </w:p>
          <w:p w14:paraId="6B08505B" w14:textId="77777777" w:rsidR="00F01F78" w:rsidRDefault="00F01F78" w:rsidP="00F01F78">
            <w:pPr>
              <w:pStyle w:val="Tabel-BrdtekstmedafstandptekstGaramond"/>
            </w:pPr>
          </w:p>
          <w:p w14:paraId="6517AC8D" w14:textId="34DB0370" w:rsidR="00A66B58" w:rsidRDefault="00F01F78" w:rsidP="00B851ED">
            <w:pPr>
              <w:pStyle w:val="Tabel-BrdtekstmedafstandptekstGaramond"/>
            </w:pPr>
            <w:r>
              <w:t xml:space="preserve">Efter </w:t>
            </w:r>
            <w:proofErr w:type="spellStart"/>
            <w:r>
              <w:t>FH’s</w:t>
            </w:r>
            <w:proofErr w:type="spellEnd"/>
            <w:r>
              <w:t xml:space="preserve"> vurdering burde tiltaget målrettes SMV’er</w:t>
            </w:r>
            <w:r w:rsidR="00E358D6">
              <w:t>,</w:t>
            </w:r>
            <w:r>
              <w:t xml:space="preserve"> </w:t>
            </w:r>
            <w:r w:rsidR="00B851ED">
              <w:t>og p</w:t>
            </w:r>
            <w:r w:rsidR="00A66B58">
              <w:t>å den baggrund foreslå</w:t>
            </w:r>
            <w:r w:rsidR="00B851ED">
              <w:t>r</w:t>
            </w:r>
            <w:r w:rsidR="00A66B58">
              <w:t xml:space="preserve"> FH et permanent, målrettet teknologifradrag for SMV’er, </w:t>
            </w:r>
            <w:r w:rsidR="00E358D6">
              <w:t>jf. også</w:t>
            </w:r>
            <w:r w:rsidR="00A66B58">
              <w:t xml:space="preserve"> </w:t>
            </w:r>
            <w:proofErr w:type="spellStart"/>
            <w:r w:rsidR="00A66B58">
              <w:t>FH’s</w:t>
            </w:r>
            <w:proofErr w:type="spellEnd"/>
            <w:r w:rsidR="00A66B58">
              <w:t xml:space="preserve"> Genopretningsplan</w:t>
            </w:r>
            <w:r w:rsidR="00E358D6">
              <w:t>. Et sådant fradrag</w:t>
            </w:r>
            <w:r w:rsidR="00A66B58">
              <w:t xml:space="preserve"> kan bidrag</w:t>
            </w:r>
            <w:r w:rsidR="00B851ED">
              <w:t>e</w:t>
            </w:r>
            <w:r w:rsidR="00A66B58">
              <w:t xml:space="preserve"> til at udligne det teknologiske efterslæb, der præger SMV’er sammenlignet med de store virksomheder. Fradraget bør ifølge FH fastsættes til 125 pct. og dække både forsknings- og innovationsudgifter. </w:t>
            </w:r>
          </w:p>
          <w:p w14:paraId="58438BBE" w14:textId="77777777" w:rsidR="00A66B58" w:rsidRDefault="00A66B58" w:rsidP="00F01F78">
            <w:pPr>
              <w:pStyle w:val="Tabel-BrdtekstmedafstandptekstGaramond"/>
            </w:pPr>
          </w:p>
          <w:p w14:paraId="4FF61353" w14:textId="0D8CB9BC" w:rsidR="00A66B58" w:rsidRDefault="00A66B58" w:rsidP="00F01F78">
            <w:pPr>
              <w:pStyle w:val="Tabel-BrdtekstmedafstandptekstGaramond"/>
            </w:pPr>
            <w:r>
              <w:t>FH foreslå</w:t>
            </w:r>
            <w:r w:rsidR="00B21FD2">
              <w:t>r</w:t>
            </w:r>
            <w:r>
              <w:t xml:space="preserve"> indførelse af et investeringsvindue i 2020, hvor afskrivningsgrundlaget for alle nye investeringer i fx maskiner og bygninger forhøjes midlertidigt til 150 pct. gældende frem til og med 4. kvartal 2020. De ekstra 50 pct. kan straksafskrives i indeværende regnskabsår, dog med et loft på 150.000 kr. for at målrette fradraget til SMV’er.</w:t>
            </w:r>
          </w:p>
          <w:p w14:paraId="53D384B2" w14:textId="77777777" w:rsidR="00A66B58" w:rsidRDefault="00A66B58" w:rsidP="00F01F78">
            <w:pPr>
              <w:pStyle w:val="Tabel-BrdtekstmedafstandptekstGaramond"/>
            </w:pPr>
          </w:p>
          <w:p w14:paraId="120DF299" w14:textId="406376A4" w:rsidR="00A66B58" w:rsidRDefault="00A66B58" w:rsidP="00F01F78">
            <w:pPr>
              <w:pStyle w:val="Tabel-BrdtekstmedafstandptekstGaramond"/>
            </w:pPr>
            <w:r>
              <w:t xml:space="preserve">Samtidig bifalder FH initiativet om skattefritagelsen af det af staten oprettede aktieselskab (Fonden) samt den tekniske udformning af forslaget, herunder Fondens rettigheder. </w:t>
            </w:r>
          </w:p>
          <w:p w14:paraId="3C2092DA" w14:textId="77777777" w:rsidR="00A66B58" w:rsidRDefault="00A66B58" w:rsidP="00F01F78">
            <w:pPr>
              <w:pStyle w:val="Tabel-BrdtekstmedafstandptekstGaramond"/>
            </w:pPr>
          </w:p>
          <w:p w14:paraId="0DAA282C" w14:textId="1996FE9A" w:rsidR="00A66B58" w:rsidRPr="00F01F78" w:rsidRDefault="00A66B58" w:rsidP="00F01F78">
            <w:pPr>
              <w:pStyle w:val="Tabel-BrdtekstmedafstandptekstGaramond"/>
            </w:pPr>
            <w:r>
              <w:t xml:space="preserve">FH undrer sig dog over, at Fonden ikke tillægges stemmerettigheder, som efter </w:t>
            </w:r>
            <w:proofErr w:type="spellStart"/>
            <w:r>
              <w:t>FH’s</w:t>
            </w:r>
            <w:proofErr w:type="spellEnd"/>
            <w:r>
              <w:t xml:space="preserve"> vurdering ville være oplagt måde at udøve indflydelse på ift. Fondens muligheder for at indføre restriktioner i de virksomheder, som Fonden har investeret i. </w:t>
            </w:r>
          </w:p>
        </w:tc>
        <w:tc>
          <w:tcPr>
            <w:tcW w:w="230" w:type="dxa"/>
            <w:shd w:val="clear" w:color="auto" w:fill="FFFFFF" w:themeFill="background1"/>
          </w:tcPr>
          <w:p w14:paraId="53D3E25F" w14:textId="77777777" w:rsidR="00F01F78" w:rsidRPr="00B5346F" w:rsidRDefault="00F01F78" w:rsidP="00DC10A2"/>
        </w:tc>
        <w:tc>
          <w:tcPr>
            <w:tcW w:w="3443" w:type="dxa"/>
            <w:tcBorders>
              <w:bottom w:val="single" w:sz="4" w:space="0" w:color="14143C" w:themeColor="accent1"/>
            </w:tcBorders>
            <w:shd w:val="clear" w:color="auto" w:fill="D2CED8"/>
          </w:tcPr>
          <w:p w14:paraId="4ED74AFF" w14:textId="77777777" w:rsidR="00F01F78" w:rsidRDefault="00F01F78" w:rsidP="00DC10A2">
            <w:pPr>
              <w:pStyle w:val="Tabel-BrdtekstmedafstandptekstGaramond"/>
            </w:pPr>
          </w:p>
          <w:p w14:paraId="52E0CF44" w14:textId="77777777" w:rsidR="006942C8" w:rsidRDefault="006942C8" w:rsidP="00DC10A2">
            <w:pPr>
              <w:pStyle w:val="Tabel-BrdtekstmedafstandptekstGaramond"/>
            </w:pPr>
          </w:p>
          <w:p w14:paraId="50CF3501" w14:textId="77777777" w:rsidR="006942C8" w:rsidRDefault="006942C8" w:rsidP="00DC10A2">
            <w:pPr>
              <w:pStyle w:val="Tabel-BrdtekstmedafstandptekstGaramond"/>
            </w:pPr>
          </w:p>
          <w:p w14:paraId="5313E6F3" w14:textId="77777777" w:rsidR="006942C8" w:rsidRDefault="006942C8" w:rsidP="00DC10A2">
            <w:pPr>
              <w:pStyle w:val="Tabel-BrdtekstmedafstandptekstGaramond"/>
            </w:pPr>
          </w:p>
          <w:p w14:paraId="41C8F74C" w14:textId="77777777" w:rsidR="006942C8" w:rsidRDefault="006942C8" w:rsidP="00DC10A2">
            <w:pPr>
              <w:pStyle w:val="Tabel-BrdtekstmedafstandptekstGaramond"/>
            </w:pPr>
          </w:p>
          <w:p w14:paraId="666D350B" w14:textId="77777777" w:rsidR="006942C8" w:rsidRDefault="006942C8" w:rsidP="00DC10A2">
            <w:pPr>
              <w:pStyle w:val="Tabel-BrdtekstmedafstandptekstGaramond"/>
            </w:pPr>
          </w:p>
          <w:p w14:paraId="4751BA46" w14:textId="77777777" w:rsidR="006942C8" w:rsidRDefault="006942C8" w:rsidP="00DC10A2">
            <w:pPr>
              <w:pStyle w:val="Tabel-BrdtekstmedafstandptekstGaramond"/>
            </w:pPr>
          </w:p>
          <w:p w14:paraId="76A84E8B" w14:textId="77777777" w:rsidR="006942C8" w:rsidRDefault="006942C8" w:rsidP="00DC10A2">
            <w:pPr>
              <w:pStyle w:val="Tabel-BrdtekstmedafstandptekstGaramond"/>
            </w:pPr>
          </w:p>
          <w:p w14:paraId="449727D1" w14:textId="77777777" w:rsidR="006942C8" w:rsidRDefault="006942C8" w:rsidP="00DC10A2">
            <w:pPr>
              <w:pStyle w:val="Tabel-BrdtekstmedafstandptekstGaramond"/>
            </w:pPr>
          </w:p>
          <w:p w14:paraId="1437B855" w14:textId="77777777" w:rsidR="006942C8" w:rsidRDefault="006942C8" w:rsidP="00DC10A2">
            <w:pPr>
              <w:pStyle w:val="Tabel-BrdtekstmedafstandptekstGaramond"/>
            </w:pPr>
          </w:p>
          <w:p w14:paraId="7B0DF370" w14:textId="77777777" w:rsidR="006942C8" w:rsidRDefault="006942C8" w:rsidP="00DC10A2">
            <w:pPr>
              <w:pStyle w:val="Tabel-BrdtekstmedafstandptekstGaramond"/>
            </w:pPr>
          </w:p>
          <w:p w14:paraId="6978B268" w14:textId="77777777" w:rsidR="006942C8" w:rsidRDefault="006942C8" w:rsidP="00DC10A2">
            <w:pPr>
              <w:pStyle w:val="Tabel-BrdtekstmedafstandptekstGaramond"/>
            </w:pPr>
          </w:p>
          <w:p w14:paraId="1256BA0C" w14:textId="77777777" w:rsidR="006942C8" w:rsidRDefault="006942C8" w:rsidP="00DC10A2">
            <w:pPr>
              <w:pStyle w:val="Tabel-BrdtekstmedafstandptekstGaramond"/>
            </w:pPr>
          </w:p>
          <w:p w14:paraId="0DBBBC88" w14:textId="77777777" w:rsidR="006942C8" w:rsidRDefault="006942C8" w:rsidP="00DC10A2">
            <w:pPr>
              <w:pStyle w:val="Tabel-BrdtekstmedafstandptekstGaramond"/>
            </w:pPr>
          </w:p>
          <w:p w14:paraId="3A6F03CD" w14:textId="77777777" w:rsidR="006942C8" w:rsidRDefault="006942C8" w:rsidP="00DC10A2">
            <w:pPr>
              <w:pStyle w:val="Tabel-BrdtekstmedafstandptekstGaramond"/>
            </w:pPr>
          </w:p>
          <w:p w14:paraId="2DA4F645" w14:textId="77777777" w:rsidR="006942C8" w:rsidRDefault="006942C8" w:rsidP="00DC10A2">
            <w:pPr>
              <w:pStyle w:val="Tabel-BrdtekstmedafstandptekstGaramond"/>
            </w:pPr>
          </w:p>
          <w:p w14:paraId="2EB0697E" w14:textId="77777777" w:rsidR="006942C8" w:rsidRDefault="006942C8" w:rsidP="00DC10A2">
            <w:pPr>
              <w:pStyle w:val="Tabel-BrdtekstmedafstandptekstGaramond"/>
            </w:pPr>
          </w:p>
          <w:p w14:paraId="2585E387" w14:textId="77777777" w:rsidR="006942C8" w:rsidRDefault="006942C8" w:rsidP="00DC10A2">
            <w:pPr>
              <w:pStyle w:val="Tabel-BrdtekstmedafstandptekstGaramond"/>
            </w:pPr>
          </w:p>
          <w:p w14:paraId="4836DF49" w14:textId="77777777" w:rsidR="006942C8" w:rsidRDefault="006942C8" w:rsidP="00DC10A2">
            <w:pPr>
              <w:pStyle w:val="Tabel-BrdtekstmedafstandptekstGaramond"/>
            </w:pPr>
          </w:p>
          <w:p w14:paraId="3B63DE39" w14:textId="77777777" w:rsidR="006942C8" w:rsidRDefault="006942C8" w:rsidP="00DC10A2">
            <w:pPr>
              <w:pStyle w:val="Tabel-BrdtekstmedafstandptekstGaramond"/>
            </w:pPr>
          </w:p>
          <w:p w14:paraId="21CE5704" w14:textId="77777777" w:rsidR="006942C8" w:rsidRDefault="006942C8" w:rsidP="00DC10A2">
            <w:pPr>
              <w:pStyle w:val="Tabel-BrdtekstmedafstandptekstGaramond"/>
            </w:pPr>
          </w:p>
          <w:p w14:paraId="7F2E1560" w14:textId="77777777" w:rsidR="006942C8" w:rsidRDefault="006942C8" w:rsidP="00DC10A2">
            <w:pPr>
              <w:pStyle w:val="Tabel-BrdtekstmedafstandptekstGaramond"/>
            </w:pPr>
          </w:p>
          <w:p w14:paraId="2AF63DCE" w14:textId="77777777" w:rsidR="006942C8" w:rsidRDefault="006942C8" w:rsidP="00DC10A2">
            <w:pPr>
              <w:pStyle w:val="Tabel-BrdtekstmedafstandptekstGaramond"/>
            </w:pPr>
          </w:p>
          <w:p w14:paraId="54A95AEE" w14:textId="77777777" w:rsidR="006942C8" w:rsidRDefault="006942C8" w:rsidP="00DC10A2">
            <w:pPr>
              <w:pStyle w:val="Tabel-BrdtekstmedafstandptekstGaramond"/>
            </w:pPr>
          </w:p>
          <w:p w14:paraId="669BF228" w14:textId="77777777" w:rsidR="006942C8" w:rsidRDefault="006942C8" w:rsidP="00DC10A2">
            <w:pPr>
              <w:pStyle w:val="Tabel-BrdtekstmedafstandptekstGaramond"/>
            </w:pPr>
          </w:p>
          <w:p w14:paraId="010610B4" w14:textId="77777777" w:rsidR="006942C8" w:rsidRDefault="006942C8" w:rsidP="00DC10A2">
            <w:pPr>
              <w:pStyle w:val="Tabel-BrdtekstmedafstandptekstGaramond"/>
            </w:pPr>
          </w:p>
          <w:p w14:paraId="19947939" w14:textId="77777777" w:rsidR="006942C8" w:rsidRDefault="006942C8" w:rsidP="00DC10A2">
            <w:pPr>
              <w:pStyle w:val="Tabel-BrdtekstmedafstandptekstGaramond"/>
            </w:pPr>
          </w:p>
          <w:p w14:paraId="1731A6A3" w14:textId="77777777" w:rsidR="006942C8" w:rsidRDefault="006942C8" w:rsidP="00DC10A2">
            <w:pPr>
              <w:pStyle w:val="Tabel-BrdtekstmedafstandptekstGaramond"/>
            </w:pPr>
          </w:p>
          <w:p w14:paraId="57E96332" w14:textId="77777777" w:rsidR="006942C8" w:rsidRDefault="006942C8" w:rsidP="00DC10A2">
            <w:pPr>
              <w:pStyle w:val="Tabel-BrdtekstmedafstandptekstGaramond"/>
            </w:pPr>
          </w:p>
          <w:p w14:paraId="64068BB5" w14:textId="77777777" w:rsidR="006942C8" w:rsidRDefault="006942C8" w:rsidP="00DC10A2">
            <w:pPr>
              <w:pStyle w:val="Tabel-BrdtekstmedafstandptekstGaramond"/>
            </w:pPr>
          </w:p>
          <w:p w14:paraId="5E7F0AD1" w14:textId="77777777" w:rsidR="006942C8" w:rsidRDefault="006942C8" w:rsidP="00DC10A2">
            <w:pPr>
              <w:pStyle w:val="Tabel-BrdtekstmedafstandptekstGaramond"/>
            </w:pPr>
          </w:p>
          <w:p w14:paraId="5E7CA5EA" w14:textId="77777777" w:rsidR="006942C8" w:rsidRDefault="006942C8" w:rsidP="00DC10A2">
            <w:pPr>
              <w:pStyle w:val="Tabel-BrdtekstmedafstandptekstGaramond"/>
            </w:pPr>
          </w:p>
          <w:p w14:paraId="317745CF" w14:textId="77777777" w:rsidR="006942C8" w:rsidRDefault="006942C8" w:rsidP="00DC10A2">
            <w:pPr>
              <w:pStyle w:val="Tabel-BrdtekstmedafstandptekstGaramond"/>
            </w:pPr>
          </w:p>
          <w:p w14:paraId="2BE0398E" w14:textId="77777777" w:rsidR="00B851ED" w:rsidRDefault="00B851ED" w:rsidP="00B851ED">
            <w:pPr>
              <w:pStyle w:val="Tabel-BrdtekstmedafstandptekstGaramond"/>
              <w:ind w:left="0"/>
            </w:pPr>
          </w:p>
          <w:p w14:paraId="32A13059" w14:textId="1F8DB2F5" w:rsidR="00966012" w:rsidRDefault="00966012" w:rsidP="00966012">
            <w:pPr>
              <w:pStyle w:val="Tabel-BrdtekstmedafstandptekstGaramond"/>
            </w:pPr>
            <w:r>
              <w:t xml:space="preserve">Forslaget implementerer den politiske aftale om en midlertidig forhøjelse af fradraget for forsøgs- og forskningsudgifter. Det er ikke omfattet af den politiske aftale, at fradraget gøres permanent eller målrettes </w:t>
            </w:r>
            <w:proofErr w:type="spellStart"/>
            <w:r>
              <w:t>SMVer</w:t>
            </w:r>
            <w:proofErr w:type="spellEnd"/>
            <w:r>
              <w:t>.</w:t>
            </w:r>
          </w:p>
          <w:p w14:paraId="7B5A87EA" w14:textId="77777777" w:rsidR="00966012" w:rsidRDefault="00966012" w:rsidP="00DC10A2">
            <w:pPr>
              <w:pStyle w:val="Tabel-BrdtekstmedafstandptekstGaramond"/>
            </w:pPr>
          </w:p>
          <w:p w14:paraId="33624EA7" w14:textId="77777777" w:rsidR="00966012" w:rsidRDefault="00966012" w:rsidP="00DC10A2">
            <w:pPr>
              <w:pStyle w:val="Tabel-BrdtekstmedafstandptekstGaramond"/>
            </w:pPr>
          </w:p>
          <w:p w14:paraId="54F1CC1C" w14:textId="77777777" w:rsidR="00966012" w:rsidRDefault="00966012" w:rsidP="00DC10A2">
            <w:pPr>
              <w:pStyle w:val="Tabel-BrdtekstmedafstandptekstGaramond"/>
            </w:pPr>
          </w:p>
          <w:p w14:paraId="65F3F0E1" w14:textId="77777777" w:rsidR="00966012" w:rsidRDefault="00966012" w:rsidP="00DC10A2">
            <w:pPr>
              <w:pStyle w:val="Tabel-BrdtekstmedafstandptekstGaramond"/>
            </w:pPr>
          </w:p>
          <w:p w14:paraId="75B18076" w14:textId="77777777" w:rsidR="00966012" w:rsidRDefault="00966012" w:rsidP="00DC10A2">
            <w:pPr>
              <w:pStyle w:val="Tabel-BrdtekstmedafstandptekstGaramond"/>
            </w:pPr>
          </w:p>
          <w:p w14:paraId="540CC56A" w14:textId="77777777" w:rsidR="00B851ED" w:rsidRDefault="00B851ED" w:rsidP="00DC10A2">
            <w:pPr>
              <w:pStyle w:val="Tabel-BrdtekstmedafstandptekstGaramond"/>
            </w:pPr>
          </w:p>
          <w:p w14:paraId="08FE62A1" w14:textId="77777777" w:rsidR="00B851ED" w:rsidRDefault="00B851ED" w:rsidP="00DC10A2">
            <w:pPr>
              <w:pStyle w:val="Tabel-BrdtekstmedafstandptekstGaramond"/>
            </w:pPr>
          </w:p>
          <w:p w14:paraId="6697C445" w14:textId="511FC0A5" w:rsidR="00966012" w:rsidRDefault="00966012" w:rsidP="00DC10A2">
            <w:pPr>
              <w:pStyle w:val="Tabel-BrdtekstmedafstandptekstGaramond"/>
            </w:pPr>
            <w:r>
              <w:t>Det ligger uden</w:t>
            </w:r>
            <w:r w:rsidR="00E358D6">
              <w:t xml:space="preserve"> </w:t>
            </w:r>
            <w:r>
              <w:t xml:space="preserve">for </w:t>
            </w:r>
            <w:r w:rsidR="00E358D6">
              <w:t>formålet</w:t>
            </w:r>
            <w:r>
              <w:t xml:space="preserve"> med lovforslaget at gennemføre et investeringsvindue som foreslået.</w:t>
            </w:r>
          </w:p>
          <w:p w14:paraId="5E7EF937" w14:textId="77777777" w:rsidR="00966012" w:rsidRDefault="00966012" w:rsidP="00DC10A2">
            <w:pPr>
              <w:pStyle w:val="Tabel-BrdtekstmedafstandptekstGaramond"/>
            </w:pPr>
          </w:p>
          <w:p w14:paraId="482B88EC" w14:textId="77777777" w:rsidR="003C596E" w:rsidRDefault="003C596E" w:rsidP="00DC10A2">
            <w:pPr>
              <w:pStyle w:val="Tabel-BrdtekstmedafstandptekstGaramond"/>
            </w:pPr>
          </w:p>
          <w:p w14:paraId="4930ACB0" w14:textId="77777777" w:rsidR="003C596E" w:rsidRDefault="003C596E" w:rsidP="00DC10A2">
            <w:pPr>
              <w:pStyle w:val="Tabel-BrdtekstmedafstandptekstGaramond"/>
            </w:pPr>
          </w:p>
          <w:p w14:paraId="6B5DA571" w14:textId="77777777" w:rsidR="003C596E" w:rsidRDefault="003C596E" w:rsidP="00DC10A2">
            <w:pPr>
              <w:pStyle w:val="Tabel-BrdtekstmedafstandptekstGaramond"/>
            </w:pPr>
          </w:p>
          <w:p w14:paraId="02A0C129" w14:textId="77777777" w:rsidR="003C596E" w:rsidRDefault="003C596E" w:rsidP="00DC10A2">
            <w:pPr>
              <w:pStyle w:val="Tabel-BrdtekstmedafstandptekstGaramond"/>
            </w:pPr>
          </w:p>
          <w:p w14:paraId="6C1F04F4" w14:textId="77777777" w:rsidR="003C596E" w:rsidRDefault="003C596E" w:rsidP="00DC10A2">
            <w:pPr>
              <w:pStyle w:val="Tabel-BrdtekstmedafstandptekstGaramond"/>
            </w:pPr>
          </w:p>
          <w:p w14:paraId="7D0DF448" w14:textId="77777777" w:rsidR="003C596E" w:rsidRDefault="003C596E" w:rsidP="00DC10A2">
            <w:pPr>
              <w:pStyle w:val="Tabel-BrdtekstmedafstandptekstGaramond"/>
            </w:pPr>
          </w:p>
          <w:p w14:paraId="1B6177CD" w14:textId="77777777" w:rsidR="003C596E" w:rsidRDefault="003C596E" w:rsidP="00DC10A2">
            <w:pPr>
              <w:pStyle w:val="Tabel-BrdtekstmedafstandptekstGaramond"/>
            </w:pPr>
          </w:p>
          <w:p w14:paraId="053DC0E1" w14:textId="77777777" w:rsidR="003C596E" w:rsidRDefault="003C596E" w:rsidP="00DC10A2">
            <w:pPr>
              <w:pStyle w:val="Tabel-BrdtekstmedafstandptekstGaramond"/>
            </w:pPr>
          </w:p>
          <w:p w14:paraId="2D1D1D34" w14:textId="77777777" w:rsidR="003C596E" w:rsidRDefault="003C596E" w:rsidP="00DC10A2">
            <w:pPr>
              <w:pStyle w:val="Tabel-BrdtekstmedafstandptekstGaramond"/>
            </w:pPr>
          </w:p>
          <w:p w14:paraId="50F626D6" w14:textId="77777777" w:rsidR="003C596E" w:rsidRDefault="003C596E" w:rsidP="00DC10A2">
            <w:pPr>
              <w:pStyle w:val="Tabel-BrdtekstmedafstandptekstGaramond"/>
            </w:pPr>
          </w:p>
          <w:p w14:paraId="0E3CBC82" w14:textId="77777777" w:rsidR="003C596E" w:rsidRDefault="003C596E" w:rsidP="00DC10A2">
            <w:pPr>
              <w:pStyle w:val="Tabel-BrdtekstmedafstandptekstGaramond"/>
            </w:pPr>
          </w:p>
          <w:p w14:paraId="4B1875C2" w14:textId="77777777" w:rsidR="003C596E" w:rsidRDefault="003C596E" w:rsidP="00DC10A2">
            <w:pPr>
              <w:pStyle w:val="Tabel-BrdtekstmedafstandptekstGaramond"/>
            </w:pPr>
          </w:p>
          <w:p w14:paraId="046A659A" w14:textId="77777777" w:rsidR="003C596E" w:rsidRDefault="003C596E" w:rsidP="00DC10A2">
            <w:pPr>
              <w:pStyle w:val="Tabel-BrdtekstmedafstandptekstGaramond"/>
            </w:pPr>
          </w:p>
          <w:p w14:paraId="00C87B6C" w14:textId="77777777" w:rsidR="003C596E" w:rsidRDefault="003C596E" w:rsidP="00DC10A2">
            <w:pPr>
              <w:pStyle w:val="Tabel-BrdtekstmedafstandptekstGaramond"/>
            </w:pPr>
          </w:p>
          <w:p w14:paraId="263393BC" w14:textId="77777777" w:rsidR="003C596E" w:rsidRDefault="003C596E" w:rsidP="00DC10A2">
            <w:pPr>
              <w:pStyle w:val="Tabel-BrdtekstmedafstandptekstGaramond"/>
            </w:pPr>
          </w:p>
          <w:p w14:paraId="02A02DCF" w14:textId="3C77EC5A" w:rsidR="003C596E" w:rsidRPr="00B5346F" w:rsidRDefault="003C596E" w:rsidP="00DC10A2">
            <w:pPr>
              <w:pStyle w:val="Tabel-BrdtekstmedafstandptekstGaramond"/>
            </w:pPr>
            <w:r>
              <w:t xml:space="preserve">Af den politiske aftale fremgår det, at Fonden tillægges visse </w:t>
            </w:r>
            <w:r w:rsidR="002849F6">
              <w:t xml:space="preserve">beføjelser ift. at pålægge virksomheden, der er investeret i, visse restriktioner. Det gælder fx ift. udbytteudlodninger, aktietilbagekøb mv. Det har ikke været hensigten, at Fonden skulle tage aktivt ejerskab af virksomheden i øvrige forhold. </w:t>
            </w:r>
          </w:p>
        </w:tc>
      </w:tr>
      <w:tr w:rsidR="00567FE3" w:rsidRPr="00B5346F" w14:paraId="3264FF2C" w14:textId="77777777" w:rsidTr="003326BB">
        <w:tc>
          <w:tcPr>
            <w:tcW w:w="2310" w:type="dxa"/>
            <w:tcBorders>
              <w:bottom w:val="single" w:sz="4" w:space="0" w:color="D1C5C3" w:themeColor="accent3"/>
            </w:tcBorders>
            <w:shd w:val="clear" w:color="auto" w:fill="FBF9F9"/>
          </w:tcPr>
          <w:p w14:paraId="2EDC066C" w14:textId="2E502621" w:rsidR="00567FE3" w:rsidRPr="00227E73" w:rsidRDefault="00567FE3" w:rsidP="00DC10A2">
            <w:pPr>
              <w:pStyle w:val="Tabel-BrdtekstmedafstandptekstGaramond"/>
              <w:rPr>
                <w:i/>
                <w:szCs w:val="22"/>
              </w:rPr>
            </w:pPr>
            <w:r w:rsidRPr="00227E73">
              <w:rPr>
                <w:i/>
                <w:szCs w:val="22"/>
              </w:rPr>
              <w:t>Foreningen Danske Revisorer</w:t>
            </w:r>
            <w:r w:rsidR="00410513">
              <w:rPr>
                <w:i/>
                <w:szCs w:val="22"/>
              </w:rPr>
              <w:t xml:space="preserve"> FSR</w:t>
            </w:r>
          </w:p>
        </w:tc>
        <w:tc>
          <w:tcPr>
            <w:tcW w:w="213" w:type="dxa"/>
            <w:shd w:val="clear" w:color="auto" w:fill="FFFFFF" w:themeFill="background1"/>
          </w:tcPr>
          <w:p w14:paraId="49EF3C2B" w14:textId="77777777" w:rsidR="00567FE3" w:rsidRPr="00B5346F" w:rsidRDefault="00567FE3" w:rsidP="00DC10A2"/>
        </w:tc>
        <w:tc>
          <w:tcPr>
            <w:tcW w:w="3443" w:type="dxa"/>
            <w:tcBorders>
              <w:bottom w:val="single" w:sz="4" w:space="0" w:color="D1C5C3" w:themeColor="accent3"/>
            </w:tcBorders>
            <w:shd w:val="clear" w:color="auto" w:fill="FBF9F9"/>
          </w:tcPr>
          <w:p w14:paraId="0E6273EB" w14:textId="77777777" w:rsidR="00152C4B" w:rsidRPr="00F9359E" w:rsidRDefault="00152C4B" w:rsidP="00152C4B">
            <w:pPr>
              <w:pStyle w:val="Tabel-BrdtekstmedafstandptekstGaramond"/>
              <w:rPr>
                <w:bCs/>
                <w:i/>
                <w:iCs/>
              </w:rPr>
            </w:pPr>
            <w:proofErr w:type="spellStart"/>
            <w:r w:rsidRPr="00F9359E">
              <w:rPr>
                <w:bCs/>
                <w:i/>
                <w:iCs/>
              </w:rPr>
              <w:t>FoU</w:t>
            </w:r>
            <w:proofErr w:type="spellEnd"/>
          </w:p>
          <w:p w14:paraId="7205AA6D" w14:textId="563937DC" w:rsidR="00152C4B" w:rsidRDefault="00152C4B" w:rsidP="00152C4B">
            <w:pPr>
              <w:pStyle w:val="Tabel-BrdtekstmedafstandptekstGaramond"/>
            </w:pPr>
            <w:r>
              <w:t>FSR anerkender</w:t>
            </w:r>
            <w:r w:rsidR="00297D70">
              <w:t>, at</w:t>
            </w:r>
            <w:r>
              <w:t xml:space="preserve"> en midlertidig forhøjelse af fradraget for udgifter til forsøgs- og forskningsvirksomhed kan medvirke til </w:t>
            </w:r>
            <w:r w:rsidR="00E358D6">
              <w:t xml:space="preserve">at give et </w:t>
            </w:r>
            <w:r>
              <w:t xml:space="preserve">incitament for virksomhederne til fortsat at fremme udviklingsaktiviteter til fordel for det danske samfund under disse meget udfordrende omstændigheder. </w:t>
            </w:r>
          </w:p>
          <w:p w14:paraId="6E344865" w14:textId="77777777" w:rsidR="00152C4B" w:rsidRDefault="00152C4B" w:rsidP="00152C4B">
            <w:pPr>
              <w:pStyle w:val="Tabel-BrdtekstmedafstandptekstGaramond"/>
            </w:pPr>
          </w:p>
          <w:p w14:paraId="66CA384F" w14:textId="6E902E7B" w:rsidR="00152C4B" w:rsidRDefault="00152C4B" w:rsidP="00152C4B">
            <w:pPr>
              <w:pStyle w:val="Tabel-BrdtekstmedafstandptekstGaramond"/>
            </w:pPr>
            <w:r>
              <w:t xml:space="preserve">FSR </w:t>
            </w:r>
            <w:r w:rsidR="00E358D6">
              <w:t xml:space="preserve">henviser til </w:t>
            </w:r>
            <w:proofErr w:type="spellStart"/>
            <w:r>
              <w:t>FSR’s</w:t>
            </w:r>
            <w:proofErr w:type="spellEnd"/>
            <w:r>
              <w:t xml:space="preserve"> høringssvar til L 175 (2019/20), der er blevet til lov nr. 572 af 5. maj 2020, hvor FSR påpege</w:t>
            </w:r>
            <w:r w:rsidR="00E358D6">
              <w:t>de</w:t>
            </w:r>
            <w:r>
              <w:t xml:space="preserve"> den store usikkerhed, som foreligger i forbindelse med afgrænsningen af udgifter, som kan henføres til forsøgs- og forskningsvirksomhed. </w:t>
            </w:r>
          </w:p>
          <w:p w14:paraId="50A483ED" w14:textId="77777777" w:rsidR="00950E18" w:rsidRDefault="00950E18" w:rsidP="00152C4B">
            <w:pPr>
              <w:pStyle w:val="Tabel-BrdtekstmedafstandptekstGaramond"/>
            </w:pPr>
          </w:p>
          <w:p w14:paraId="5265F29D" w14:textId="30F0030B" w:rsidR="00950E18" w:rsidRDefault="00774ED5" w:rsidP="00152C4B">
            <w:pPr>
              <w:pStyle w:val="Tabel-BrdtekstmedafstandptekstGaramond"/>
            </w:pPr>
            <w:r>
              <w:t>FSR</w:t>
            </w:r>
            <w:r w:rsidR="00947DFC">
              <w:t xml:space="preserve"> påpeger derudover, at</w:t>
            </w:r>
            <w:r>
              <w:t xml:space="preserve"> der ikke</w:t>
            </w:r>
            <w:r w:rsidR="002849F6">
              <w:t xml:space="preserve"> kan</w:t>
            </w:r>
            <w:r>
              <w:t xml:space="preserve"> siges at foreligge en praksis på området, idet FSR henviser til, at der alene foreligger en afgørelse fra Landsskatteretten om ligningslovens § 8 B, og denne afgørelse </w:t>
            </w:r>
            <w:r w:rsidR="00D1773E">
              <w:t xml:space="preserve">vedrører </w:t>
            </w:r>
            <w:r>
              <w:t xml:space="preserve">ikke specifikt selve afgrænsningen af, hvad der kan henføres som forsøgs- og forskningsudgifter. </w:t>
            </w:r>
          </w:p>
          <w:p w14:paraId="3BAB541E" w14:textId="77777777" w:rsidR="00774ED5" w:rsidRDefault="00774ED5" w:rsidP="00152C4B">
            <w:pPr>
              <w:pStyle w:val="Tabel-BrdtekstmedafstandptekstGaramond"/>
            </w:pPr>
          </w:p>
          <w:p w14:paraId="117ECBBB" w14:textId="77777777" w:rsidR="0071496A" w:rsidRDefault="00774ED5" w:rsidP="00152C4B">
            <w:pPr>
              <w:pStyle w:val="Tabel-BrdtekstmedafstandptekstGaramond"/>
            </w:pPr>
            <w:r>
              <w:t>FSR opfordrer på den baggrund indtrængende Skatteministeriet til, at der ved udarbejdelsen af det endelige lovforslag medtages en mere udførlig beskrivelse af, hvad der efter Skatteministeriets opfattelse er omfattet af begrebet forsøgs- og forskningsudgifter, der kan berett</w:t>
            </w:r>
            <w:r w:rsidR="00297D70">
              <w:t>ig</w:t>
            </w:r>
            <w:r>
              <w:t xml:space="preserve">e til det forhøjede fradrag. </w:t>
            </w:r>
          </w:p>
          <w:p w14:paraId="5034D80D" w14:textId="77777777" w:rsidR="0071496A" w:rsidRDefault="0071496A" w:rsidP="00152C4B">
            <w:pPr>
              <w:pStyle w:val="Tabel-BrdtekstmedafstandptekstGaramond"/>
            </w:pPr>
          </w:p>
          <w:p w14:paraId="36C6DFCF" w14:textId="02B18EF9" w:rsidR="00774ED5" w:rsidRDefault="0071496A" w:rsidP="00152C4B">
            <w:pPr>
              <w:pStyle w:val="Tabel-BrdtekstmedafstandptekstGaramond"/>
            </w:pPr>
            <w:r>
              <w:t xml:space="preserve">Dette gælder ifølge FSR især den del, der vedrører udvikling af forbedrede mekanismer, processer, systemer og tjenesteydelser ved udvikling af ny produktionsteknologi, udvikling af ny software, kontraktforskning eller </w:t>
            </w:r>
            <w:r w:rsidR="00D1773E">
              <w:t>udgifter, som afholdes</w:t>
            </w:r>
            <w:r>
              <w:t xml:space="preserve"> som led i et udviklingsprojekt med andre virksomheder.</w:t>
            </w:r>
          </w:p>
          <w:p w14:paraId="19610E21" w14:textId="77777777" w:rsidR="00774ED5" w:rsidRDefault="00774ED5" w:rsidP="00152C4B">
            <w:pPr>
              <w:pStyle w:val="Tabel-BrdtekstmedafstandptekstGaramond"/>
            </w:pPr>
          </w:p>
          <w:p w14:paraId="3B67D324" w14:textId="4C21C006" w:rsidR="00774ED5" w:rsidRDefault="00774ED5" w:rsidP="00152C4B">
            <w:pPr>
              <w:pStyle w:val="Tabel-BrdtekstmedafstandptekstGaramond"/>
            </w:pPr>
            <w:r>
              <w:t xml:space="preserve">FSR påpeger samtidig, at såfremt der ikke udarbejdes en sådan beskrivelse efterlades virksomhederne i betydelig usikkerhed, idet der kan være tale om en hårfin grænse i vurderingen af, om en given udgift kan henføres til forsøgs- og forskningsudgifter eller ej. Dette kan medføre en nedsættelse af det skattemæssige foretagne fradrag, men også en betydelig efterregning i form af rentetillæg. På den baggrund kan det forhøjede fradrag ende med at få den modsatte effekt end, hvad der er tiltænkt. </w:t>
            </w:r>
          </w:p>
          <w:p w14:paraId="6ACFC4E0" w14:textId="77777777" w:rsidR="0071496A" w:rsidRDefault="0071496A" w:rsidP="0071496A">
            <w:pPr>
              <w:pStyle w:val="Tabel-BrdtekstmedafstandptekstGaramond"/>
            </w:pPr>
          </w:p>
          <w:p w14:paraId="2E829137" w14:textId="70C68EFE" w:rsidR="00127C38" w:rsidRDefault="00AF2FCB" w:rsidP="00152C4B">
            <w:pPr>
              <w:pStyle w:val="Tabel-BrdtekstmedafstandptekstGaramond"/>
            </w:pPr>
            <w:r>
              <w:t xml:space="preserve">FSR </w:t>
            </w:r>
            <w:r w:rsidR="00947DFC">
              <w:t>Foreslår derudover en ændring af reglerne i ligningslovens § 8 X</w:t>
            </w:r>
            <w:r w:rsidR="00D1773E">
              <w:t>,</w:t>
            </w:r>
            <w:r w:rsidR="00947DFC">
              <w:rPr>
                <w:rFonts w:cs="Verdana"/>
              </w:rPr>
              <w:t xml:space="preserve"> således at der som minimum kan udbetales skatteværdien af det underskud, der kan opgøres uden anvendelse af ligningslovens § 33 H, uanset om selskabet vælger at anvende ligningslovens § 33 H. </w:t>
            </w:r>
            <w:r w:rsidR="00947DFC">
              <w:t xml:space="preserve"> </w:t>
            </w:r>
          </w:p>
          <w:p w14:paraId="1FC9288F" w14:textId="77777777" w:rsidR="002849F6" w:rsidRPr="00152C4B" w:rsidRDefault="002849F6" w:rsidP="00152C4B">
            <w:pPr>
              <w:pStyle w:val="Tabel-BrdtekstmedafstandptekstGaramond"/>
            </w:pPr>
          </w:p>
          <w:p w14:paraId="79A90FDB" w14:textId="77777777" w:rsidR="00AF2FCB" w:rsidRPr="00F9359E" w:rsidRDefault="00AF2FCB" w:rsidP="00152C4B">
            <w:pPr>
              <w:pStyle w:val="Tabel-BrdtekstmedafstandptekstGaramond"/>
              <w:rPr>
                <w:bCs/>
                <w:i/>
                <w:iCs/>
              </w:rPr>
            </w:pPr>
          </w:p>
          <w:p w14:paraId="3A454485" w14:textId="51F36558" w:rsidR="00152C4B" w:rsidRPr="00BE439D" w:rsidRDefault="00152C4B" w:rsidP="00152C4B">
            <w:pPr>
              <w:pStyle w:val="Tabel-BrdtekstmedafstandptekstGaramond"/>
              <w:rPr>
                <w:b/>
              </w:rPr>
            </w:pPr>
            <w:r w:rsidRPr="00F9359E">
              <w:rPr>
                <w:bCs/>
                <w:i/>
                <w:iCs/>
              </w:rPr>
              <w:t>Forhøjelse af bundfradrag ved udlejning af fritidsbolige</w:t>
            </w:r>
            <w:r w:rsidR="00F9359E">
              <w:rPr>
                <w:bCs/>
                <w:i/>
                <w:iCs/>
              </w:rPr>
              <w:t>r</w:t>
            </w:r>
          </w:p>
          <w:p w14:paraId="79E41CC7" w14:textId="317F996A" w:rsidR="00567FE3" w:rsidRPr="00B5346F" w:rsidRDefault="00152C4B" w:rsidP="00152C4B">
            <w:pPr>
              <w:pStyle w:val="Tabel-BrdtekstmedafstandptekstGaramond"/>
            </w:pPr>
            <w:r>
              <w:t>FSR</w:t>
            </w:r>
            <w:r w:rsidR="00410513">
              <w:t xml:space="preserve"> har ingen bemærkninger </w:t>
            </w:r>
            <w:r>
              <w:t>til denne del af lovforslaget</w:t>
            </w:r>
            <w:r w:rsidR="00410513">
              <w:t xml:space="preserve">. </w:t>
            </w:r>
          </w:p>
        </w:tc>
        <w:tc>
          <w:tcPr>
            <w:tcW w:w="230" w:type="dxa"/>
            <w:shd w:val="clear" w:color="auto" w:fill="FFFFFF" w:themeFill="background1"/>
          </w:tcPr>
          <w:p w14:paraId="3F30F25B" w14:textId="77777777" w:rsidR="00567FE3" w:rsidRPr="00B5346F" w:rsidRDefault="00567FE3" w:rsidP="00DC10A2"/>
        </w:tc>
        <w:tc>
          <w:tcPr>
            <w:tcW w:w="3443" w:type="dxa"/>
            <w:tcBorders>
              <w:bottom w:val="single" w:sz="4" w:space="0" w:color="14143C" w:themeColor="accent1"/>
            </w:tcBorders>
            <w:shd w:val="clear" w:color="auto" w:fill="D2CED8"/>
          </w:tcPr>
          <w:p w14:paraId="14A97816" w14:textId="77777777" w:rsidR="00567FE3" w:rsidRDefault="00567FE3" w:rsidP="00DC10A2">
            <w:pPr>
              <w:pStyle w:val="Tabel-BrdtekstmedafstandptekstGaramond"/>
            </w:pPr>
          </w:p>
          <w:p w14:paraId="6E1FA05E" w14:textId="77777777" w:rsidR="008752BF" w:rsidRDefault="008752BF" w:rsidP="00DC10A2">
            <w:pPr>
              <w:pStyle w:val="Tabel-BrdtekstmedafstandptekstGaramond"/>
            </w:pPr>
          </w:p>
          <w:p w14:paraId="1F201D70" w14:textId="77777777" w:rsidR="008752BF" w:rsidRDefault="008752BF" w:rsidP="00DC10A2">
            <w:pPr>
              <w:pStyle w:val="Tabel-BrdtekstmedafstandptekstGaramond"/>
            </w:pPr>
          </w:p>
          <w:p w14:paraId="0345A350" w14:textId="77777777" w:rsidR="008752BF" w:rsidRDefault="008752BF" w:rsidP="00DC10A2">
            <w:pPr>
              <w:pStyle w:val="Tabel-BrdtekstmedafstandptekstGaramond"/>
            </w:pPr>
          </w:p>
          <w:p w14:paraId="3FA13E6D" w14:textId="77777777" w:rsidR="008752BF" w:rsidRDefault="008752BF" w:rsidP="00DC10A2">
            <w:pPr>
              <w:pStyle w:val="Tabel-BrdtekstmedafstandptekstGaramond"/>
            </w:pPr>
          </w:p>
          <w:p w14:paraId="2B4322F0" w14:textId="77777777" w:rsidR="008752BF" w:rsidRDefault="008752BF" w:rsidP="00DC10A2">
            <w:pPr>
              <w:pStyle w:val="Tabel-BrdtekstmedafstandptekstGaramond"/>
            </w:pPr>
          </w:p>
          <w:p w14:paraId="67B64164" w14:textId="77777777" w:rsidR="008752BF" w:rsidRDefault="008752BF" w:rsidP="00DC10A2">
            <w:pPr>
              <w:pStyle w:val="Tabel-BrdtekstmedafstandptekstGaramond"/>
            </w:pPr>
          </w:p>
          <w:p w14:paraId="1B459A16" w14:textId="77777777" w:rsidR="008752BF" w:rsidRDefault="008752BF" w:rsidP="00DC10A2">
            <w:pPr>
              <w:pStyle w:val="Tabel-BrdtekstmedafstandptekstGaramond"/>
            </w:pPr>
          </w:p>
          <w:p w14:paraId="2285037C" w14:textId="77777777" w:rsidR="008752BF" w:rsidRDefault="008752BF" w:rsidP="00DC10A2">
            <w:pPr>
              <w:pStyle w:val="Tabel-BrdtekstmedafstandptekstGaramond"/>
            </w:pPr>
          </w:p>
          <w:p w14:paraId="11E4C118" w14:textId="77777777" w:rsidR="008752BF" w:rsidRDefault="008752BF" w:rsidP="00DC10A2">
            <w:pPr>
              <w:pStyle w:val="Tabel-BrdtekstmedafstandptekstGaramond"/>
            </w:pPr>
          </w:p>
          <w:p w14:paraId="024AE4BC" w14:textId="77777777" w:rsidR="008752BF" w:rsidRDefault="008752BF" w:rsidP="00DC10A2">
            <w:pPr>
              <w:pStyle w:val="Tabel-BrdtekstmedafstandptekstGaramond"/>
            </w:pPr>
          </w:p>
          <w:p w14:paraId="5BA04764" w14:textId="77777777" w:rsidR="008752BF" w:rsidRDefault="008752BF" w:rsidP="00DC10A2">
            <w:pPr>
              <w:pStyle w:val="Tabel-BrdtekstmedafstandptekstGaramond"/>
            </w:pPr>
          </w:p>
          <w:p w14:paraId="43AB95F8" w14:textId="77777777" w:rsidR="008752BF" w:rsidRDefault="008752BF" w:rsidP="00DC10A2">
            <w:pPr>
              <w:pStyle w:val="Tabel-BrdtekstmedafstandptekstGaramond"/>
            </w:pPr>
          </w:p>
          <w:p w14:paraId="4EC535E2" w14:textId="77777777" w:rsidR="008752BF" w:rsidRDefault="008752BF" w:rsidP="00DC10A2">
            <w:pPr>
              <w:pStyle w:val="Tabel-BrdtekstmedafstandptekstGaramond"/>
            </w:pPr>
          </w:p>
          <w:p w14:paraId="22A74199" w14:textId="77777777" w:rsidR="008752BF" w:rsidRDefault="008752BF" w:rsidP="00DC10A2">
            <w:pPr>
              <w:pStyle w:val="Tabel-BrdtekstmedafstandptekstGaramond"/>
            </w:pPr>
          </w:p>
          <w:p w14:paraId="180E74BF" w14:textId="77777777" w:rsidR="008752BF" w:rsidRDefault="008752BF" w:rsidP="00DC10A2">
            <w:pPr>
              <w:pStyle w:val="Tabel-BrdtekstmedafstandptekstGaramond"/>
            </w:pPr>
          </w:p>
          <w:p w14:paraId="788AC8EA" w14:textId="56D385B3" w:rsidR="008752BF" w:rsidRDefault="008752BF" w:rsidP="00DC10A2">
            <w:pPr>
              <w:pStyle w:val="Tabel-BrdtekstmedafstandptekstGaramond"/>
            </w:pPr>
          </w:p>
          <w:p w14:paraId="0BBD0463" w14:textId="23DC4E8D" w:rsidR="008752BF" w:rsidRDefault="008752BF" w:rsidP="00DC10A2">
            <w:pPr>
              <w:pStyle w:val="Tabel-BrdtekstmedafstandptekstGaramond"/>
            </w:pPr>
          </w:p>
          <w:p w14:paraId="55BE4E70" w14:textId="6B080E6E" w:rsidR="008752BF" w:rsidRDefault="008752BF" w:rsidP="00DC10A2">
            <w:pPr>
              <w:pStyle w:val="Tabel-BrdtekstmedafstandptekstGaramond"/>
            </w:pPr>
          </w:p>
          <w:p w14:paraId="2F1E8C05" w14:textId="572F3767" w:rsidR="008752BF" w:rsidRDefault="008752BF" w:rsidP="00DC10A2">
            <w:pPr>
              <w:pStyle w:val="Tabel-BrdtekstmedafstandptekstGaramond"/>
            </w:pPr>
          </w:p>
          <w:p w14:paraId="496D59E9" w14:textId="06879A4B" w:rsidR="008752BF" w:rsidRDefault="008752BF" w:rsidP="00DC10A2">
            <w:pPr>
              <w:pStyle w:val="Tabel-BrdtekstmedafstandptekstGaramond"/>
            </w:pPr>
          </w:p>
          <w:p w14:paraId="1B36D490" w14:textId="5E1F7A20" w:rsidR="008752BF" w:rsidRDefault="008752BF" w:rsidP="00DC10A2">
            <w:pPr>
              <w:pStyle w:val="Tabel-BrdtekstmedafstandptekstGaramond"/>
            </w:pPr>
          </w:p>
          <w:p w14:paraId="789CF9C9" w14:textId="2920393B" w:rsidR="008752BF" w:rsidRDefault="008752BF" w:rsidP="00DC10A2">
            <w:pPr>
              <w:pStyle w:val="Tabel-BrdtekstmedafstandptekstGaramond"/>
            </w:pPr>
          </w:p>
          <w:p w14:paraId="54405DF4" w14:textId="6143180C" w:rsidR="008752BF" w:rsidRDefault="008752BF" w:rsidP="00DC10A2">
            <w:pPr>
              <w:pStyle w:val="Tabel-BrdtekstmedafstandptekstGaramond"/>
            </w:pPr>
          </w:p>
          <w:p w14:paraId="65FE6B02" w14:textId="11CF1AFA" w:rsidR="008752BF" w:rsidRDefault="008752BF" w:rsidP="00DC10A2">
            <w:pPr>
              <w:pStyle w:val="Tabel-BrdtekstmedafstandptekstGaramond"/>
            </w:pPr>
          </w:p>
          <w:p w14:paraId="514AB000" w14:textId="7506695C" w:rsidR="008752BF" w:rsidRDefault="008752BF" w:rsidP="00DC10A2">
            <w:pPr>
              <w:pStyle w:val="Tabel-BrdtekstmedafstandptekstGaramond"/>
            </w:pPr>
          </w:p>
          <w:p w14:paraId="1204EE54" w14:textId="6CFB969E" w:rsidR="008752BF" w:rsidRDefault="008752BF" w:rsidP="00DC10A2">
            <w:pPr>
              <w:pStyle w:val="Tabel-BrdtekstmedafstandptekstGaramond"/>
            </w:pPr>
          </w:p>
          <w:p w14:paraId="0ACE259C" w14:textId="31DADF5B" w:rsidR="008752BF" w:rsidRDefault="008752BF" w:rsidP="00DC10A2">
            <w:pPr>
              <w:pStyle w:val="Tabel-BrdtekstmedafstandptekstGaramond"/>
            </w:pPr>
          </w:p>
          <w:p w14:paraId="34B78465" w14:textId="2C0F074F" w:rsidR="008752BF" w:rsidRDefault="008752BF" w:rsidP="00DC10A2">
            <w:pPr>
              <w:pStyle w:val="Tabel-BrdtekstmedafstandptekstGaramond"/>
            </w:pPr>
          </w:p>
          <w:p w14:paraId="57982F66" w14:textId="1CC7A949" w:rsidR="008752BF" w:rsidRDefault="008752BF" w:rsidP="00DC10A2">
            <w:pPr>
              <w:pStyle w:val="Tabel-BrdtekstmedafstandptekstGaramond"/>
            </w:pPr>
          </w:p>
          <w:p w14:paraId="32B60E64" w14:textId="055EA36C" w:rsidR="008752BF" w:rsidRDefault="008752BF" w:rsidP="00DC10A2">
            <w:pPr>
              <w:pStyle w:val="Tabel-BrdtekstmedafstandptekstGaramond"/>
            </w:pPr>
          </w:p>
          <w:p w14:paraId="326D2249" w14:textId="77777777" w:rsidR="002849F6" w:rsidRDefault="002849F6" w:rsidP="002849F6">
            <w:pPr>
              <w:pStyle w:val="Tabel-BrdtekstmedafstandptekstGaramond"/>
            </w:pPr>
            <w:r>
              <w:t>Der henvises til besvarelsen af høringssvaret fra DE.</w:t>
            </w:r>
          </w:p>
          <w:p w14:paraId="0BAC3C65" w14:textId="77777777" w:rsidR="0071496A" w:rsidRDefault="0071496A" w:rsidP="00DC10A2">
            <w:pPr>
              <w:pStyle w:val="Tabel-BrdtekstmedafstandptekstGaramond"/>
            </w:pPr>
          </w:p>
          <w:p w14:paraId="6995B067" w14:textId="77777777" w:rsidR="0071496A" w:rsidRDefault="0071496A" w:rsidP="00DC10A2">
            <w:pPr>
              <w:pStyle w:val="Tabel-BrdtekstmedafstandptekstGaramond"/>
            </w:pPr>
          </w:p>
          <w:p w14:paraId="6CF34BA9" w14:textId="77777777" w:rsidR="0071496A" w:rsidRDefault="0071496A" w:rsidP="00DC10A2">
            <w:pPr>
              <w:pStyle w:val="Tabel-BrdtekstmedafstandptekstGaramond"/>
            </w:pPr>
          </w:p>
          <w:p w14:paraId="4CAA8137" w14:textId="77777777" w:rsidR="0071496A" w:rsidRDefault="0071496A" w:rsidP="00DC10A2">
            <w:pPr>
              <w:pStyle w:val="Tabel-BrdtekstmedafstandptekstGaramond"/>
            </w:pPr>
          </w:p>
          <w:p w14:paraId="442BE755" w14:textId="77777777" w:rsidR="0071496A" w:rsidRDefault="0071496A" w:rsidP="00DC10A2">
            <w:pPr>
              <w:pStyle w:val="Tabel-BrdtekstmedafstandptekstGaramond"/>
            </w:pPr>
          </w:p>
          <w:p w14:paraId="4612917A" w14:textId="77777777" w:rsidR="0071496A" w:rsidRDefault="0071496A" w:rsidP="00DC10A2">
            <w:pPr>
              <w:pStyle w:val="Tabel-BrdtekstmedafstandptekstGaramond"/>
            </w:pPr>
          </w:p>
          <w:p w14:paraId="5163D12F" w14:textId="3935EE9B" w:rsidR="0071496A" w:rsidRDefault="0071496A" w:rsidP="00DC10A2">
            <w:pPr>
              <w:pStyle w:val="Tabel-BrdtekstmedafstandptekstGaramond"/>
            </w:pPr>
          </w:p>
          <w:p w14:paraId="650F81FA" w14:textId="77777777" w:rsidR="00D1773E" w:rsidRDefault="00D1773E" w:rsidP="00DC10A2">
            <w:pPr>
              <w:pStyle w:val="Tabel-BrdtekstmedafstandptekstGaramond"/>
            </w:pPr>
          </w:p>
          <w:p w14:paraId="7D5CC612" w14:textId="77777777" w:rsidR="0071496A" w:rsidRDefault="0071496A" w:rsidP="00DC10A2">
            <w:pPr>
              <w:pStyle w:val="Tabel-BrdtekstmedafstandptekstGaramond"/>
            </w:pPr>
          </w:p>
          <w:p w14:paraId="12B3AD79" w14:textId="4A14F1D7" w:rsidR="008752BF" w:rsidRDefault="008752BF" w:rsidP="00DC10A2">
            <w:pPr>
              <w:pStyle w:val="Tabel-BrdtekstmedafstandptekstGaramond"/>
            </w:pPr>
          </w:p>
          <w:p w14:paraId="208EAEAF" w14:textId="4B6AC968" w:rsidR="008752BF" w:rsidRDefault="008752BF" w:rsidP="00DC10A2">
            <w:pPr>
              <w:pStyle w:val="Tabel-BrdtekstmedafstandptekstGaramond"/>
            </w:pPr>
          </w:p>
          <w:p w14:paraId="5ABD6B2E" w14:textId="0122C1FF" w:rsidR="008752BF" w:rsidRDefault="008752BF" w:rsidP="00DC10A2">
            <w:pPr>
              <w:pStyle w:val="Tabel-BrdtekstmedafstandptekstGaramond"/>
            </w:pPr>
          </w:p>
          <w:p w14:paraId="2D790850" w14:textId="72FED7A3" w:rsidR="008752BF" w:rsidRDefault="008752BF" w:rsidP="00DC10A2">
            <w:pPr>
              <w:pStyle w:val="Tabel-BrdtekstmedafstandptekstGaramond"/>
            </w:pPr>
          </w:p>
          <w:p w14:paraId="35A3723D" w14:textId="40E83219" w:rsidR="008752BF" w:rsidRDefault="008752BF" w:rsidP="00DC10A2">
            <w:pPr>
              <w:pStyle w:val="Tabel-BrdtekstmedafstandptekstGaramond"/>
            </w:pPr>
          </w:p>
          <w:p w14:paraId="612AAE60" w14:textId="01933462" w:rsidR="008752BF" w:rsidRDefault="008752BF" w:rsidP="0071496A">
            <w:pPr>
              <w:pStyle w:val="Tabel-BrdtekstmedafstandptekstGaramond"/>
              <w:ind w:left="0"/>
            </w:pPr>
          </w:p>
          <w:p w14:paraId="074D40F0" w14:textId="74F2FA4E" w:rsidR="008752BF" w:rsidRDefault="008752BF" w:rsidP="00DC10A2">
            <w:pPr>
              <w:pStyle w:val="Tabel-BrdtekstmedafstandptekstGaramond"/>
            </w:pPr>
          </w:p>
          <w:p w14:paraId="1A085CC2" w14:textId="77777777" w:rsidR="002849F6" w:rsidRDefault="002849F6" w:rsidP="0071496A">
            <w:pPr>
              <w:pStyle w:val="Tabel-BrdtekstmedafstandptekstGaramond"/>
            </w:pPr>
          </w:p>
          <w:p w14:paraId="4DDB3579" w14:textId="77777777" w:rsidR="002849F6" w:rsidRDefault="002849F6" w:rsidP="0071496A">
            <w:pPr>
              <w:pStyle w:val="Tabel-BrdtekstmedafstandptekstGaramond"/>
            </w:pPr>
          </w:p>
          <w:p w14:paraId="6D9F493B" w14:textId="77777777" w:rsidR="002849F6" w:rsidRDefault="002849F6" w:rsidP="0071496A">
            <w:pPr>
              <w:pStyle w:val="Tabel-BrdtekstmedafstandptekstGaramond"/>
            </w:pPr>
          </w:p>
          <w:p w14:paraId="12C95A51" w14:textId="77777777" w:rsidR="002849F6" w:rsidRDefault="002849F6" w:rsidP="0071496A">
            <w:pPr>
              <w:pStyle w:val="Tabel-BrdtekstmedafstandptekstGaramond"/>
            </w:pPr>
          </w:p>
          <w:p w14:paraId="3A955104" w14:textId="4CBBFECC" w:rsidR="00D1773E" w:rsidRDefault="00D1773E" w:rsidP="0071496A">
            <w:pPr>
              <w:pStyle w:val="Tabel-BrdtekstmedafstandptekstGaramond"/>
            </w:pPr>
          </w:p>
          <w:p w14:paraId="632AC4C1" w14:textId="28FEC0A3" w:rsidR="00D1773E" w:rsidRDefault="00D1773E" w:rsidP="0071496A">
            <w:pPr>
              <w:pStyle w:val="Tabel-BrdtekstmedafstandptekstGaramond"/>
            </w:pPr>
          </w:p>
          <w:p w14:paraId="5030FF7C" w14:textId="688B7BB3" w:rsidR="00D1773E" w:rsidRDefault="00D1773E" w:rsidP="0071496A">
            <w:pPr>
              <w:pStyle w:val="Tabel-BrdtekstmedafstandptekstGaramond"/>
            </w:pPr>
          </w:p>
          <w:p w14:paraId="4A156442" w14:textId="1E3A4F0D" w:rsidR="00D1773E" w:rsidRDefault="00D1773E" w:rsidP="0071496A">
            <w:pPr>
              <w:pStyle w:val="Tabel-BrdtekstmedafstandptekstGaramond"/>
            </w:pPr>
          </w:p>
          <w:p w14:paraId="3DF7723A" w14:textId="69F047F8" w:rsidR="00D1773E" w:rsidRDefault="00D1773E" w:rsidP="0071496A">
            <w:pPr>
              <w:pStyle w:val="Tabel-BrdtekstmedafstandptekstGaramond"/>
            </w:pPr>
          </w:p>
          <w:p w14:paraId="4205F033" w14:textId="15C8809F" w:rsidR="00D1773E" w:rsidRDefault="00D1773E" w:rsidP="0071496A">
            <w:pPr>
              <w:pStyle w:val="Tabel-BrdtekstmedafstandptekstGaramond"/>
            </w:pPr>
          </w:p>
          <w:p w14:paraId="47FB025E" w14:textId="6091778F" w:rsidR="00D1773E" w:rsidRDefault="00D1773E" w:rsidP="0071496A">
            <w:pPr>
              <w:pStyle w:val="Tabel-BrdtekstmedafstandptekstGaramond"/>
            </w:pPr>
          </w:p>
          <w:p w14:paraId="47A4833D" w14:textId="6266F373" w:rsidR="00D1773E" w:rsidRDefault="00D1773E" w:rsidP="0071496A">
            <w:pPr>
              <w:pStyle w:val="Tabel-BrdtekstmedafstandptekstGaramond"/>
            </w:pPr>
          </w:p>
          <w:p w14:paraId="22966EE7" w14:textId="6397679E" w:rsidR="00D1773E" w:rsidRDefault="00D1773E" w:rsidP="0071496A">
            <w:pPr>
              <w:pStyle w:val="Tabel-BrdtekstmedafstandptekstGaramond"/>
            </w:pPr>
          </w:p>
          <w:p w14:paraId="426F045F" w14:textId="6B1842E9" w:rsidR="00D1773E" w:rsidRDefault="00D1773E" w:rsidP="0071496A">
            <w:pPr>
              <w:pStyle w:val="Tabel-BrdtekstmedafstandptekstGaramond"/>
            </w:pPr>
          </w:p>
          <w:p w14:paraId="1CCBC574" w14:textId="674F8BF8" w:rsidR="00D1773E" w:rsidRDefault="00D1773E" w:rsidP="0071496A">
            <w:pPr>
              <w:pStyle w:val="Tabel-BrdtekstmedafstandptekstGaramond"/>
            </w:pPr>
          </w:p>
          <w:p w14:paraId="71B99A9B" w14:textId="62CD50FF" w:rsidR="00D1773E" w:rsidRDefault="00D1773E" w:rsidP="0071496A">
            <w:pPr>
              <w:pStyle w:val="Tabel-BrdtekstmedafstandptekstGaramond"/>
            </w:pPr>
          </w:p>
          <w:p w14:paraId="79A93155" w14:textId="532825FE" w:rsidR="00D1773E" w:rsidRDefault="00D1773E" w:rsidP="0071496A">
            <w:pPr>
              <w:pStyle w:val="Tabel-BrdtekstmedafstandptekstGaramond"/>
            </w:pPr>
          </w:p>
          <w:p w14:paraId="46465E8F" w14:textId="647DA08C" w:rsidR="00D1773E" w:rsidRDefault="00D1773E" w:rsidP="0071496A">
            <w:pPr>
              <w:pStyle w:val="Tabel-BrdtekstmedafstandptekstGaramond"/>
            </w:pPr>
          </w:p>
          <w:p w14:paraId="4285052F" w14:textId="12B17237" w:rsidR="00D1773E" w:rsidRDefault="00D1773E" w:rsidP="0071496A">
            <w:pPr>
              <w:pStyle w:val="Tabel-BrdtekstmedafstandptekstGaramond"/>
            </w:pPr>
          </w:p>
          <w:p w14:paraId="53CE74D5" w14:textId="625877F1" w:rsidR="002849F6" w:rsidRPr="00B5346F" w:rsidRDefault="002849F6" w:rsidP="0071496A">
            <w:pPr>
              <w:pStyle w:val="Tabel-BrdtekstmedafstandptekstGaramond"/>
            </w:pPr>
            <w:r>
              <w:t>De</w:t>
            </w:r>
            <w:r w:rsidR="00D1773E">
              <w:t xml:space="preserve">r er tale om en ændring, der </w:t>
            </w:r>
            <w:r>
              <w:t>ligger uden</w:t>
            </w:r>
            <w:r w:rsidR="00F9359E">
              <w:t xml:space="preserve"> </w:t>
            </w:r>
            <w:r>
              <w:t>for formålet med lovforslaget, der alene har til hensigt at implementere den politiske aftale om udfasning af hjælpepakker, stimuli-initiativer og eksportinitiativer.</w:t>
            </w:r>
          </w:p>
        </w:tc>
      </w:tr>
      <w:tr w:rsidR="00567FE3" w:rsidRPr="00B5346F" w14:paraId="3374695D" w14:textId="77777777" w:rsidTr="003326BB">
        <w:tc>
          <w:tcPr>
            <w:tcW w:w="2310" w:type="dxa"/>
            <w:tcBorders>
              <w:bottom w:val="single" w:sz="4" w:space="0" w:color="D1C5C3" w:themeColor="accent3"/>
            </w:tcBorders>
            <w:shd w:val="clear" w:color="auto" w:fill="FBF9F9"/>
          </w:tcPr>
          <w:p w14:paraId="679E151F" w14:textId="6DD6C0AA" w:rsidR="00567FE3" w:rsidRPr="00227E73" w:rsidRDefault="00567FE3" w:rsidP="00DC10A2">
            <w:pPr>
              <w:pStyle w:val="Tabel-BrdtekstmedafstandptekstGaramond"/>
              <w:rPr>
                <w:i/>
                <w:szCs w:val="22"/>
              </w:rPr>
            </w:pPr>
            <w:r w:rsidRPr="00227E73">
              <w:rPr>
                <w:i/>
                <w:szCs w:val="22"/>
              </w:rPr>
              <w:t>H</w:t>
            </w:r>
            <w:r w:rsidR="0031268A">
              <w:rPr>
                <w:i/>
                <w:szCs w:val="22"/>
              </w:rPr>
              <w:t>ORESTA</w:t>
            </w:r>
          </w:p>
        </w:tc>
        <w:tc>
          <w:tcPr>
            <w:tcW w:w="213" w:type="dxa"/>
            <w:shd w:val="clear" w:color="auto" w:fill="FFFFFF" w:themeFill="background1"/>
          </w:tcPr>
          <w:p w14:paraId="369D33CF" w14:textId="77777777" w:rsidR="00567FE3" w:rsidRPr="00B5346F" w:rsidRDefault="00567FE3" w:rsidP="00DC10A2"/>
        </w:tc>
        <w:tc>
          <w:tcPr>
            <w:tcW w:w="3443" w:type="dxa"/>
            <w:tcBorders>
              <w:bottom w:val="single" w:sz="4" w:space="0" w:color="D1C5C3" w:themeColor="accent3"/>
            </w:tcBorders>
            <w:shd w:val="clear" w:color="auto" w:fill="FBF9F9"/>
          </w:tcPr>
          <w:p w14:paraId="06857108" w14:textId="77777777" w:rsidR="007A7509" w:rsidRPr="00F9359E" w:rsidRDefault="007A7509" w:rsidP="007A7509">
            <w:pPr>
              <w:pStyle w:val="Tabel-BrdtekstmedafstandptekstGaramond"/>
              <w:rPr>
                <w:bCs/>
                <w:i/>
                <w:iCs/>
                <w:szCs w:val="22"/>
              </w:rPr>
            </w:pPr>
            <w:r w:rsidRPr="00F9359E">
              <w:rPr>
                <w:bCs/>
                <w:i/>
                <w:iCs/>
                <w:szCs w:val="22"/>
              </w:rPr>
              <w:t>Forhøjelse af bundfradrag ved udlejning af fritidsboliger</w:t>
            </w:r>
          </w:p>
          <w:p w14:paraId="47D9551B" w14:textId="77777777" w:rsidR="0031268A" w:rsidRDefault="0031268A" w:rsidP="00DC10A2">
            <w:pPr>
              <w:pStyle w:val="Tabel-BrdtekstmedafstandptekstGaramond"/>
            </w:pPr>
            <w:r>
              <w:t>HORESTA hilser som udgangspunkt alle initiativer velkomne, som kan være med til at udvikle og skabe vækst i turisme- og oplevelseserhvervet.</w:t>
            </w:r>
          </w:p>
          <w:p w14:paraId="77A2BC87" w14:textId="77777777" w:rsidR="0031268A" w:rsidRDefault="0031268A" w:rsidP="00DC10A2">
            <w:pPr>
              <w:pStyle w:val="Tabel-BrdtekstmedafstandptekstGaramond"/>
            </w:pPr>
          </w:p>
          <w:p w14:paraId="39279170" w14:textId="77777777" w:rsidR="00B93590" w:rsidRDefault="0031268A" w:rsidP="00DC10A2">
            <w:pPr>
              <w:pStyle w:val="Tabel-BrdtekstmedafstandptekstGaramond"/>
            </w:pPr>
            <w:r>
              <w:t>Rammen for det markant øgede bundfradrag gælder fortsat for den ikke erhvervsmæssige udlejning af en fritidsbolig</w:t>
            </w:r>
            <w:r w:rsidR="00B93590">
              <w:t xml:space="preserve">, som ejeren selv benytter til fritidsformål. </w:t>
            </w:r>
          </w:p>
          <w:p w14:paraId="3E033C0C" w14:textId="77777777" w:rsidR="00B93590" w:rsidRDefault="00B93590" w:rsidP="00DC10A2">
            <w:pPr>
              <w:pStyle w:val="Tabel-BrdtekstmedafstandptekstGaramond"/>
            </w:pPr>
          </w:p>
          <w:p w14:paraId="1D236158" w14:textId="77777777" w:rsidR="00B93590" w:rsidRDefault="00B93590" w:rsidP="00B93590">
            <w:pPr>
              <w:pStyle w:val="Tabel-BrdtekstmedafstandptekstGaramond"/>
            </w:pPr>
            <w:r>
              <w:t>Det er i den forbindelse væsentligt for HORESTA både af hensyn til rimelige rammer og konkurrenceforholdene mellem forskellige overnatningstyper, at der sikres en skarp og fair inddeling mellem den rent erhvervsmæssige udlejning af overnatningsfaciliteter og den private, der ikke er erhvervsmæssig.</w:t>
            </w:r>
          </w:p>
          <w:p w14:paraId="715A1D4B" w14:textId="77777777" w:rsidR="00567FE3" w:rsidRDefault="00B93590" w:rsidP="00B93590">
            <w:pPr>
              <w:pStyle w:val="Tabel-BrdtekstmedafstandptekstGaramond"/>
            </w:pPr>
            <w:r>
              <w:t xml:space="preserve"> </w:t>
            </w:r>
          </w:p>
          <w:p w14:paraId="2922CC85" w14:textId="1CC3B646" w:rsidR="00B93590" w:rsidRPr="00B5346F" w:rsidRDefault="00B93590" w:rsidP="00B93590">
            <w:pPr>
              <w:pStyle w:val="Tabel-BrdtekstmedafstandptekstGaramond"/>
            </w:pPr>
            <w:r>
              <w:t>Det øgede bundfradrag kan bidrage til en egentlig erhvervsmæssig udlejning af fritidsboliger, idet tilskyndelsen til at udleje mere øges. Dertil kommer, at det øgede fradrag vil gøre store dele af fritidshusudlejningen stort set skattefri. Det er markant bedre konkurrencevilkår end andre dele af overnatningserhvervet har. HORESTA skal derfor opfordre til, at der gennemføres lignende tiltag, der styrker rammevilkårene for det øvrig</w:t>
            </w:r>
            <w:r w:rsidR="002849F6">
              <w:t xml:space="preserve">e overnatningserhverv. </w:t>
            </w:r>
          </w:p>
        </w:tc>
        <w:tc>
          <w:tcPr>
            <w:tcW w:w="230" w:type="dxa"/>
            <w:shd w:val="clear" w:color="auto" w:fill="FFFFFF" w:themeFill="background1"/>
          </w:tcPr>
          <w:p w14:paraId="370CD0FA" w14:textId="77777777" w:rsidR="00567FE3" w:rsidRPr="00B5346F" w:rsidRDefault="00567FE3" w:rsidP="00DC10A2"/>
        </w:tc>
        <w:tc>
          <w:tcPr>
            <w:tcW w:w="3443" w:type="dxa"/>
            <w:tcBorders>
              <w:bottom w:val="single" w:sz="4" w:space="0" w:color="14143C" w:themeColor="accent1"/>
            </w:tcBorders>
            <w:shd w:val="clear" w:color="auto" w:fill="D2CED8"/>
          </w:tcPr>
          <w:p w14:paraId="01B9C551" w14:textId="77777777" w:rsidR="00567FE3" w:rsidRDefault="00567FE3" w:rsidP="00DC10A2">
            <w:pPr>
              <w:pStyle w:val="Tabel-BrdtekstmedafstandptekstGaramond"/>
            </w:pPr>
          </w:p>
          <w:p w14:paraId="4ED35445" w14:textId="77777777" w:rsidR="00F037EA" w:rsidRDefault="00F037EA" w:rsidP="00DC10A2">
            <w:pPr>
              <w:pStyle w:val="Tabel-BrdtekstmedafstandptekstGaramond"/>
            </w:pPr>
          </w:p>
          <w:p w14:paraId="1C54BC7A" w14:textId="77777777" w:rsidR="00F037EA" w:rsidRDefault="00F037EA" w:rsidP="00DC10A2">
            <w:pPr>
              <w:pStyle w:val="Tabel-BrdtekstmedafstandptekstGaramond"/>
            </w:pPr>
          </w:p>
          <w:p w14:paraId="79CF63E4" w14:textId="77777777" w:rsidR="00F037EA" w:rsidRDefault="00F037EA" w:rsidP="00DC10A2">
            <w:pPr>
              <w:pStyle w:val="Tabel-BrdtekstmedafstandptekstGaramond"/>
            </w:pPr>
          </w:p>
          <w:p w14:paraId="24381E49" w14:textId="77777777" w:rsidR="00F037EA" w:rsidRDefault="00F037EA" w:rsidP="00DC10A2">
            <w:pPr>
              <w:pStyle w:val="Tabel-BrdtekstmedafstandptekstGaramond"/>
            </w:pPr>
          </w:p>
          <w:p w14:paraId="17EEA51F" w14:textId="77777777" w:rsidR="00F037EA" w:rsidRDefault="00F037EA" w:rsidP="00DC10A2">
            <w:pPr>
              <w:pStyle w:val="Tabel-BrdtekstmedafstandptekstGaramond"/>
            </w:pPr>
          </w:p>
          <w:p w14:paraId="39415E7E" w14:textId="77777777" w:rsidR="00F037EA" w:rsidRDefault="00F037EA" w:rsidP="00DC10A2">
            <w:pPr>
              <w:pStyle w:val="Tabel-BrdtekstmedafstandptekstGaramond"/>
            </w:pPr>
          </w:p>
          <w:p w14:paraId="1BD2E583" w14:textId="77777777" w:rsidR="00F037EA" w:rsidRDefault="00F037EA" w:rsidP="00DC10A2">
            <w:pPr>
              <w:pStyle w:val="Tabel-BrdtekstmedafstandptekstGaramond"/>
            </w:pPr>
          </w:p>
          <w:p w14:paraId="04BB8EFC" w14:textId="77777777" w:rsidR="00F037EA" w:rsidRDefault="00F037EA" w:rsidP="00DC10A2">
            <w:pPr>
              <w:pStyle w:val="Tabel-BrdtekstmedafstandptekstGaramond"/>
            </w:pPr>
          </w:p>
          <w:p w14:paraId="2A691C76" w14:textId="77777777" w:rsidR="00F037EA" w:rsidRDefault="00F037EA" w:rsidP="00DC10A2">
            <w:pPr>
              <w:pStyle w:val="Tabel-BrdtekstmedafstandptekstGaramond"/>
            </w:pPr>
          </w:p>
          <w:p w14:paraId="1D759636" w14:textId="77777777" w:rsidR="00F037EA" w:rsidRDefault="00F037EA" w:rsidP="00DC10A2">
            <w:pPr>
              <w:pStyle w:val="Tabel-BrdtekstmedafstandptekstGaramond"/>
            </w:pPr>
          </w:p>
          <w:p w14:paraId="43106A10" w14:textId="77777777" w:rsidR="00F037EA" w:rsidRDefault="00F037EA" w:rsidP="00DC10A2">
            <w:pPr>
              <w:pStyle w:val="Tabel-BrdtekstmedafstandptekstGaramond"/>
            </w:pPr>
          </w:p>
          <w:p w14:paraId="67C1B67C" w14:textId="77777777" w:rsidR="00F037EA" w:rsidRDefault="00F037EA" w:rsidP="00DC10A2">
            <w:pPr>
              <w:pStyle w:val="Tabel-BrdtekstmedafstandptekstGaramond"/>
            </w:pPr>
          </w:p>
          <w:p w14:paraId="0D82A89D" w14:textId="77777777" w:rsidR="00F037EA" w:rsidRDefault="00F037EA" w:rsidP="00DC10A2">
            <w:pPr>
              <w:pStyle w:val="Tabel-BrdtekstmedafstandptekstGaramond"/>
            </w:pPr>
          </w:p>
          <w:p w14:paraId="688B4249" w14:textId="77777777" w:rsidR="00F037EA" w:rsidRDefault="00F037EA" w:rsidP="00DC10A2">
            <w:pPr>
              <w:pStyle w:val="Tabel-BrdtekstmedafstandptekstGaramond"/>
            </w:pPr>
          </w:p>
          <w:p w14:paraId="417ACDA6" w14:textId="77777777" w:rsidR="00F037EA" w:rsidRDefault="00F037EA" w:rsidP="00DC10A2">
            <w:pPr>
              <w:pStyle w:val="Tabel-BrdtekstmedafstandptekstGaramond"/>
            </w:pPr>
          </w:p>
          <w:p w14:paraId="1F303F0F" w14:textId="77777777" w:rsidR="00F037EA" w:rsidRDefault="00F037EA" w:rsidP="00DC10A2">
            <w:pPr>
              <w:pStyle w:val="Tabel-BrdtekstmedafstandptekstGaramond"/>
            </w:pPr>
          </w:p>
          <w:p w14:paraId="18EFEF8E" w14:textId="77777777" w:rsidR="00F037EA" w:rsidRDefault="00F037EA" w:rsidP="00DC10A2">
            <w:pPr>
              <w:pStyle w:val="Tabel-BrdtekstmedafstandptekstGaramond"/>
            </w:pPr>
          </w:p>
          <w:p w14:paraId="47C5CA8A" w14:textId="77777777" w:rsidR="00F037EA" w:rsidRDefault="00F037EA" w:rsidP="00DC10A2">
            <w:pPr>
              <w:pStyle w:val="Tabel-BrdtekstmedafstandptekstGaramond"/>
            </w:pPr>
          </w:p>
          <w:p w14:paraId="09F7F391" w14:textId="77777777" w:rsidR="00F037EA" w:rsidRDefault="00F037EA" w:rsidP="00DC10A2">
            <w:pPr>
              <w:pStyle w:val="Tabel-BrdtekstmedafstandptekstGaramond"/>
            </w:pPr>
          </w:p>
          <w:p w14:paraId="0847B694" w14:textId="77777777" w:rsidR="00F037EA" w:rsidRDefault="00F037EA" w:rsidP="00DC10A2">
            <w:pPr>
              <w:pStyle w:val="Tabel-BrdtekstmedafstandptekstGaramond"/>
            </w:pPr>
          </w:p>
          <w:p w14:paraId="42340862" w14:textId="77777777" w:rsidR="00F037EA" w:rsidRDefault="00F037EA" w:rsidP="00DC10A2">
            <w:pPr>
              <w:pStyle w:val="Tabel-BrdtekstmedafstandptekstGaramond"/>
            </w:pPr>
          </w:p>
          <w:p w14:paraId="646A6780" w14:textId="77777777" w:rsidR="00C462CF" w:rsidRDefault="00C462CF" w:rsidP="00DC10A2">
            <w:pPr>
              <w:pStyle w:val="Tabel-BrdtekstmedafstandptekstGaramond"/>
            </w:pPr>
          </w:p>
          <w:p w14:paraId="7B650FAE" w14:textId="77777777" w:rsidR="00C462CF" w:rsidRDefault="00C462CF" w:rsidP="00DC10A2">
            <w:pPr>
              <w:pStyle w:val="Tabel-BrdtekstmedafstandptekstGaramond"/>
            </w:pPr>
          </w:p>
          <w:p w14:paraId="61326F6A" w14:textId="1B345161" w:rsidR="00F037EA" w:rsidRDefault="00C44944" w:rsidP="00DC10A2">
            <w:pPr>
              <w:pStyle w:val="Tabel-BrdtekstmedafstandptekstGaramond"/>
            </w:pPr>
            <w:r>
              <w:t xml:space="preserve">Regeringen er opmærksom på, at der </w:t>
            </w:r>
            <w:r w:rsidR="005E0647">
              <w:t xml:space="preserve">i den nuværende situation </w:t>
            </w:r>
            <w:r>
              <w:t>er behov for særlige initiativer for at understøtte de overnatningserhverv</w:t>
            </w:r>
            <w:r w:rsidR="005E0647">
              <w:t>, der ikke er omfattet af lovforslaget</w:t>
            </w:r>
            <w:r>
              <w:t xml:space="preserve">.                                                                                                                                                                                                                                                                                                                                                                                                                                                                                                                                                                                                                                                                                                                                                                                                                                                                                           </w:t>
            </w:r>
          </w:p>
          <w:p w14:paraId="66E93136" w14:textId="77777777" w:rsidR="00F037EA" w:rsidRDefault="00F037EA" w:rsidP="00DC10A2">
            <w:pPr>
              <w:pStyle w:val="Tabel-BrdtekstmedafstandptekstGaramond"/>
            </w:pPr>
          </w:p>
          <w:p w14:paraId="1B11E08D" w14:textId="77777777" w:rsidR="00F037EA" w:rsidRDefault="00F037EA" w:rsidP="00DC10A2">
            <w:pPr>
              <w:pStyle w:val="Tabel-BrdtekstmedafstandptekstGaramond"/>
            </w:pPr>
          </w:p>
          <w:p w14:paraId="3E4D3844" w14:textId="77777777" w:rsidR="00F037EA" w:rsidRPr="00B5346F" w:rsidRDefault="00F037EA" w:rsidP="002849F6">
            <w:pPr>
              <w:pStyle w:val="Tabel-BrdtekstmedafstandptekstGaramond"/>
              <w:ind w:left="0"/>
            </w:pPr>
          </w:p>
        </w:tc>
      </w:tr>
      <w:tr w:rsidR="002F32F6" w:rsidRPr="00B5346F" w14:paraId="7B82AFD2" w14:textId="77777777" w:rsidTr="003326BB">
        <w:tc>
          <w:tcPr>
            <w:tcW w:w="2310" w:type="dxa"/>
            <w:tcBorders>
              <w:bottom w:val="single" w:sz="4" w:space="0" w:color="D1C5C3" w:themeColor="accent3"/>
            </w:tcBorders>
            <w:shd w:val="clear" w:color="auto" w:fill="FBF9F9"/>
          </w:tcPr>
          <w:p w14:paraId="3331601A" w14:textId="1958D8EF" w:rsidR="002F32F6" w:rsidRPr="00227E73" w:rsidRDefault="002F32F6" w:rsidP="00DC10A2">
            <w:pPr>
              <w:pStyle w:val="Tabel-BrdtekstmedafstandptekstGaramond"/>
              <w:rPr>
                <w:i/>
                <w:szCs w:val="22"/>
              </w:rPr>
            </w:pPr>
            <w:r>
              <w:rPr>
                <w:i/>
                <w:szCs w:val="22"/>
              </w:rPr>
              <w:t>Ingeniørforeningen i Danmark</w:t>
            </w:r>
          </w:p>
        </w:tc>
        <w:tc>
          <w:tcPr>
            <w:tcW w:w="213" w:type="dxa"/>
            <w:shd w:val="clear" w:color="auto" w:fill="FFFFFF" w:themeFill="background1"/>
          </w:tcPr>
          <w:p w14:paraId="084098B2" w14:textId="77777777" w:rsidR="002F32F6" w:rsidRPr="00B5346F" w:rsidRDefault="002F32F6" w:rsidP="00DC10A2"/>
        </w:tc>
        <w:tc>
          <w:tcPr>
            <w:tcW w:w="3443" w:type="dxa"/>
            <w:tcBorders>
              <w:bottom w:val="single" w:sz="4" w:space="0" w:color="D1C5C3" w:themeColor="accent3"/>
            </w:tcBorders>
            <w:shd w:val="clear" w:color="auto" w:fill="FBF9F9"/>
          </w:tcPr>
          <w:p w14:paraId="008713E8" w14:textId="77777777" w:rsidR="002F32F6" w:rsidRPr="00E17DAE" w:rsidRDefault="002F32F6" w:rsidP="00DC10A2">
            <w:pPr>
              <w:pStyle w:val="Tabel-BrdtekstmedafstandptekstGaramond"/>
              <w:rPr>
                <w:bCs/>
                <w:i/>
                <w:iCs/>
              </w:rPr>
            </w:pPr>
            <w:proofErr w:type="spellStart"/>
            <w:r w:rsidRPr="00E17DAE">
              <w:rPr>
                <w:bCs/>
                <w:i/>
                <w:iCs/>
              </w:rPr>
              <w:t>FoU</w:t>
            </w:r>
            <w:proofErr w:type="spellEnd"/>
          </w:p>
          <w:p w14:paraId="081F4F88" w14:textId="77777777" w:rsidR="002F32F6" w:rsidRDefault="002F32F6" w:rsidP="00DC10A2">
            <w:pPr>
              <w:pStyle w:val="Tabel-BrdtekstmedafstandptekstGaramond"/>
            </w:pPr>
            <w:r>
              <w:t xml:space="preserve">IDA støtter positivt op om, at fradrag for udgifter til forsøgs- og forskningsvirksomhed forhøjes til 130 pct. i 2020 og 2021. </w:t>
            </w:r>
          </w:p>
          <w:p w14:paraId="6220BADE" w14:textId="77777777" w:rsidR="002F32F6" w:rsidRDefault="002F32F6" w:rsidP="00DC10A2">
            <w:pPr>
              <w:pStyle w:val="Tabel-BrdtekstmedafstandptekstGaramond"/>
            </w:pPr>
          </w:p>
          <w:p w14:paraId="4925F561" w14:textId="4122C7B0" w:rsidR="002F32F6" w:rsidRDefault="00915329" w:rsidP="00DC10A2">
            <w:pPr>
              <w:pStyle w:val="Tabel-BrdtekstmedafstandptekstGaramond"/>
            </w:pPr>
            <w:r>
              <w:t>På den baggrund hilse</w:t>
            </w:r>
            <w:r w:rsidR="00655503">
              <w:t>r</w:t>
            </w:r>
            <w:r>
              <w:t xml:space="preserve"> IDA dette forslag om forhøjelse af fradrag for udgifter til forsøgs- og forskningsvirksomhed samt løftet til </w:t>
            </w:r>
            <w:proofErr w:type="spellStart"/>
            <w:r>
              <w:t>Innobooster</w:t>
            </w:r>
            <w:proofErr w:type="spellEnd"/>
            <w:r>
              <w:t>-ordningen på 300 mio. kr. velkommen.</w:t>
            </w:r>
          </w:p>
          <w:p w14:paraId="50435FA8" w14:textId="77777777" w:rsidR="00915329" w:rsidRDefault="00915329" w:rsidP="00DC10A2">
            <w:pPr>
              <w:pStyle w:val="Tabel-BrdtekstmedafstandptekstGaramond"/>
            </w:pPr>
          </w:p>
          <w:p w14:paraId="2A0B6C42" w14:textId="77777777" w:rsidR="00915329" w:rsidRDefault="00915329" w:rsidP="00DC10A2">
            <w:pPr>
              <w:pStyle w:val="Tabel-BrdtekstmedafstandptekstGaramond"/>
            </w:pPr>
            <w:r>
              <w:t xml:space="preserve">IDA mener, at det er udmærket at opretholde afgrænsningen af, hvornår der foreligger udgifter til forsøgs- og forskningsvirksomhed på basis af hidtidig praksis. Dette kan fx være lønudgifter, udgifter til leje af lokaler og udgifter til betaling af forsøgs- og forskningsvirksomhed udført af andre. </w:t>
            </w:r>
          </w:p>
          <w:p w14:paraId="1344E00B" w14:textId="77777777" w:rsidR="00915329" w:rsidRDefault="00915329" w:rsidP="00DC10A2">
            <w:pPr>
              <w:pStyle w:val="Tabel-BrdtekstmedafstandptekstGaramond"/>
            </w:pPr>
          </w:p>
          <w:p w14:paraId="4F99CC3B" w14:textId="6E536F6B" w:rsidR="00915329" w:rsidRDefault="00915329" w:rsidP="00DC10A2">
            <w:pPr>
              <w:pStyle w:val="Tabel-BrdtekstmedafstandptekstGaramond"/>
            </w:pPr>
            <w:r>
              <w:t xml:space="preserve">IDA anbefaler, at forhøjelsen af fradraget for udgifter til forsøgs- og forskningsvirksomhed gøres permanent efter 2021. Efter IDA’s vurdering kan det være en samfundsøkonomisk gevinst samtidig med, at virksomhedernes udviklingsaktiviteter ofte har et mere langsigtet perspektiv end 1-2 år. </w:t>
            </w:r>
            <w:r w:rsidR="00655503">
              <w:t>Vurderingen af</w:t>
            </w:r>
            <w:r w:rsidR="00D1773E">
              <w:t>,</w:t>
            </w:r>
            <w:r w:rsidR="00655503">
              <w:t xml:space="preserve"> h</w:t>
            </w:r>
            <w:r>
              <w:t xml:space="preserve">vorvidt fradraget på 130 pct. skal gøres permanent kan eventuelt ske på baggrund af en evaluering af effekterne af den midlertidige forhøjelse. </w:t>
            </w:r>
          </w:p>
          <w:p w14:paraId="5A3CD19E" w14:textId="77777777" w:rsidR="00915329" w:rsidRDefault="00915329" w:rsidP="00DC10A2">
            <w:pPr>
              <w:pStyle w:val="Tabel-BrdtekstmedafstandptekstGaramond"/>
            </w:pPr>
          </w:p>
          <w:p w14:paraId="144C647F" w14:textId="588CF016" w:rsidR="00915329" w:rsidRDefault="00915329" w:rsidP="00DC10A2">
            <w:pPr>
              <w:pStyle w:val="Tabel-BrdtekstmedafstandptekstGaramond"/>
            </w:pPr>
            <w:r>
              <w:t>IDA vurderer, at lovforslaget</w:t>
            </w:r>
            <w:r w:rsidR="00655503">
              <w:t>s</w:t>
            </w:r>
            <w:r>
              <w:t xml:space="preserve"> økonomiske effekter for stat, regioner og kommuner ikke i tilstrækkelig grad tager højde for effekter på produktiviteten. </w:t>
            </w:r>
          </w:p>
          <w:p w14:paraId="51B819BA" w14:textId="77777777" w:rsidR="00915329" w:rsidRDefault="00915329" w:rsidP="00DC10A2">
            <w:pPr>
              <w:pStyle w:val="Tabel-BrdtekstmedafstandptekstGaramond"/>
            </w:pPr>
          </w:p>
          <w:p w14:paraId="639F18E7" w14:textId="77777777" w:rsidR="00915329" w:rsidRDefault="00915329" w:rsidP="00DC10A2">
            <w:pPr>
              <w:pStyle w:val="Tabel-BrdtekstmedafstandptekstGaramond"/>
            </w:pPr>
            <w:r>
              <w:t xml:space="preserve">IDA finder det særdeles problematisk, at der ikke regnes med adfærdseffekter i den varige virkning med afsæt i den omfattende videnskabelige litteratur, der påviser høje samfundsøkonomiske afkast af forsøgs- og forskningsaktiviteter. </w:t>
            </w:r>
          </w:p>
          <w:p w14:paraId="698B3CDE" w14:textId="77777777" w:rsidR="00915329" w:rsidRDefault="00915329" w:rsidP="00DC10A2">
            <w:pPr>
              <w:pStyle w:val="Tabel-BrdtekstmedafstandptekstGaramond"/>
            </w:pPr>
          </w:p>
          <w:p w14:paraId="312E9093" w14:textId="50C63600" w:rsidR="0096059E" w:rsidRPr="002F32F6" w:rsidRDefault="0096059E" w:rsidP="0096059E">
            <w:pPr>
              <w:pStyle w:val="Tabel-BrdtekstmedafstandptekstGaramond"/>
            </w:pPr>
            <w:r>
              <w:t xml:space="preserve">IDA afslutter med at støtte op om forslaget, men foreslår samtidig, at ordningen gøres permanent. </w:t>
            </w:r>
          </w:p>
        </w:tc>
        <w:tc>
          <w:tcPr>
            <w:tcW w:w="230" w:type="dxa"/>
            <w:shd w:val="clear" w:color="auto" w:fill="FFFFFF" w:themeFill="background1"/>
          </w:tcPr>
          <w:p w14:paraId="626D1BCF" w14:textId="77777777" w:rsidR="002F32F6" w:rsidRPr="00B5346F" w:rsidRDefault="002F32F6" w:rsidP="00DC10A2"/>
        </w:tc>
        <w:tc>
          <w:tcPr>
            <w:tcW w:w="3443" w:type="dxa"/>
            <w:tcBorders>
              <w:bottom w:val="single" w:sz="4" w:space="0" w:color="14143C" w:themeColor="accent1"/>
            </w:tcBorders>
            <w:shd w:val="clear" w:color="auto" w:fill="D2CED8"/>
          </w:tcPr>
          <w:p w14:paraId="4EDBC3B7" w14:textId="77777777" w:rsidR="002F32F6" w:rsidRDefault="002F32F6" w:rsidP="00DC10A2">
            <w:pPr>
              <w:pStyle w:val="Tabel-BrdtekstmedafstandptekstGaramond"/>
            </w:pPr>
          </w:p>
          <w:p w14:paraId="6AC74F4B" w14:textId="77777777" w:rsidR="003A3256" w:rsidRDefault="003A3256" w:rsidP="00DC10A2">
            <w:pPr>
              <w:pStyle w:val="Tabel-BrdtekstmedafstandptekstGaramond"/>
            </w:pPr>
          </w:p>
          <w:p w14:paraId="5EA879BA" w14:textId="77777777" w:rsidR="003A3256" w:rsidRDefault="003A3256" w:rsidP="00DC10A2">
            <w:pPr>
              <w:pStyle w:val="Tabel-BrdtekstmedafstandptekstGaramond"/>
            </w:pPr>
          </w:p>
          <w:p w14:paraId="2006E1D3" w14:textId="77777777" w:rsidR="003A3256" w:rsidRDefault="003A3256" w:rsidP="00DC10A2">
            <w:pPr>
              <w:pStyle w:val="Tabel-BrdtekstmedafstandptekstGaramond"/>
            </w:pPr>
          </w:p>
          <w:p w14:paraId="03EFECF6" w14:textId="77777777" w:rsidR="003A3256" w:rsidRDefault="003A3256" w:rsidP="00DC10A2">
            <w:pPr>
              <w:pStyle w:val="Tabel-BrdtekstmedafstandptekstGaramond"/>
            </w:pPr>
          </w:p>
          <w:p w14:paraId="0ACFEA69" w14:textId="77777777" w:rsidR="003A3256" w:rsidRDefault="003A3256" w:rsidP="00DC10A2">
            <w:pPr>
              <w:pStyle w:val="Tabel-BrdtekstmedafstandptekstGaramond"/>
            </w:pPr>
          </w:p>
          <w:p w14:paraId="29A877A9" w14:textId="77777777" w:rsidR="003A3256" w:rsidRDefault="003A3256" w:rsidP="00DC10A2">
            <w:pPr>
              <w:pStyle w:val="Tabel-BrdtekstmedafstandptekstGaramond"/>
            </w:pPr>
          </w:p>
          <w:p w14:paraId="3BE1B8EA" w14:textId="77777777" w:rsidR="003A3256" w:rsidRDefault="003A3256" w:rsidP="00DC10A2">
            <w:pPr>
              <w:pStyle w:val="Tabel-BrdtekstmedafstandptekstGaramond"/>
            </w:pPr>
          </w:p>
          <w:p w14:paraId="4414671E" w14:textId="77777777" w:rsidR="003A3256" w:rsidRDefault="003A3256" w:rsidP="00DC10A2">
            <w:pPr>
              <w:pStyle w:val="Tabel-BrdtekstmedafstandptekstGaramond"/>
            </w:pPr>
          </w:p>
          <w:p w14:paraId="57084F13" w14:textId="77777777" w:rsidR="003A3256" w:rsidRDefault="003A3256" w:rsidP="00DC10A2">
            <w:pPr>
              <w:pStyle w:val="Tabel-BrdtekstmedafstandptekstGaramond"/>
            </w:pPr>
          </w:p>
          <w:p w14:paraId="081E0468" w14:textId="77777777" w:rsidR="003A3256" w:rsidRDefault="003A3256" w:rsidP="00DC10A2">
            <w:pPr>
              <w:pStyle w:val="Tabel-BrdtekstmedafstandptekstGaramond"/>
            </w:pPr>
          </w:p>
          <w:p w14:paraId="23A5F851" w14:textId="77777777" w:rsidR="003A3256" w:rsidRDefault="003A3256" w:rsidP="00DC10A2">
            <w:pPr>
              <w:pStyle w:val="Tabel-BrdtekstmedafstandptekstGaramond"/>
            </w:pPr>
          </w:p>
          <w:p w14:paraId="2E860AE3" w14:textId="77777777" w:rsidR="003A3256" w:rsidRDefault="003A3256" w:rsidP="00DC10A2">
            <w:pPr>
              <w:pStyle w:val="Tabel-BrdtekstmedafstandptekstGaramond"/>
            </w:pPr>
          </w:p>
          <w:p w14:paraId="1EF45683" w14:textId="77777777" w:rsidR="003A3256" w:rsidRDefault="003A3256" w:rsidP="00DC10A2">
            <w:pPr>
              <w:pStyle w:val="Tabel-BrdtekstmedafstandptekstGaramond"/>
            </w:pPr>
          </w:p>
          <w:p w14:paraId="1E2EFFF0" w14:textId="77777777" w:rsidR="003A3256" w:rsidRDefault="003A3256" w:rsidP="00DC10A2">
            <w:pPr>
              <w:pStyle w:val="Tabel-BrdtekstmedafstandptekstGaramond"/>
            </w:pPr>
          </w:p>
          <w:p w14:paraId="72C68DF3" w14:textId="77777777" w:rsidR="003A3256" w:rsidRDefault="003A3256" w:rsidP="00DC10A2">
            <w:pPr>
              <w:pStyle w:val="Tabel-BrdtekstmedafstandptekstGaramond"/>
            </w:pPr>
          </w:p>
          <w:p w14:paraId="76C7477A" w14:textId="77777777" w:rsidR="003A3256" w:rsidRDefault="003A3256" w:rsidP="00DC10A2">
            <w:pPr>
              <w:pStyle w:val="Tabel-BrdtekstmedafstandptekstGaramond"/>
            </w:pPr>
          </w:p>
          <w:p w14:paraId="7CE2E6DC" w14:textId="77777777" w:rsidR="003A3256" w:rsidRDefault="003A3256" w:rsidP="00DC10A2">
            <w:pPr>
              <w:pStyle w:val="Tabel-BrdtekstmedafstandptekstGaramond"/>
            </w:pPr>
          </w:p>
          <w:p w14:paraId="6A7F5A78" w14:textId="77777777" w:rsidR="003A3256" w:rsidRDefault="003A3256" w:rsidP="00DC10A2">
            <w:pPr>
              <w:pStyle w:val="Tabel-BrdtekstmedafstandptekstGaramond"/>
            </w:pPr>
          </w:p>
          <w:p w14:paraId="3C506CA9" w14:textId="77777777" w:rsidR="003A3256" w:rsidRDefault="003A3256" w:rsidP="00DC10A2">
            <w:pPr>
              <w:pStyle w:val="Tabel-BrdtekstmedafstandptekstGaramond"/>
            </w:pPr>
          </w:p>
          <w:p w14:paraId="19839740" w14:textId="77777777" w:rsidR="003A3256" w:rsidRDefault="003A3256" w:rsidP="00DC10A2">
            <w:pPr>
              <w:pStyle w:val="Tabel-BrdtekstmedafstandptekstGaramond"/>
            </w:pPr>
          </w:p>
          <w:p w14:paraId="2872C76C" w14:textId="77777777" w:rsidR="003A3256" w:rsidRDefault="003A3256" w:rsidP="00DC10A2">
            <w:pPr>
              <w:pStyle w:val="Tabel-BrdtekstmedafstandptekstGaramond"/>
            </w:pPr>
          </w:p>
          <w:p w14:paraId="0C466148" w14:textId="77777777" w:rsidR="003A3256" w:rsidRDefault="003A3256" w:rsidP="00DC10A2">
            <w:pPr>
              <w:pStyle w:val="Tabel-BrdtekstmedafstandptekstGaramond"/>
            </w:pPr>
          </w:p>
          <w:p w14:paraId="5472FDB4" w14:textId="21C0FD59" w:rsidR="003A3256" w:rsidRDefault="003A3256" w:rsidP="00DC10A2">
            <w:pPr>
              <w:pStyle w:val="Tabel-BrdtekstmedafstandptekstGaramond"/>
            </w:pPr>
            <w:r>
              <w:t>Der henvises til kommentaren til Akademikerne.</w:t>
            </w:r>
          </w:p>
          <w:p w14:paraId="4C0D1783" w14:textId="77777777" w:rsidR="003A3256" w:rsidRDefault="003A3256" w:rsidP="00DC10A2">
            <w:pPr>
              <w:pStyle w:val="Tabel-BrdtekstmedafstandptekstGaramond"/>
            </w:pPr>
          </w:p>
          <w:p w14:paraId="7AB3386B" w14:textId="77777777" w:rsidR="003A3256" w:rsidRDefault="003A3256" w:rsidP="00DC10A2">
            <w:pPr>
              <w:pStyle w:val="Tabel-BrdtekstmedafstandptekstGaramond"/>
            </w:pPr>
          </w:p>
          <w:p w14:paraId="19D9EB1B" w14:textId="77777777" w:rsidR="003A3256" w:rsidRDefault="003A3256" w:rsidP="00DC10A2">
            <w:pPr>
              <w:pStyle w:val="Tabel-BrdtekstmedafstandptekstGaramond"/>
            </w:pPr>
          </w:p>
          <w:p w14:paraId="2775E495" w14:textId="77777777" w:rsidR="003A3256" w:rsidRDefault="003A3256" w:rsidP="00DC10A2">
            <w:pPr>
              <w:pStyle w:val="Tabel-BrdtekstmedafstandptekstGaramond"/>
            </w:pPr>
          </w:p>
          <w:p w14:paraId="4C681D02" w14:textId="77777777" w:rsidR="003A3256" w:rsidRDefault="003A3256" w:rsidP="00DC10A2">
            <w:pPr>
              <w:pStyle w:val="Tabel-BrdtekstmedafstandptekstGaramond"/>
            </w:pPr>
          </w:p>
          <w:p w14:paraId="2FD2C36C" w14:textId="77777777" w:rsidR="003A3256" w:rsidRDefault="003A3256" w:rsidP="00DC10A2">
            <w:pPr>
              <w:pStyle w:val="Tabel-BrdtekstmedafstandptekstGaramond"/>
            </w:pPr>
          </w:p>
          <w:p w14:paraId="6B851627" w14:textId="77777777" w:rsidR="003A3256" w:rsidRDefault="003A3256" w:rsidP="00DC10A2">
            <w:pPr>
              <w:pStyle w:val="Tabel-BrdtekstmedafstandptekstGaramond"/>
            </w:pPr>
          </w:p>
          <w:p w14:paraId="6B1B1489" w14:textId="77777777" w:rsidR="003A3256" w:rsidRDefault="003A3256" w:rsidP="00DC10A2">
            <w:pPr>
              <w:pStyle w:val="Tabel-BrdtekstmedafstandptekstGaramond"/>
            </w:pPr>
          </w:p>
          <w:p w14:paraId="57DD9781" w14:textId="77777777" w:rsidR="003A3256" w:rsidRDefault="003A3256" w:rsidP="00DC10A2">
            <w:pPr>
              <w:pStyle w:val="Tabel-BrdtekstmedafstandptekstGaramond"/>
            </w:pPr>
          </w:p>
          <w:p w14:paraId="19A02FF4" w14:textId="77777777" w:rsidR="003A3256" w:rsidRDefault="003A3256" w:rsidP="00DC10A2">
            <w:pPr>
              <w:pStyle w:val="Tabel-BrdtekstmedafstandptekstGaramond"/>
            </w:pPr>
          </w:p>
          <w:p w14:paraId="481D467D" w14:textId="77777777" w:rsidR="003A3256" w:rsidRDefault="003A3256" w:rsidP="00DC10A2">
            <w:pPr>
              <w:pStyle w:val="Tabel-BrdtekstmedafstandptekstGaramond"/>
            </w:pPr>
          </w:p>
          <w:p w14:paraId="2310D97C" w14:textId="77777777" w:rsidR="003A3256" w:rsidRDefault="003A3256" w:rsidP="00DC10A2">
            <w:pPr>
              <w:pStyle w:val="Tabel-BrdtekstmedafstandptekstGaramond"/>
            </w:pPr>
          </w:p>
          <w:p w14:paraId="2605D87C" w14:textId="77777777" w:rsidR="003A3256" w:rsidRDefault="003A3256" w:rsidP="00DC10A2">
            <w:pPr>
              <w:pStyle w:val="Tabel-BrdtekstmedafstandptekstGaramond"/>
            </w:pPr>
          </w:p>
          <w:p w14:paraId="2EECC1B6" w14:textId="77777777" w:rsidR="003A3256" w:rsidRDefault="003A3256" w:rsidP="00DC10A2">
            <w:pPr>
              <w:pStyle w:val="Tabel-BrdtekstmedafstandptekstGaramond"/>
            </w:pPr>
          </w:p>
          <w:p w14:paraId="77E219D8" w14:textId="77777777" w:rsidR="003A3256" w:rsidRDefault="003A3256" w:rsidP="00DC10A2">
            <w:pPr>
              <w:pStyle w:val="Tabel-BrdtekstmedafstandptekstGaramond"/>
            </w:pPr>
          </w:p>
          <w:p w14:paraId="434C3058" w14:textId="77777777" w:rsidR="003A3256" w:rsidRDefault="003A3256" w:rsidP="00DC10A2">
            <w:pPr>
              <w:pStyle w:val="Tabel-BrdtekstmedafstandptekstGaramond"/>
            </w:pPr>
          </w:p>
          <w:p w14:paraId="3F744F2D" w14:textId="77777777" w:rsidR="003A3256" w:rsidRDefault="003A3256" w:rsidP="00DC10A2">
            <w:pPr>
              <w:pStyle w:val="Tabel-BrdtekstmedafstandptekstGaramond"/>
            </w:pPr>
          </w:p>
          <w:p w14:paraId="7EFE189B" w14:textId="77777777" w:rsidR="003A3256" w:rsidRDefault="003A3256" w:rsidP="00DC10A2">
            <w:pPr>
              <w:pStyle w:val="Tabel-BrdtekstmedafstandptekstGaramond"/>
            </w:pPr>
          </w:p>
          <w:p w14:paraId="09467811" w14:textId="77777777" w:rsidR="003A3256" w:rsidRDefault="003A3256" w:rsidP="00DC10A2">
            <w:pPr>
              <w:pStyle w:val="Tabel-BrdtekstmedafstandptekstGaramond"/>
            </w:pPr>
          </w:p>
          <w:p w14:paraId="0ED0CE30" w14:textId="78E6DF8C" w:rsidR="003A3256" w:rsidRDefault="006D3A6D" w:rsidP="00D355A5">
            <w:pPr>
              <w:pStyle w:val="Tabel-BrdtekstmedafstandptekstGaramond"/>
            </w:pPr>
            <w:r>
              <w:t xml:space="preserve">Der er tale om en midlertidig forhøjelse af </w:t>
            </w:r>
            <w:proofErr w:type="spellStart"/>
            <w:r>
              <w:t>FoU</w:t>
            </w:r>
            <w:proofErr w:type="spellEnd"/>
            <w:r>
              <w:t>-fradraget</w:t>
            </w:r>
            <w:r w:rsidR="00D1773E">
              <w:t>,</w:t>
            </w:r>
            <w:r>
              <w:t xml:space="preserve"> og virksomhedernes muligheder for at øge investeringerne udover de initiativer, der allerede er igangsat eller planlagt</w:t>
            </w:r>
            <w:r w:rsidR="00F444C2">
              <w:t>,</w:t>
            </w:r>
            <w:r>
              <w:t xml:space="preserve"> vurderes at være relativ</w:t>
            </w:r>
            <w:r w:rsidR="00D1773E">
              <w:t>t</w:t>
            </w:r>
            <w:r>
              <w:t xml:space="preserve"> begrænsede.</w:t>
            </w:r>
            <w:r w:rsidR="00F444C2">
              <w:t xml:space="preserve"> De positive effekter på investeringerne og produktiviteten skønnes </w:t>
            </w:r>
            <w:r w:rsidR="00D355A5">
              <w:t>på den baggrund</w:t>
            </w:r>
            <w:r w:rsidR="00F444C2">
              <w:t xml:space="preserve"> at være relativ</w:t>
            </w:r>
            <w:r w:rsidR="00D1773E">
              <w:t>t</w:t>
            </w:r>
            <w:r w:rsidR="00F444C2">
              <w:t xml:space="preserve"> små og vanskelige at kvantificere</w:t>
            </w:r>
            <w:r w:rsidR="00D355A5">
              <w:t xml:space="preserve">, og derfor er der ikke indregnet en positiv adfærdsvirkning sådan som Skatteministeriet ellers tidligere har gjort ved forøgelser fra </w:t>
            </w:r>
            <w:proofErr w:type="spellStart"/>
            <w:r w:rsidR="00D355A5">
              <w:t>FoU</w:t>
            </w:r>
            <w:proofErr w:type="spellEnd"/>
            <w:r w:rsidR="00D355A5">
              <w:t>-fradraget.</w:t>
            </w:r>
          </w:p>
        </w:tc>
      </w:tr>
      <w:tr w:rsidR="003320FB" w:rsidRPr="00B5346F" w14:paraId="0CEFB105" w14:textId="77777777" w:rsidTr="003326BB">
        <w:tc>
          <w:tcPr>
            <w:tcW w:w="2310" w:type="dxa"/>
            <w:tcBorders>
              <w:bottom w:val="single" w:sz="4" w:space="0" w:color="D1C5C3" w:themeColor="accent3"/>
            </w:tcBorders>
            <w:shd w:val="clear" w:color="auto" w:fill="FBF9F9"/>
          </w:tcPr>
          <w:p w14:paraId="13FAD467" w14:textId="59135EE8" w:rsidR="003320FB" w:rsidRPr="00227E73" w:rsidRDefault="003320FB" w:rsidP="00DC10A2">
            <w:pPr>
              <w:pStyle w:val="Tabel-BrdtekstmedafstandptekstGaramond"/>
              <w:rPr>
                <w:i/>
                <w:szCs w:val="22"/>
              </w:rPr>
            </w:pPr>
            <w:r>
              <w:rPr>
                <w:i/>
                <w:szCs w:val="22"/>
              </w:rPr>
              <w:t>KL</w:t>
            </w:r>
          </w:p>
        </w:tc>
        <w:tc>
          <w:tcPr>
            <w:tcW w:w="213" w:type="dxa"/>
            <w:shd w:val="clear" w:color="auto" w:fill="FFFFFF" w:themeFill="background1"/>
          </w:tcPr>
          <w:p w14:paraId="18B32F10" w14:textId="77777777" w:rsidR="003320FB" w:rsidRPr="00B5346F" w:rsidRDefault="003320FB" w:rsidP="00DC10A2"/>
        </w:tc>
        <w:tc>
          <w:tcPr>
            <w:tcW w:w="3443" w:type="dxa"/>
            <w:tcBorders>
              <w:bottom w:val="single" w:sz="4" w:space="0" w:color="D1C5C3" w:themeColor="accent3"/>
            </w:tcBorders>
            <w:shd w:val="clear" w:color="auto" w:fill="FBF9F9"/>
          </w:tcPr>
          <w:p w14:paraId="2D2142C5" w14:textId="77777777" w:rsidR="00BE439D" w:rsidRPr="00E17DAE" w:rsidRDefault="00BE439D" w:rsidP="00BE439D">
            <w:pPr>
              <w:pStyle w:val="Tabel-BrdtekstmedafstandptekstGaramond"/>
              <w:rPr>
                <w:bCs/>
                <w:i/>
                <w:iCs/>
              </w:rPr>
            </w:pPr>
            <w:proofErr w:type="spellStart"/>
            <w:r w:rsidRPr="00E17DAE">
              <w:rPr>
                <w:bCs/>
                <w:i/>
                <w:iCs/>
              </w:rPr>
              <w:t>FoU</w:t>
            </w:r>
            <w:proofErr w:type="spellEnd"/>
            <w:r w:rsidRPr="00E17DAE">
              <w:rPr>
                <w:bCs/>
                <w:i/>
                <w:iCs/>
              </w:rPr>
              <w:t xml:space="preserve"> </w:t>
            </w:r>
          </w:p>
          <w:p w14:paraId="700B3DC1" w14:textId="77777777" w:rsidR="00BE439D" w:rsidRDefault="00BE439D" w:rsidP="00BE439D">
            <w:pPr>
              <w:pStyle w:val="Tabel-BrdtekstmedafstandptekstGaramond"/>
            </w:pPr>
            <w:r>
              <w:t xml:space="preserve">KL bemærker, at selv om det forudsættes, at kommunerne set under ét og efter vanlig praksis kompenseres for mindreprovenuet via balancetilskuddet, så kan lovforslaget medføre fordelingsmæssige konsekvenser mellem kommunerne. </w:t>
            </w:r>
          </w:p>
          <w:p w14:paraId="7A4D0C2C" w14:textId="77777777" w:rsidR="00BE439D" w:rsidRDefault="00BE439D" w:rsidP="00BE439D">
            <w:pPr>
              <w:pStyle w:val="Tabel-BrdtekstmedafstandptekstGaramond"/>
            </w:pPr>
          </w:p>
          <w:p w14:paraId="78D8E5F2" w14:textId="77777777" w:rsidR="00BE439D" w:rsidRPr="00BE439D" w:rsidRDefault="00BE439D" w:rsidP="00BE439D">
            <w:pPr>
              <w:pStyle w:val="Tabel-BrdtekstmedafstandptekstGaramond"/>
            </w:pPr>
            <w:r>
              <w:t>KL anmoder på den baggrund om et skøn for fordelingen mellem kommunerne, idet kommunerne inden længe skal vedtage budgetterne for 2021 og overslagsårene 2022-24.</w:t>
            </w:r>
          </w:p>
          <w:p w14:paraId="33FA7FC2" w14:textId="77777777" w:rsidR="00BE439D" w:rsidRDefault="00BE439D" w:rsidP="00BE439D">
            <w:pPr>
              <w:pStyle w:val="Tabel-BrdtekstmedafstandptekstGaramond"/>
              <w:rPr>
                <w:b/>
              </w:rPr>
            </w:pPr>
          </w:p>
          <w:p w14:paraId="317ABB62" w14:textId="77777777" w:rsidR="002452D9" w:rsidRDefault="002452D9" w:rsidP="00BE439D">
            <w:pPr>
              <w:pStyle w:val="Tabel-BrdtekstmedafstandptekstGaramond"/>
              <w:rPr>
                <w:b/>
              </w:rPr>
            </w:pPr>
          </w:p>
          <w:p w14:paraId="4C7361D0" w14:textId="77777777" w:rsidR="002452D9" w:rsidRDefault="002452D9" w:rsidP="00BE439D">
            <w:pPr>
              <w:pStyle w:val="Tabel-BrdtekstmedafstandptekstGaramond"/>
              <w:rPr>
                <w:b/>
              </w:rPr>
            </w:pPr>
          </w:p>
          <w:p w14:paraId="2C03FF48" w14:textId="77777777" w:rsidR="00BE439D" w:rsidRPr="00E17DAE" w:rsidRDefault="00BE439D" w:rsidP="00BE439D">
            <w:pPr>
              <w:pStyle w:val="Tabel-BrdtekstmedafstandptekstGaramond"/>
              <w:rPr>
                <w:bCs/>
                <w:i/>
                <w:iCs/>
              </w:rPr>
            </w:pPr>
            <w:r w:rsidRPr="00E17DAE">
              <w:rPr>
                <w:bCs/>
                <w:i/>
                <w:iCs/>
              </w:rPr>
              <w:t>Forhøjelse af bundfradrag ved udlejning af fritidsboliger</w:t>
            </w:r>
          </w:p>
          <w:p w14:paraId="306543C6" w14:textId="77777777" w:rsidR="003320FB" w:rsidRPr="00B5346F" w:rsidRDefault="003320FB" w:rsidP="00DC10A2">
            <w:pPr>
              <w:pStyle w:val="Tabel-BrdtekstmedafstandptekstGaramond"/>
            </w:pPr>
            <w:r>
              <w:t>Ingen bemærkninger.</w:t>
            </w:r>
          </w:p>
        </w:tc>
        <w:tc>
          <w:tcPr>
            <w:tcW w:w="230" w:type="dxa"/>
            <w:shd w:val="clear" w:color="auto" w:fill="FFFFFF" w:themeFill="background1"/>
          </w:tcPr>
          <w:p w14:paraId="37E5DBDF" w14:textId="77777777" w:rsidR="003320FB" w:rsidRPr="00B5346F" w:rsidRDefault="003320FB" w:rsidP="00DC10A2"/>
        </w:tc>
        <w:tc>
          <w:tcPr>
            <w:tcW w:w="3443" w:type="dxa"/>
            <w:tcBorders>
              <w:bottom w:val="single" w:sz="4" w:space="0" w:color="14143C" w:themeColor="accent1"/>
            </w:tcBorders>
            <w:shd w:val="clear" w:color="auto" w:fill="D2CED8"/>
          </w:tcPr>
          <w:p w14:paraId="0830C4CB" w14:textId="6EEB930E" w:rsidR="003320FB" w:rsidRDefault="003320FB" w:rsidP="00DC10A2">
            <w:pPr>
              <w:pStyle w:val="Tabel-BrdtekstmedafstandptekstGaramond"/>
              <w:rPr>
                <w:b/>
              </w:rPr>
            </w:pPr>
          </w:p>
          <w:p w14:paraId="20078A61" w14:textId="4D83D55B" w:rsidR="002452D9" w:rsidRDefault="002452D9" w:rsidP="00DC10A2">
            <w:pPr>
              <w:pStyle w:val="Tabel-BrdtekstmedafstandptekstGaramond"/>
            </w:pPr>
          </w:p>
          <w:p w14:paraId="2EFB5F0A" w14:textId="77777777" w:rsidR="002452D9" w:rsidRDefault="002452D9" w:rsidP="00DC10A2">
            <w:pPr>
              <w:pStyle w:val="Tabel-BrdtekstmedafstandptekstGaramond"/>
            </w:pPr>
          </w:p>
          <w:p w14:paraId="7C79BC2D" w14:textId="77777777" w:rsidR="002452D9" w:rsidRDefault="002452D9" w:rsidP="00DC10A2">
            <w:pPr>
              <w:pStyle w:val="Tabel-BrdtekstmedafstandptekstGaramond"/>
            </w:pPr>
          </w:p>
          <w:p w14:paraId="6534F75E" w14:textId="77777777" w:rsidR="002452D9" w:rsidRDefault="002452D9" w:rsidP="00DC10A2">
            <w:pPr>
              <w:pStyle w:val="Tabel-BrdtekstmedafstandptekstGaramond"/>
            </w:pPr>
          </w:p>
          <w:p w14:paraId="3C02B614" w14:textId="77777777" w:rsidR="002452D9" w:rsidRDefault="002452D9" w:rsidP="00DC10A2">
            <w:pPr>
              <w:pStyle w:val="Tabel-BrdtekstmedafstandptekstGaramond"/>
            </w:pPr>
          </w:p>
          <w:p w14:paraId="4F0FEA71" w14:textId="77777777" w:rsidR="002452D9" w:rsidRDefault="002452D9" w:rsidP="00DC10A2">
            <w:pPr>
              <w:pStyle w:val="Tabel-BrdtekstmedafstandptekstGaramond"/>
            </w:pPr>
          </w:p>
          <w:p w14:paraId="30A1CE56" w14:textId="77777777" w:rsidR="002452D9" w:rsidRDefault="002452D9" w:rsidP="00DC10A2">
            <w:pPr>
              <w:pStyle w:val="Tabel-BrdtekstmedafstandptekstGaramond"/>
            </w:pPr>
          </w:p>
          <w:p w14:paraId="4A75988D" w14:textId="77777777" w:rsidR="002452D9" w:rsidRDefault="002452D9" w:rsidP="00DC10A2">
            <w:pPr>
              <w:pStyle w:val="Tabel-BrdtekstmedafstandptekstGaramond"/>
            </w:pPr>
          </w:p>
          <w:p w14:paraId="1C6A34DD" w14:textId="77777777" w:rsidR="002452D9" w:rsidRDefault="002452D9" w:rsidP="00DC10A2">
            <w:pPr>
              <w:pStyle w:val="Tabel-BrdtekstmedafstandptekstGaramond"/>
            </w:pPr>
          </w:p>
          <w:p w14:paraId="51FA5DDC" w14:textId="5C547438" w:rsidR="00BE439D" w:rsidRPr="00BE439D" w:rsidRDefault="00B8147C" w:rsidP="00DC10A2">
            <w:pPr>
              <w:pStyle w:val="Tabel-BrdtekstmedafstandptekstGaramond"/>
            </w:pPr>
            <w:r>
              <w:t xml:space="preserve">Der foreligger ikke umiddelbart et grundlag, der muliggør en fordeling på kommuner af de økonomiske konsekvenser af det forhøjede </w:t>
            </w:r>
            <w:proofErr w:type="spellStart"/>
            <w:r>
              <w:t>FoU</w:t>
            </w:r>
            <w:proofErr w:type="spellEnd"/>
            <w:r>
              <w:t xml:space="preserve">-fradrag. Skatteministeriet er dog indstillet på i en dialog med KL at afdække eventuelle muligheder for at skønne over fordelingen. </w:t>
            </w:r>
          </w:p>
        </w:tc>
      </w:tr>
      <w:tr w:rsidR="006D791F" w:rsidRPr="00B5346F" w14:paraId="7784916D" w14:textId="77777777" w:rsidTr="003326BB">
        <w:tc>
          <w:tcPr>
            <w:tcW w:w="2310" w:type="dxa"/>
            <w:tcBorders>
              <w:bottom w:val="single" w:sz="4" w:space="0" w:color="D1C5C3" w:themeColor="accent3"/>
            </w:tcBorders>
            <w:shd w:val="clear" w:color="auto" w:fill="FBF9F9"/>
          </w:tcPr>
          <w:p w14:paraId="1ED64185" w14:textId="1E8532E7" w:rsidR="006D791F" w:rsidRDefault="006D791F" w:rsidP="00DC10A2">
            <w:pPr>
              <w:pStyle w:val="Tabel-BrdtekstmedafstandptekstGaramond"/>
              <w:rPr>
                <w:i/>
                <w:szCs w:val="22"/>
              </w:rPr>
            </w:pPr>
            <w:r>
              <w:rPr>
                <w:i/>
                <w:szCs w:val="22"/>
              </w:rPr>
              <w:t xml:space="preserve">KPMG – Acor </w:t>
            </w:r>
            <w:proofErr w:type="spellStart"/>
            <w:r>
              <w:rPr>
                <w:i/>
                <w:szCs w:val="22"/>
              </w:rPr>
              <w:t>Tax</w:t>
            </w:r>
            <w:proofErr w:type="spellEnd"/>
          </w:p>
        </w:tc>
        <w:tc>
          <w:tcPr>
            <w:tcW w:w="213" w:type="dxa"/>
            <w:shd w:val="clear" w:color="auto" w:fill="FFFFFF" w:themeFill="background1"/>
          </w:tcPr>
          <w:p w14:paraId="1C9C4CCE" w14:textId="77777777" w:rsidR="006D791F" w:rsidRPr="00B5346F" w:rsidRDefault="006D791F" w:rsidP="00DC10A2"/>
        </w:tc>
        <w:tc>
          <w:tcPr>
            <w:tcW w:w="3443" w:type="dxa"/>
            <w:tcBorders>
              <w:bottom w:val="single" w:sz="4" w:space="0" w:color="D1C5C3" w:themeColor="accent3"/>
            </w:tcBorders>
            <w:shd w:val="clear" w:color="auto" w:fill="FBF9F9"/>
          </w:tcPr>
          <w:p w14:paraId="76FE989D" w14:textId="77777777" w:rsidR="006D791F" w:rsidRPr="00E17DAE" w:rsidRDefault="006D791F" w:rsidP="00BE439D">
            <w:pPr>
              <w:pStyle w:val="Tabel-BrdtekstmedafstandptekstGaramond"/>
              <w:rPr>
                <w:bCs/>
                <w:i/>
                <w:iCs/>
              </w:rPr>
            </w:pPr>
            <w:proofErr w:type="spellStart"/>
            <w:r w:rsidRPr="00E17DAE">
              <w:rPr>
                <w:bCs/>
                <w:i/>
                <w:iCs/>
              </w:rPr>
              <w:t>FoU</w:t>
            </w:r>
            <w:proofErr w:type="spellEnd"/>
          </w:p>
          <w:p w14:paraId="6EF55DF1" w14:textId="21DEBC81" w:rsidR="0076614F" w:rsidRDefault="0076614F" w:rsidP="00BE439D">
            <w:pPr>
              <w:pStyle w:val="Tabel-BrdtekstmedafstandptekstGaramond"/>
            </w:pPr>
            <w:r>
              <w:t xml:space="preserve">KPMG fremsætter overordnet et ønske om en tydeliggørelse af reglerne i ligningslovens § 8 B, </w:t>
            </w:r>
            <w:proofErr w:type="gramStart"/>
            <w:r>
              <w:t>således at</w:t>
            </w:r>
            <w:proofErr w:type="gramEnd"/>
            <w:r>
              <w:t xml:space="preserve"> det fremstår mere klart, hvilke udgifter der er omfattet af det forhøjede fradrag for forsøgs- og forskningsvirksomhed. Navnlig ift. produktionsteknologi, processer, udvikling af software og ifm. den grønne omstilling. </w:t>
            </w:r>
          </w:p>
          <w:p w14:paraId="78F25BD4" w14:textId="77777777" w:rsidR="0076614F" w:rsidRDefault="0076614F" w:rsidP="00BE439D">
            <w:pPr>
              <w:pStyle w:val="Tabel-BrdtekstmedafstandptekstGaramond"/>
            </w:pPr>
          </w:p>
          <w:p w14:paraId="04B9D259" w14:textId="02E25990" w:rsidR="0076614F" w:rsidRDefault="0076614F" w:rsidP="00BE439D">
            <w:pPr>
              <w:pStyle w:val="Tabel-BrdtekstmedafstandptekstGaramond"/>
            </w:pPr>
            <w:r>
              <w:t>Derudover kommer KPMG med en kritik af Skattestyrelsens fortolkning af reglerne</w:t>
            </w:r>
            <w:r w:rsidR="00096D65">
              <w:t>. E</w:t>
            </w:r>
            <w:r>
              <w:t xml:space="preserve">fter </w:t>
            </w:r>
            <w:proofErr w:type="spellStart"/>
            <w:r>
              <w:t>KPMG’s</w:t>
            </w:r>
            <w:proofErr w:type="spellEnd"/>
            <w:r>
              <w:t xml:space="preserve"> vurdering forsøger</w:t>
            </w:r>
            <w:r w:rsidR="00096D65">
              <w:t xml:space="preserve"> Skattestyrelsen</w:t>
            </w:r>
            <w:r>
              <w:t xml:space="preserve"> at skabe en praksis, hvor ligningslovens § 8 B alene finder anvendelse for udvikling af nye produkter</w:t>
            </w:r>
            <w:r w:rsidR="00096D65">
              <w:t>. Der er endvidere</w:t>
            </w:r>
            <w:r>
              <w:t xml:space="preserve"> efter </w:t>
            </w:r>
            <w:proofErr w:type="spellStart"/>
            <w:r>
              <w:t>KPMG’s</w:t>
            </w:r>
            <w:proofErr w:type="spellEnd"/>
            <w:r>
              <w:t xml:space="preserve"> opfattelse </w:t>
            </w:r>
            <w:r w:rsidR="00096D65">
              <w:t xml:space="preserve">tale om en praksis, der </w:t>
            </w:r>
            <w:r>
              <w:t xml:space="preserve">ikke er transparent for alle aktører. </w:t>
            </w:r>
          </w:p>
          <w:p w14:paraId="7BE86EFD" w14:textId="77777777" w:rsidR="009075DD" w:rsidRDefault="009075DD" w:rsidP="00BE439D">
            <w:pPr>
              <w:pStyle w:val="Tabel-BrdtekstmedafstandptekstGaramond"/>
            </w:pPr>
          </w:p>
          <w:p w14:paraId="48FB3B84" w14:textId="77777777" w:rsidR="009075DD" w:rsidRDefault="009075DD" w:rsidP="009075DD">
            <w:pPr>
              <w:pStyle w:val="Tabel-BrdtekstmedafstandptekstGaramond"/>
              <w:rPr>
                <w:iCs/>
                <w:szCs w:val="22"/>
              </w:rPr>
            </w:pPr>
            <w:r>
              <w:rPr>
                <w:iCs/>
                <w:szCs w:val="22"/>
              </w:rPr>
              <w:t>I forhold til Skatteministeriets provenuberegninger spørger KPMG om skatte</w:t>
            </w:r>
            <w:r w:rsidRPr="005C5F30">
              <w:rPr>
                <w:iCs/>
                <w:szCs w:val="22"/>
              </w:rPr>
              <w:t>ministeren</w:t>
            </w:r>
            <w:r>
              <w:rPr>
                <w:iCs/>
                <w:szCs w:val="22"/>
              </w:rPr>
              <w:t xml:space="preserve"> kan</w:t>
            </w:r>
            <w:r w:rsidRPr="005C5F30">
              <w:rPr>
                <w:iCs/>
                <w:szCs w:val="22"/>
              </w:rPr>
              <w:t xml:space="preserve"> bekræfte, at skatteministeriets provenuberegninger over anvendelsesmulighed for det forhøjede forskningsfradrag tager udgangspunkt i de af Danmarks Statistik opgjorte udgifter, som virksomhederne anvender til </w:t>
            </w:r>
            <w:proofErr w:type="spellStart"/>
            <w:r w:rsidRPr="005C5F30">
              <w:rPr>
                <w:iCs/>
                <w:szCs w:val="22"/>
              </w:rPr>
              <w:t>FoU</w:t>
            </w:r>
            <w:proofErr w:type="spellEnd"/>
            <w:r w:rsidRPr="005C5F30">
              <w:rPr>
                <w:iCs/>
                <w:szCs w:val="22"/>
              </w:rPr>
              <w:t xml:space="preserve">, og hvor afgrænsningen og indberetningen til Danmarks Statistik skal følge principperne i Frascati-manualen, som indeholder OECD's definition af </w:t>
            </w:r>
            <w:proofErr w:type="spellStart"/>
            <w:r w:rsidRPr="005C5F30">
              <w:rPr>
                <w:iCs/>
                <w:szCs w:val="22"/>
              </w:rPr>
              <w:t>FoU</w:t>
            </w:r>
            <w:proofErr w:type="spellEnd"/>
            <w:r w:rsidRPr="005C5F30">
              <w:rPr>
                <w:iCs/>
                <w:szCs w:val="22"/>
              </w:rPr>
              <w:t>?</w:t>
            </w:r>
          </w:p>
          <w:p w14:paraId="1EF6CEBB" w14:textId="3FF5D5E1" w:rsidR="009075DD" w:rsidRDefault="009075DD" w:rsidP="00BE439D">
            <w:pPr>
              <w:pStyle w:val="Tabel-BrdtekstmedafstandptekstGaramond"/>
            </w:pPr>
          </w:p>
          <w:p w14:paraId="1D0F12A6" w14:textId="77777777" w:rsidR="009075DD" w:rsidRDefault="009075DD" w:rsidP="00BE439D">
            <w:pPr>
              <w:pStyle w:val="Tabel-BrdtekstmedafstandptekstGaramond"/>
            </w:pPr>
          </w:p>
          <w:p w14:paraId="333B4B3C" w14:textId="5DC69B2D" w:rsidR="00E56298" w:rsidRPr="00E56298" w:rsidRDefault="009075DD" w:rsidP="009075DD">
            <w:pPr>
              <w:pStyle w:val="Tabel-BrdtekstmedafstandptekstGaramond"/>
            </w:pPr>
            <w:r>
              <w:t>Derudover opstiller KPMG en række konkrete eksempler og spørgsmål, hvor der ønskes svar på den skattemæssige behandling i de konkrete eksemp</w:t>
            </w:r>
            <w:r w:rsidR="00096D65">
              <w:t>ler</w:t>
            </w:r>
            <w:r>
              <w:t xml:space="preserve">. </w:t>
            </w:r>
          </w:p>
        </w:tc>
        <w:tc>
          <w:tcPr>
            <w:tcW w:w="230" w:type="dxa"/>
            <w:shd w:val="clear" w:color="auto" w:fill="FFFFFF" w:themeFill="background1"/>
          </w:tcPr>
          <w:p w14:paraId="04C212D2" w14:textId="77777777" w:rsidR="006D791F" w:rsidRPr="00B5346F" w:rsidRDefault="006D791F" w:rsidP="00DC10A2"/>
        </w:tc>
        <w:tc>
          <w:tcPr>
            <w:tcW w:w="3443" w:type="dxa"/>
            <w:tcBorders>
              <w:bottom w:val="single" w:sz="4" w:space="0" w:color="14143C" w:themeColor="accent1"/>
            </w:tcBorders>
            <w:shd w:val="clear" w:color="auto" w:fill="D2CED8"/>
          </w:tcPr>
          <w:p w14:paraId="6455CE0E" w14:textId="77777777" w:rsidR="006D791F" w:rsidRDefault="006D791F" w:rsidP="00DC10A2">
            <w:pPr>
              <w:pStyle w:val="Tabel-BrdtekstmedafstandptekstGaramond"/>
              <w:rPr>
                <w:b/>
              </w:rPr>
            </w:pPr>
          </w:p>
          <w:p w14:paraId="0B500EBE" w14:textId="017C3FC8" w:rsidR="00FC28ED" w:rsidRPr="002452D9" w:rsidRDefault="002452D9" w:rsidP="00DC10A2">
            <w:pPr>
              <w:pStyle w:val="Tabel-BrdtekstmedafstandptekstGaramond"/>
            </w:pPr>
            <w:r>
              <w:t>Der henvises til besvarelsen af høringssvaret fra DE.</w:t>
            </w:r>
          </w:p>
          <w:p w14:paraId="1DB45963" w14:textId="77777777" w:rsidR="00FC28ED" w:rsidRDefault="00FC28ED" w:rsidP="00DC10A2">
            <w:pPr>
              <w:pStyle w:val="Tabel-BrdtekstmedafstandptekstGaramond"/>
              <w:rPr>
                <w:b/>
              </w:rPr>
            </w:pPr>
          </w:p>
          <w:p w14:paraId="533DB7A6" w14:textId="77777777" w:rsidR="00FC28ED" w:rsidRDefault="00FC28ED" w:rsidP="00DC10A2">
            <w:pPr>
              <w:pStyle w:val="Tabel-BrdtekstmedafstandptekstGaramond"/>
              <w:rPr>
                <w:b/>
              </w:rPr>
            </w:pPr>
          </w:p>
          <w:p w14:paraId="5CCEACC2" w14:textId="77777777" w:rsidR="00FC28ED" w:rsidRDefault="00FC28ED" w:rsidP="00DC10A2">
            <w:pPr>
              <w:pStyle w:val="Tabel-BrdtekstmedafstandptekstGaramond"/>
              <w:rPr>
                <w:b/>
              </w:rPr>
            </w:pPr>
          </w:p>
          <w:p w14:paraId="7636949C" w14:textId="77777777" w:rsidR="00FC28ED" w:rsidRDefault="00FC28ED" w:rsidP="00DC10A2">
            <w:pPr>
              <w:pStyle w:val="Tabel-BrdtekstmedafstandptekstGaramond"/>
              <w:rPr>
                <w:b/>
              </w:rPr>
            </w:pPr>
          </w:p>
          <w:p w14:paraId="68FF6DEA" w14:textId="77777777" w:rsidR="00FC28ED" w:rsidRDefault="00FC28ED" w:rsidP="00DC10A2">
            <w:pPr>
              <w:pStyle w:val="Tabel-BrdtekstmedafstandptekstGaramond"/>
              <w:rPr>
                <w:b/>
              </w:rPr>
            </w:pPr>
          </w:p>
          <w:p w14:paraId="155C115F" w14:textId="77777777" w:rsidR="00FC28ED" w:rsidRDefault="00FC28ED" w:rsidP="00DC10A2">
            <w:pPr>
              <w:pStyle w:val="Tabel-BrdtekstmedafstandptekstGaramond"/>
              <w:rPr>
                <w:b/>
              </w:rPr>
            </w:pPr>
          </w:p>
          <w:p w14:paraId="2FE13619" w14:textId="77777777" w:rsidR="00FC28ED" w:rsidRDefault="00FC28ED" w:rsidP="00DC10A2">
            <w:pPr>
              <w:pStyle w:val="Tabel-BrdtekstmedafstandptekstGaramond"/>
              <w:rPr>
                <w:b/>
              </w:rPr>
            </w:pPr>
          </w:p>
          <w:p w14:paraId="751AAEBB" w14:textId="77777777" w:rsidR="00FC28ED" w:rsidRDefault="00FC28ED" w:rsidP="00DC10A2">
            <w:pPr>
              <w:pStyle w:val="Tabel-BrdtekstmedafstandptekstGaramond"/>
              <w:rPr>
                <w:b/>
              </w:rPr>
            </w:pPr>
          </w:p>
          <w:p w14:paraId="1E4490EB" w14:textId="77777777" w:rsidR="00FC28ED" w:rsidRDefault="00FC28ED" w:rsidP="00DC10A2">
            <w:pPr>
              <w:pStyle w:val="Tabel-BrdtekstmedafstandptekstGaramond"/>
              <w:rPr>
                <w:b/>
              </w:rPr>
            </w:pPr>
          </w:p>
          <w:p w14:paraId="70DE3BE8" w14:textId="77777777" w:rsidR="00FC28ED" w:rsidRDefault="00FC28ED" w:rsidP="00DC10A2">
            <w:pPr>
              <w:pStyle w:val="Tabel-BrdtekstmedafstandptekstGaramond"/>
              <w:rPr>
                <w:b/>
              </w:rPr>
            </w:pPr>
          </w:p>
          <w:p w14:paraId="4B0825E7" w14:textId="77777777" w:rsidR="00FC28ED" w:rsidRDefault="00FC28ED" w:rsidP="00DC10A2">
            <w:pPr>
              <w:pStyle w:val="Tabel-BrdtekstmedafstandptekstGaramond"/>
              <w:rPr>
                <w:b/>
              </w:rPr>
            </w:pPr>
          </w:p>
          <w:p w14:paraId="4EFBAE4D" w14:textId="77777777" w:rsidR="00FC28ED" w:rsidRDefault="00FC28ED" w:rsidP="00DC10A2">
            <w:pPr>
              <w:pStyle w:val="Tabel-BrdtekstmedafstandptekstGaramond"/>
              <w:rPr>
                <w:b/>
              </w:rPr>
            </w:pPr>
          </w:p>
          <w:p w14:paraId="2515671F" w14:textId="77777777" w:rsidR="00FC28ED" w:rsidRDefault="00FC28ED" w:rsidP="00DC10A2">
            <w:pPr>
              <w:pStyle w:val="Tabel-BrdtekstmedafstandptekstGaramond"/>
              <w:rPr>
                <w:b/>
              </w:rPr>
            </w:pPr>
          </w:p>
          <w:p w14:paraId="4F48CC45" w14:textId="77777777" w:rsidR="00FC28ED" w:rsidRDefault="00FC28ED" w:rsidP="00DC10A2">
            <w:pPr>
              <w:pStyle w:val="Tabel-BrdtekstmedafstandptekstGaramond"/>
              <w:rPr>
                <w:b/>
              </w:rPr>
            </w:pPr>
          </w:p>
          <w:p w14:paraId="6BF02462" w14:textId="01679F1E" w:rsidR="00FC28ED" w:rsidRDefault="00FC28ED" w:rsidP="00DC10A2">
            <w:pPr>
              <w:pStyle w:val="Tabel-BrdtekstmedafstandptekstGaramond"/>
              <w:rPr>
                <w:b/>
              </w:rPr>
            </w:pPr>
          </w:p>
          <w:p w14:paraId="7F4FF3DF" w14:textId="68FE59AF" w:rsidR="00096D65" w:rsidRDefault="00096D65" w:rsidP="00DC10A2">
            <w:pPr>
              <w:pStyle w:val="Tabel-BrdtekstmedafstandptekstGaramond"/>
              <w:rPr>
                <w:b/>
              </w:rPr>
            </w:pPr>
          </w:p>
          <w:p w14:paraId="00C36F50" w14:textId="6F4BA3BF" w:rsidR="00096D65" w:rsidRDefault="00096D65" w:rsidP="00DC10A2">
            <w:pPr>
              <w:pStyle w:val="Tabel-BrdtekstmedafstandptekstGaramond"/>
              <w:rPr>
                <w:b/>
              </w:rPr>
            </w:pPr>
          </w:p>
          <w:p w14:paraId="43D5BD43" w14:textId="77777777" w:rsidR="00096D65" w:rsidRDefault="00096D65" w:rsidP="00DC10A2">
            <w:pPr>
              <w:pStyle w:val="Tabel-BrdtekstmedafstandptekstGaramond"/>
              <w:rPr>
                <w:b/>
              </w:rPr>
            </w:pPr>
          </w:p>
          <w:p w14:paraId="6EE4A73C" w14:textId="77777777" w:rsidR="00FC28ED" w:rsidRDefault="00FC28ED" w:rsidP="00DC10A2">
            <w:pPr>
              <w:pStyle w:val="Tabel-BrdtekstmedafstandptekstGaramond"/>
              <w:rPr>
                <w:b/>
              </w:rPr>
            </w:pPr>
          </w:p>
          <w:p w14:paraId="692D94CB" w14:textId="77777777" w:rsidR="00FC28ED" w:rsidRDefault="00FC28ED" w:rsidP="00DC10A2">
            <w:pPr>
              <w:pStyle w:val="Tabel-BrdtekstmedafstandptekstGaramond"/>
              <w:rPr>
                <w:b/>
              </w:rPr>
            </w:pPr>
          </w:p>
          <w:p w14:paraId="698728D5" w14:textId="77777777" w:rsidR="00FC28ED" w:rsidRDefault="00FC28ED" w:rsidP="00DC10A2">
            <w:pPr>
              <w:pStyle w:val="Tabel-BrdtekstmedafstandptekstGaramond"/>
              <w:rPr>
                <w:b/>
              </w:rPr>
            </w:pPr>
          </w:p>
          <w:p w14:paraId="78E6C866" w14:textId="1E14E1BD" w:rsidR="00FC28ED" w:rsidRDefault="009075DD" w:rsidP="00DC10A2">
            <w:pPr>
              <w:pStyle w:val="Tabel-BrdtekstmedafstandptekstGaramond"/>
            </w:pPr>
            <w:r w:rsidRPr="009075DD">
              <w:t>Det er rigtigt</w:t>
            </w:r>
            <w:r w:rsidR="0000663E">
              <w:t>,</w:t>
            </w:r>
            <w:r w:rsidRPr="009075DD">
              <w:t xml:space="preserve"> at der i provenuvurderingen er taget udgangspunkt </w:t>
            </w:r>
            <w:r w:rsidR="0000663E">
              <w:t xml:space="preserve">i </w:t>
            </w:r>
            <w:r w:rsidRPr="009075DD">
              <w:t xml:space="preserve">Danmarks Statistiks opgørelse af </w:t>
            </w:r>
            <w:proofErr w:type="spellStart"/>
            <w:r w:rsidRPr="009075DD">
              <w:t>FoU</w:t>
            </w:r>
            <w:proofErr w:type="spellEnd"/>
            <w:r w:rsidRPr="009075DD">
              <w:t>-fradraget. Det skal dog understreges</w:t>
            </w:r>
            <w:r>
              <w:t>,</w:t>
            </w:r>
            <w:r w:rsidRPr="009075DD">
              <w:t xml:space="preserve"> at dette grundlag og dermed provenuvurderingen er forbundet med betydelig usikkerhed</w:t>
            </w:r>
            <w:r>
              <w:t xml:space="preserve">, herunder fordi afgrænsningen af </w:t>
            </w:r>
            <w:proofErr w:type="spellStart"/>
            <w:r>
              <w:t>FoU</w:t>
            </w:r>
            <w:proofErr w:type="spellEnd"/>
            <w:r>
              <w:t xml:space="preserve">-fradraget ikke nødvendigvis er den samme som danner grundlag for Danmarks Statistiks opgørelse og som følge af udsving i </w:t>
            </w:r>
            <w:proofErr w:type="spellStart"/>
            <w:r>
              <w:t>FoU</w:t>
            </w:r>
            <w:proofErr w:type="spellEnd"/>
            <w:r>
              <w:t>-udgifterne over tid. Det vurderes dog at være en fornuftig approksimation.</w:t>
            </w:r>
          </w:p>
          <w:p w14:paraId="7F381456" w14:textId="2770C9C7" w:rsidR="00096D65" w:rsidRDefault="00096D65" w:rsidP="00DC10A2">
            <w:pPr>
              <w:pStyle w:val="Tabel-BrdtekstmedafstandptekstGaramond"/>
              <w:rPr>
                <w:b/>
              </w:rPr>
            </w:pPr>
          </w:p>
          <w:p w14:paraId="56EC28AC" w14:textId="77777777" w:rsidR="00E17DAE" w:rsidRDefault="00E17DAE" w:rsidP="00DC10A2">
            <w:pPr>
              <w:pStyle w:val="Tabel-BrdtekstmedafstandptekstGaramond"/>
              <w:rPr>
                <w:bCs/>
              </w:rPr>
            </w:pPr>
          </w:p>
          <w:p w14:paraId="2458A37C" w14:textId="4DC73C12" w:rsidR="00FC28ED" w:rsidRPr="009075DD" w:rsidRDefault="00096D65" w:rsidP="00E17DAE">
            <w:pPr>
              <w:pStyle w:val="Tabel-BrdtekstmedafstandptekstGaramond"/>
              <w:rPr>
                <w:b/>
              </w:rPr>
            </w:pPr>
            <w:r>
              <w:rPr>
                <w:bCs/>
              </w:rPr>
              <w:t xml:space="preserve">Der er ikke mulighed for i forbindelse med lovbehandlingen af det konkrete lovforslag på fyldestgørende vis at tage stilling til en række konkrete situationer, som kun er summarisk beskrevet. </w:t>
            </w:r>
            <w:r w:rsidR="00AC4C51">
              <w:rPr>
                <w:bCs/>
              </w:rPr>
              <w:t xml:space="preserve">Der må henvises til, at </w:t>
            </w:r>
            <w:proofErr w:type="gramStart"/>
            <w:r w:rsidR="00AC4C51">
              <w:rPr>
                <w:bCs/>
              </w:rPr>
              <w:t>såfremt</w:t>
            </w:r>
            <w:proofErr w:type="gramEnd"/>
            <w:r w:rsidR="00AC4C51">
              <w:rPr>
                <w:bCs/>
              </w:rPr>
              <w:t xml:space="preserve"> der er usikkerhed om, hvorvidt der er tale om en udgift, der kan fradrages som en forsøgs- og forskningsudgift, er der mulighed for at anmode om et bindende svar herom fra Skatteforvaltningen.</w:t>
            </w:r>
            <w:r w:rsidR="00FC505B">
              <w:rPr>
                <w:bCs/>
              </w:rPr>
              <w:t xml:space="preserve"> </w:t>
            </w:r>
          </w:p>
        </w:tc>
      </w:tr>
      <w:tr w:rsidR="00567FE3" w:rsidRPr="00B5346F" w14:paraId="2EA6AF1A" w14:textId="77777777" w:rsidTr="003326BB">
        <w:tc>
          <w:tcPr>
            <w:tcW w:w="2310" w:type="dxa"/>
            <w:tcBorders>
              <w:bottom w:val="single" w:sz="4" w:space="0" w:color="D1C5C3" w:themeColor="accent3"/>
            </w:tcBorders>
            <w:shd w:val="clear" w:color="auto" w:fill="FBF9F9"/>
          </w:tcPr>
          <w:p w14:paraId="6266B61A" w14:textId="324CD0C3" w:rsidR="00567FE3" w:rsidRPr="00227E73" w:rsidRDefault="00567FE3" w:rsidP="00DC10A2">
            <w:pPr>
              <w:pStyle w:val="Tabel-BrdtekstmedafstandptekstGaramond"/>
              <w:rPr>
                <w:i/>
                <w:szCs w:val="22"/>
              </w:rPr>
            </w:pPr>
            <w:r w:rsidRPr="00227E73">
              <w:rPr>
                <w:i/>
                <w:szCs w:val="22"/>
              </w:rPr>
              <w:t xml:space="preserve">Landbrug </w:t>
            </w:r>
            <w:r w:rsidR="002D3744" w:rsidRPr="002D3744">
              <w:rPr>
                <w:rFonts w:cs="Helvetica"/>
                <w:szCs w:val="22"/>
              </w:rPr>
              <w:t>&amp;</w:t>
            </w:r>
            <w:r w:rsidRPr="00227E73">
              <w:rPr>
                <w:i/>
                <w:szCs w:val="22"/>
              </w:rPr>
              <w:t xml:space="preserve"> Fødevarer</w:t>
            </w:r>
            <w:r w:rsidR="002D3744">
              <w:rPr>
                <w:i/>
                <w:szCs w:val="22"/>
              </w:rPr>
              <w:t xml:space="preserve"> (</w:t>
            </w:r>
            <w:r w:rsidR="002D3744" w:rsidRPr="002D3744">
              <w:rPr>
                <w:iCs/>
                <w:szCs w:val="22"/>
              </w:rPr>
              <w:t>L</w:t>
            </w:r>
            <w:r w:rsidR="002D3744" w:rsidRPr="002D3744">
              <w:rPr>
                <w:rFonts w:cs="Helvetica"/>
                <w:iCs/>
                <w:szCs w:val="22"/>
              </w:rPr>
              <w:t>&amp;F)</w:t>
            </w:r>
          </w:p>
        </w:tc>
        <w:tc>
          <w:tcPr>
            <w:tcW w:w="213" w:type="dxa"/>
            <w:shd w:val="clear" w:color="auto" w:fill="FFFFFF" w:themeFill="background1"/>
          </w:tcPr>
          <w:p w14:paraId="1964E082" w14:textId="77777777" w:rsidR="00567FE3" w:rsidRPr="00B5346F" w:rsidRDefault="00567FE3" w:rsidP="00DC10A2"/>
        </w:tc>
        <w:tc>
          <w:tcPr>
            <w:tcW w:w="3443" w:type="dxa"/>
            <w:tcBorders>
              <w:bottom w:val="single" w:sz="4" w:space="0" w:color="D1C5C3" w:themeColor="accent3"/>
            </w:tcBorders>
            <w:shd w:val="clear" w:color="auto" w:fill="FBF9F9"/>
          </w:tcPr>
          <w:p w14:paraId="69E61D66" w14:textId="77777777" w:rsidR="00E57865" w:rsidRPr="00E17DAE" w:rsidRDefault="00E57865" w:rsidP="00E57865">
            <w:pPr>
              <w:pStyle w:val="Tabel-BrdtekstmedafstandptekstGaramond"/>
              <w:rPr>
                <w:bCs/>
                <w:i/>
                <w:iCs/>
                <w:szCs w:val="22"/>
              </w:rPr>
            </w:pPr>
            <w:proofErr w:type="spellStart"/>
            <w:r w:rsidRPr="00E17DAE">
              <w:rPr>
                <w:bCs/>
                <w:i/>
                <w:iCs/>
                <w:szCs w:val="22"/>
              </w:rPr>
              <w:t>FoU</w:t>
            </w:r>
            <w:proofErr w:type="spellEnd"/>
          </w:p>
          <w:p w14:paraId="4EB4346A" w14:textId="59451429" w:rsidR="00E57865" w:rsidRPr="00E57865" w:rsidRDefault="00E57865" w:rsidP="00E57865">
            <w:pPr>
              <w:pStyle w:val="Tabel-BrdtekstmedafstandptekstGaramond"/>
              <w:rPr>
                <w:szCs w:val="22"/>
              </w:rPr>
            </w:pPr>
            <w:r>
              <w:rPr>
                <w:szCs w:val="22"/>
              </w:rPr>
              <w:t xml:space="preserve">Landbrug og Fødevarer har ikke bemærkninger til denne del af lovforslaget. </w:t>
            </w:r>
          </w:p>
          <w:p w14:paraId="3C02B3B0" w14:textId="77777777" w:rsidR="00E57865" w:rsidRDefault="00E57865" w:rsidP="00E57865">
            <w:pPr>
              <w:pStyle w:val="Tabel-BrdtekstmedafstandptekstGaramond"/>
              <w:rPr>
                <w:b/>
                <w:szCs w:val="22"/>
              </w:rPr>
            </w:pPr>
          </w:p>
          <w:p w14:paraId="31DCF5F5" w14:textId="77777777" w:rsidR="00E57865" w:rsidRPr="00E17DAE" w:rsidRDefault="00E57865" w:rsidP="00E57865">
            <w:pPr>
              <w:pStyle w:val="Tabel-BrdtekstmedafstandptekstGaramond"/>
              <w:rPr>
                <w:bCs/>
                <w:i/>
                <w:iCs/>
                <w:szCs w:val="22"/>
              </w:rPr>
            </w:pPr>
            <w:r w:rsidRPr="00E17DAE">
              <w:rPr>
                <w:bCs/>
                <w:i/>
                <w:iCs/>
                <w:szCs w:val="22"/>
              </w:rPr>
              <w:t>Forhøjelse af bundfradrag ved udlejning af fritidsboliger</w:t>
            </w:r>
          </w:p>
          <w:p w14:paraId="04D491B2" w14:textId="77777777" w:rsidR="00E57865" w:rsidRDefault="00E57865" w:rsidP="00DC10A2">
            <w:pPr>
              <w:pStyle w:val="Tabel-BrdtekstmedafstandptekstGaramond"/>
              <w:rPr>
                <w:b/>
                <w:bCs/>
              </w:rPr>
            </w:pPr>
          </w:p>
          <w:p w14:paraId="7F030EBE" w14:textId="2E837DF7" w:rsidR="002D3744" w:rsidRDefault="00E17DAE" w:rsidP="002D3744">
            <w:pPr>
              <w:pStyle w:val="Tabel-BrdtekstmedafstandptekstGaramond"/>
              <w:rPr>
                <w:rFonts w:cs="Helvetica"/>
                <w:szCs w:val="22"/>
              </w:rPr>
            </w:pPr>
            <w:r>
              <w:rPr>
                <w:rFonts w:cs="Helvetica"/>
                <w:szCs w:val="22"/>
              </w:rPr>
              <w:t>L&amp;F anfører, at f</w:t>
            </w:r>
            <w:r w:rsidR="00543389" w:rsidRPr="002D3744">
              <w:rPr>
                <w:rFonts w:cs="Helvetica"/>
                <w:szCs w:val="22"/>
              </w:rPr>
              <w:t>or at give de private udlejere af fritidsboliger en økonomisk håndsrækning foreslås det i</w:t>
            </w:r>
            <w:r w:rsidR="002D3744">
              <w:rPr>
                <w:rFonts w:cs="Helvetica"/>
                <w:szCs w:val="22"/>
              </w:rPr>
              <w:t xml:space="preserve"> </w:t>
            </w:r>
            <w:r w:rsidR="00543389" w:rsidRPr="002D3744">
              <w:rPr>
                <w:rFonts w:cs="Helvetica"/>
                <w:szCs w:val="22"/>
              </w:rPr>
              <w:t>indkomståret 2020 midlertidigt at forhøje bundfradraget ved udlejning af sommerhuse, med henblik</w:t>
            </w:r>
            <w:r w:rsidR="002D3744">
              <w:rPr>
                <w:rFonts w:cs="Helvetica"/>
                <w:szCs w:val="22"/>
              </w:rPr>
              <w:t xml:space="preserve"> </w:t>
            </w:r>
            <w:r w:rsidR="00543389" w:rsidRPr="002D3744">
              <w:rPr>
                <w:rFonts w:cs="Helvetica"/>
                <w:szCs w:val="22"/>
              </w:rPr>
              <w:t>på at øge tilskyndelsen til at udleje sommerhus i 2020 for at skabe mere aktivitet og beskæftigelse i</w:t>
            </w:r>
            <w:r w:rsidR="002D3744">
              <w:rPr>
                <w:rFonts w:cs="Helvetica"/>
                <w:szCs w:val="22"/>
              </w:rPr>
              <w:t xml:space="preserve"> </w:t>
            </w:r>
            <w:r w:rsidR="00543389" w:rsidRPr="002D3744">
              <w:rPr>
                <w:rFonts w:cs="Helvetica"/>
                <w:szCs w:val="22"/>
              </w:rPr>
              <w:t>sommerhusområderne.</w:t>
            </w:r>
          </w:p>
          <w:p w14:paraId="3359832A" w14:textId="77777777" w:rsidR="002D3744" w:rsidRDefault="002D3744" w:rsidP="002D3744">
            <w:pPr>
              <w:pStyle w:val="Tabel-BrdtekstmedafstandptekstGaramond"/>
              <w:rPr>
                <w:rFonts w:cs="Helvetica"/>
                <w:szCs w:val="22"/>
              </w:rPr>
            </w:pPr>
          </w:p>
          <w:p w14:paraId="0C09AAB8" w14:textId="2FE51315" w:rsidR="002D3744" w:rsidRDefault="002D3744" w:rsidP="002D3744">
            <w:pPr>
              <w:pStyle w:val="Tabel-BrdtekstmedafstandptekstGaramond"/>
              <w:rPr>
                <w:i/>
                <w:szCs w:val="22"/>
              </w:rPr>
            </w:pPr>
            <w:r w:rsidRPr="002D3744">
              <w:rPr>
                <w:iCs/>
                <w:szCs w:val="22"/>
              </w:rPr>
              <w:t>L</w:t>
            </w:r>
            <w:r w:rsidRPr="002D3744">
              <w:rPr>
                <w:rFonts w:cs="Helvetica"/>
                <w:iCs/>
                <w:szCs w:val="22"/>
              </w:rPr>
              <w:t>&amp;F</w:t>
            </w:r>
            <w:r>
              <w:rPr>
                <w:rFonts w:cs="Helvetica"/>
                <w:iCs/>
                <w:szCs w:val="22"/>
              </w:rPr>
              <w:t xml:space="preserve"> bemærker, at dette</w:t>
            </w:r>
            <w:r w:rsidR="00543389" w:rsidRPr="002D3744">
              <w:rPr>
                <w:rFonts w:cs="Helvetica"/>
                <w:szCs w:val="22"/>
              </w:rPr>
              <w:t xml:space="preserve"> betyder, at personer med </w:t>
            </w:r>
            <w:r w:rsidR="009D6B9D" w:rsidRPr="002D3744">
              <w:rPr>
                <w:rFonts w:cs="Helvetica"/>
                <w:szCs w:val="22"/>
              </w:rPr>
              <w:t>bagudforskudt</w:t>
            </w:r>
            <w:r w:rsidR="00543389" w:rsidRPr="002D3744">
              <w:rPr>
                <w:rFonts w:cs="Helvetica"/>
                <w:szCs w:val="22"/>
              </w:rPr>
              <w:t xml:space="preserve"> indkomstår, f</w:t>
            </w:r>
            <w:r w:rsidR="009548F1">
              <w:rPr>
                <w:rFonts w:cs="Helvetica"/>
                <w:szCs w:val="22"/>
              </w:rPr>
              <w:t>x</w:t>
            </w:r>
            <w:r w:rsidR="00543389" w:rsidRPr="002D3744">
              <w:rPr>
                <w:rFonts w:cs="Helvetica"/>
                <w:szCs w:val="22"/>
              </w:rPr>
              <w:t>. fra den 1. juli til den 30. juni, ikke vil</w:t>
            </w:r>
            <w:r>
              <w:rPr>
                <w:rFonts w:cs="Helvetica"/>
                <w:szCs w:val="22"/>
              </w:rPr>
              <w:t xml:space="preserve"> </w:t>
            </w:r>
            <w:r w:rsidR="00543389" w:rsidRPr="002D3744">
              <w:rPr>
                <w:rFonts w:cs="Helvetica"/>
                <w:szCs w:val="22"/>
              </w:rPr>
              <w:t>have samme muligheder som persongrupper med indkomstår, der følger kalenderåret. Det skyldes,</w:t>
            </w:r>
            <w:r>
              <w:rPr>
                <w:rFonts w:cs="Helvetica"/>
                <w:szCs w:val="22"/>
              </w:rPr>
              <w:t xml:space="preserve"> </w:t>
            </w:r>
            <w:r w:rsidR="00543389" w:rsidRPr="002D3744">
              <w:rPr>
                <w:rFonts w:cs="Helvetica"/>
                <w:szCs w:val="22"/>
              </w:rPr>
              <w:t>at deres indkomstår er udløbet i en del af højsæsonen for sommerhusudlejning i juli og august. For</w:t>
            </w:r>
            <w:r>
              <w:rPr>
                <w:rFonts w:cs="Helvetica"/>
                <w:szCs w:val="22"/>
              </w:rPr>
              <w:t xml:space="preserve"> </w:t>
            </w:r>
            <w:r w:rsidR="00543389" w:rsidRPr="002D3744">
              <w:rPr>
                <w:rFonts w:cs="Helvetica"/>
                <w:szCs w:val="22"/>
              </w:rPr>
              <w:t>denne persongruppe vil formålet dermed forspildes.</w:t>
            </w:r>
            <w:r>
              <w:rPr>
                <w:i/>
                <w:szCs w:val="22"/>
              </w:rPr>
              <w:t xml:space="preserve"> </w:t>
            </w:r>
          </w:p>
          <w:p w14:paraId="69E6FAC1" w14:textId="77777777" w:rsidR="002D3744" w:rsidRDefault="002D3744" w:rsidP="002D3744">
            <w:pPr>
              <w:pStyle w:val="Tabel-BrdtekstmedafstandptekstGaramond"/>
              <w:rPr>
                <w:iCs/>
                <w:szCs w:val="22"/>
              </w:rPr>
            </w:pPr>
          </w:p>
          <w:p w14:paraId="5D2EBADE" w14:textId="0219DBE8" w:rsidR="00543389" w:rsidRPr="00B5346F" w:rsidRDefault="002D3744" w:rsidP="002D3744">
            <w:pPr>
              <w:pStyle w:val="Tabel-BrdtekstmedafstandptekstGaramond"/>
            </w:pPr>
            <w:r w:rsidRPr="002D3744">
              <w:rPr>
                <w:iCs/>
                <w:szCs w:val="22"/>
              </w:rPr>
              <w:t>L</w:t>
            </w:r>
            <w:r w:rsidRPr="002D3744">
              <w:rPr>
                <w:rFonts w:cs="Helvetica"/>
                <w:iCs/>
                <w:szCs w:val="22"/>
              </w:rPr>
              <w:t>&amp;F</w:t>
            </w:r>
            <w:r w:rsidR="00543389" w:rsidRPr="002D3744">
              <w:rPr>
                <w:rFonts w:cs="Helvetica"/>
                <w:szCs w:val="22"/>
              </w:rPr>
              <w:t xml:space="preserve"> foreslår, at den midlertidige forhøjelse af bundfradraget udvides for</w:t>
            </w:r>
            <w:r>
              <w:rPr>
                <w:rFonts w:cs="Helvetica"/>
                <w:szCs w:val="22"/>
              </w:rPr>
              <w:t xml:space="preserve"> </w:t>
            </w:r>
            <w:r w:rsidR="00543389" w:rsidRPr="002D3744">
              <w:rPr>
                <w:rFonts w:cs="Helvetica"/>
                <w:szCs w:val="22"/>
              </w:rPr>
              <w:t xml:space="preserve">persongrupper med </w:t>
            </w:r>
            <w:r w:rsidR="009D6B9D" w:rsidRPr="002D3744">
              <w:rPr>
                <w:rFonts w:cs="Helvetica"/>
                <w:szCs w:val="22"/>
              </w:rPr>
              <w:t>bagudforskudt</w:t>
            </w:r>
            <w:r w:rsidR="00543389" w:rsidRPr="002D3744">
              <w:rPr>
                <w:rFonts w:cs="Helvetica"/>
                <w:szCs w:val="22"/>
              </w:rPr>
              <w:t xml:space="preserve"> indkomstår, så forhøjelsen for disse også gælder for indkomståret</w:t>
            </w:r>
            <w:r>
              <w:rPr>
                <w:rFonts w:cs="Helvetica"/>
                <w:szCs w:val="22"/>
              </w:rPr>
              <w:t xml:space="preserve"> </w:t>
            </w:r>
            <w:r w:rsidR="00543389" w:rsidRPr="002D3744">
              <w:rPr>
                <w:rFonts w:cs="Helvetica"/>
                <w:szCs w:val="22"/>
              </w:rPr>
              <w:t>2021.</w:t>
            </w:r>
          </w:p>
        </w:tc>
        <w:tc>
          <w:tcPr>
            <w:tcW w:w="230" w:type="dxa"/>
            <w:shd w:val="clear" w:color="auto" w:fill="FFFFFF" w:themeFill="background1"/>
          </w:tcPr>
          <w:p w14:paraId="64C3C10B" w14:textId="77777777" w:rsidR="00567FE3" w:rsidRPr="00B5346F" w:rsidRDefault="00567FE3" w:rsidP="00DC10A2"/>
        </w:tc>
        <w:tc>
          <w:tcPr>
            <w:tcW w:w="3443" w:type="dxa"/>
            <w:tcBorders>
              <w:bottom w:val="single" w:sz="4" w:space="0" w:color="14143C" w:themeColor="accent1"/>
            </w:tcBorders>
            <w:shd w:val="clear" w:color="auto" w:fill="D2CED8"/>
          </w:tcPr>
          <w:p w14:paraId="44D1C080" w14:textId="77777777" w:rsidR="00567FE3" w:rsidRDefault="00567FE3" w:rsidP="00DC10A2">
            <w:pPr>
              <w:pStyle w:val="Tabel-BrdtekstmedafstandptekstGaramond"/>
            </w:pPr>
          </w:p>
          <w:p w14:paraId="3DD2D1DB" w14:textId="77777777" w:rsidR="002D3744" w:rsidRDefault="002D3744" w:rsidP="00DC10A2">
            <w:pPr>
              <w:pStyle w:val="Tabel-BrdtekstmedafstandptekstGaramond"/>
            </w:pPr>
          </w:p>
          <w:p w14:paraId="5BC992DA" w14:textId="77777777" w:rsidR="002D3744" w:rsidRDefault="002D3744" w:rsidP="00DC10A2">
            <w:pPr>
              <w:pStyle w:val="Tabel-BrdtekstmedafstandptekstGaramond"/>
            </w:pPr>
          </w:p>
          <w:p w14:paraId="5F139C4C" w14:textId="77777777" w:rsidR="002D3744" w:rsidRDefault="002D3744" w:rsidP="00DC10A2">
            <w:pPr>
              <w:pStyle w:val="Tabel-BrdtekstmedafstandptekstGaramond"/>
            </w:pPr>
          </w:p>
          <w:p w14:paraId="0E5FE70E" w14:textId="77777777" w:rsidR="002D3744" w:rsidRDefault="002D3744" w:rsidP="00DC10A2">
            <w:pPr>
              <w:pStyle w:val="Tabel-BrdtekstmedafstandptekstGaramond"/>
            </w:pPr>
          </w:p>
          <w:p w14:paraId="102FB697" w14:textId="77777777" w:rsidR="002D3744" w:rsidRDefault="002D3744" w:rsidP="00DC10A2">
            <w:pPr>
              <w:pStyle w:val="Tabel-BrdtekstmedafstandptekstGaramond"/>
            </w:pPr>
          </w:p>
          <w:p w14:paraId="117C82AB" w14:textId="77777777" w:rsidR="002D3744" w:rsidRDefault="002D3744" w:rsidP="00DC10A2">
            <w:pPr>
              <w:pStyle w:val="Tabel-BrdtekstmedafstandptekstGaramond"/>
            </w:pPr>
          </w:p>
          <w:p w14:paraId="70AD9C5B" w14:textId="77777777" w:rsidR="002D3744" w:rsidRDefault="002D3744" w:rsidP="00DC10A2">
            <w:pPr>
              <w:pStyle w:val="Tabel-BrdtekstmedafstandptekstGaramond"/>
            </w:pPr>
          </w:p>
          <w:p w14:paraId="4F543EC7" w14:textId="77777777" w:rsidR="002D3744" w:rsidRDefault="002D3744" w:rsidP="00DC10A2">
            <w:pPr>
              <w:pStyle w:val="Tabel-BrdtekstmedafstandptekstGaramond"/>
            </w:pPr>
          </w:p>
          <w:p w14:paraId="6DF92B89" w14:textId="77777777" w:rsidR="002D3744" w:rsidRDefault="002D3744" w:rsidP="00DC10A2">
            <w:pPr>
              <w:pStyle w:val="Tabel-BrdtekstmedafstandptekstGaramond"/>
            </w:pPr>
          </w:p>
          <w:p w14:paraId="0B081F68" w14:textId="77777777" w:rsidR="002D3744" w:rsidRDefault="002D3744" w:rsidP="00DC10A2">
            <w:pPr>
              <w:pStyle w:val="Tabel-BrdtekstmedafstandptekstGaramond"/>
            </w:pPr>
          </w:p>
          <w:p w14:paraId="51A99D57" w14:textId="77777777" w:rsidR="002D3744" w:rsidRDefault="002D3744" w:rsidP="00DC10A2">
            <w:pPr>
              <w:pStyle w:val="Tabel-BrdtekstmedafstandptekstGaramond"/>
            </w:pPr>
          </w:p>
          <w:p w14:paraId="7305F429" w14:textId="77777777" w:rsidR="002D3744" w:rsidRDefault="002D3744" w:rsidP="00DC10A2">
            <w:pPr>
              <w:pStyle w:val="Tabel-BrdtekstmedafstandptekstGaramond"/>
            </w:pPr>
          </w:p>
          <w:p w14:paraId="4674B5C4" w14:textId="77777777" w:rsidR="002D3744" w:rsidRDefault="002D3744" w:rsidP="00DC10A2">
            <w:pPr>
              <w:pStyle w:val="Tabel-BrdtekstmedafstandptekstGaramond"/>
            </w:pPr>
          </w:p>
          <w:p w14:paraId="066DF733" w14:textId="77777777" w:rsidR="002D3744" w:rsidRDefault="002D3744" w:rsidP="00DC10A2">
            <w:pPr>
              <w:pStyle w:val="Tabel-BrdtekstmedafstandptekstGaramond"/>
            </w:pPr>
          </w:p>
          <w:p w14:paraId="43B10E95" w14:textId="77777777" w:rsidR="002D3744" w:rsidRDefault="002D3744" w:rsidP="00DC10A2">
            <w:pPr>
              <w:pStyle w:val="Tabel-BrdtekstmedafstandptekstGaramond"/>
            </w:pPr>
          </w:p>
          <w:p w14:paraId="7A8946A9" w14:textId="77777777" w:rsidR="002D3744" w:rsidRDefault="002D3744" w:rsidP="00DC10A2">
            <w:pPr>
              <w:pStyle w:val="Tabel-BrdtekstmedafstandptekstGaramond"/>
            </w:pPr>
          </w:p>
          <w:p w14:paraId="7F68CE1B" w14:textId="77777777" w:rsidR="002D3744" w:rsidRDefault="002D3744" w:rsidP="00DC10A2">
            <w:pPr>
              <w:pStyle w:val="Tabel-BrdtekstmedafstandptekstGaramond"/>
            </w:pPr>
          </w:p>
          <w:p w14:paraId="72B7E6CE" w14:textId="77777777" w:rsidR="002D3744" w:rsidRDefault="002D3744" w:rsidP="00DC10A2">
            <w:pPr>
              <w:pStyle w:val="Tabel-BrdtekstmedafstandptekstGaramond"/>
            </w:pPr>
          </w:p>
          <w:p w14:paraId="141E5690" w14:textId="77777777" w:rsidR="002D3744" w:rsidRDefault="002D3744" w:rsidP="00DC10A2">
            <w:pPr>
              <w:pStyle w:val="Tabel-BrdtekstmedafstandptekstGaramond"/>
            </w:pPr>
          </w:p>
          <w:p w14:paraId="6AEB912D" w14:textId="77777777" w:rsidR="002D3744" w:rsidRDefault="002D3744" w:rsidP="00DC10A2">
            <w:pPr>
              <w:pStyle w:val="Tabel-BrdtekstmedafstandptekstGaramond"/>
            </w:pPr>
          </w:p>
          <w:p w14:paraId="6A2D5465" w14:textId="77777777" w:rsidR="002D3744" w:rsidRDefault="002D3744" w:rsidP="00DC10A2">
            <w:pPr>
              <w:pStyle w:val="Tabel-BrdtekstmedafstandptekstGaramond"/>
            </w:pPr>
          </w:p>
          <w:p w14:paraId="680B9A01" w14:textId="77777777" w:rsidR="002D3744" w:rsidRDefault="002D3744" w:rsidP="00DC10A2">
            <w:pPr>
              <w:pStyle w:val="Tabel-BrdtekstmedafstandptekstGaramond"/>
            </w:pPr>
          </w:p>
          <w:p w14:paraId="2020071C" w14:textId="77777777" w:rsidR="002D3744" w:rsidRDefault="002D3744" w:rsidP="00DC10A2">
            <w:pPr>
              <w:pStyle w:val="Tabel-BrdtekstmedafstandptekstGaramond"/>
            </w:pPr>
          </w:p>
          <w:p w14:paraId="07BD827C" w14:textId="77777777" w:rsidR="002D3744" w:rsidRDefault="002D3744" w:rsidP="00DC10A2">
            <w:pPr>
              <w:pStyle w:val="Tabel-BrdtekstmedafstandptekstGaramond"/>
            </w:pPr>
          </w:p>
          <w:p w14:paraId="0C438333" w14:textId="77777777" w:rsidR="002D3744" w:rsidRDefault="002D3744" w:rsidP="00DC10A2">
            <w:pPr>
              <w:pStyle w:val="Tabel-BrdtekstmedafstandptekstGaramond"/>
            </w:pPr>
          </w:p>
          <w:p w14:paraId="1F778B24" w14:textId="77777777" w:rsidR="00E96328" w:rsidRDefault="00E96328" w:rsidP="002D3744">
            <w:pPr>
              <w:pStyle w:val="Tabel-BrdtekstmedafstandptekstGaramond"/>
            </w:pPr>
          </w:p>
          <w:p w14:paraId="7BDF6FC4" w14:textId="77777777" w:rsidR="00E96328" w:rsidRDefault="00E96328" w:rsidP="002D3744">
            <w:pPr>
              <w:pStyle w:val="Tabel-BrdtekstmedafstandptekstGaramond"/>
            </w:pPr>
          </w:p>
          <w:p w14:paraId="00DB2FF1" w14:textId="77777777" w:rsidR="00E96328" w:rsidRDefault="00E96328" w:rsidP="002D3744">
            <w:pPr>
              <w:pStyle w:val="Tabel-BrdtekstmedafstandptekstGaramond"/>
            </w:pPr>
          </w:p>
          <w:p w14:paraId="5FEBACCD" w14:textId="77777777" w:rsidR="00E96328" w:rsidRDefault="00E96328" w:rsidP="002D3744">
            <w:pPr>
              <w:pStyle w:val="Tabel-BrdtekstmedafstandptekstGaramond"/>
            </w:pPr>
          </w:p>
          <w:p w14:paraId="0BBD1D37" w14:textId="77777777" w:rsidR="00E96328" w:rsidRDefault="00E96328" w:rsidP="002D3744">
            <w:pPr>
              <w:pStyle w:val="Tabel-BrdtekstmedafstandptekstGaramond"/>
            </w:pPr>
          </w:p>
          <w:p w14:paraId="0C7907B3" w14:textId="77777777" w:rsidR="00E96328" w:rsidRDefault="00E96328" w:rsidP="002D3744">
            <w:pPr>
              <w:pStyle w:val="Tabel-BrdtekstmedafstandptekstGaramond"/>
            </w:pPr>
          </w:p>
          <w:p w14:paraId="150CFF31" w14:textId="07E9726D" w:rsidR="00E96328" w:rsidRPr="00B5346F" w:rsidRDefault="002D3744" w:rsidP="00E17DAE">
            <w:pPr>
              <w:pStyle w:val="Tabel-BrdtekstmedafstandptekstGaramond"/>
            </w:pPr>
            <w:r>
              <w:t>Lovforslaget er ændret</w:t>
            </w:r>
            <w:r w:rsidR="0000663E">
              <w:t>,</w:t>
            </w:r>
            <w:r>
              <w:t xml:space="preserve"> </w:t>
            </w:r>
            <w:proofErr w:type="gramStart"/>
            <w:r>
              <w:t>således at</w:t>
            </w:r>
            <w:proofErr w:type="gramEnd"/>
            <w:r>
              <w:t xml:space="preserve"> den midlertidige forhøjelse af bundfradraget også gælder for indkomståret 2021 for personer med forskudt indkomstår, der begynder den 1. oktober eller tidligere.</w:t>
            </w:r>
          </w:p>
        </w:tc>
      </w:tr>
      <w:tr w:rsidR="00103B50" w:rsidRPr="00B5346F" w14:paraId="107AFEE2" w14:textId="77777777" w:rsidTr="003326BB">
        <w:tc>
          <w:tcPr>
            <w:tcW w:w="2310" w:type="dxa"/>
            <w:tcBorders>
              <w:bottom w:val="single" w:sz="4" w:space="0" w:color="D1C5C3" w:themeColor="accent3"/>
            </w:tcBorders>
            <w:shd w:val="clear" w:color="auto" w:fill="FBF9F9"/>
          </w:tcPr>
          <w:p w14:paraId="4B984A0B" w14:textId="724B994D" w:rsidR="00103B50" w:rsidRPr="00227E73" w:rsidRDefault="00103B50" w:rsidP="00DC10A2">
            <w:pPr>
              <w:pStyle w:val="Tabel-BrdtekstmedafstandptekstGaramond"/>
              <w:rPr>
                <w:i/>
                <w:szCs w:val="22"/>
              </w:rPr>
            </w:pPr>
            <w:r w:rsidRPr="00227E73">
              <w:rPr>
                <w:i/>
                <w:szCs w:val="22"/>
              </w:rPr>
              <w:t>Ledernes Hovedorganisation</w:t>
            </w:r>
          </w:p>
        </w:tc>
        <w:tc>
          <w:tcPr>
            <w:tcW w:w="213" w:type="dxa"/>
            <w:shd w:val="clear" w:color="auto" w:fill="FFFFFF" w:themeFill="background1"/>
          </w:tcPr>
          <w:p w14:paraId="2C5D5A6B" w14:textId="77777777" w:rsidR="00103B50" w:rsidRPr="00B5346F" w:rsidRDefault="00103B50" w:rsidP="00DC10A2"/>
        </w:tc>
        <w:tc>
          <w:tcPr>
            <w:tcW w:w="3443" w:type="dxa"/>
            <w:tcBorders>
              <w:bottom w:val="single" w:sz="4" w:space="0" w:color="D1C5C3" w:themeColor="accent3"/>
            </w:tcBorders>
            <w:shd w:val="clear" w:color="auto" w:fill="FBF9F9"/>
          </w:tcPr>
          <w:p w14:paraId="7C120FC9" w14:textId="77777777" w:rsidR="002452D9" w:rsidRPr="00E17DAE" w:rsidRDefault="002452D9" w:rsidP="002452D9">
            <w:pPr>
              <w:pStyle w:val="Tabel-BrdtekstmedafstandptekstGaramond"/>
              <w:rPr>
                <w:bCs/>
                <w:i/>
                <w:iCs/>
              </w:rPr>
            </w:pPr>
            <w:r w:rsidRPr="00E17DAE">
              <w:rPr>
                <w:bCs/>
                <w:i/>
                <w:iCs/>
              </w:rPr>
              <w:t>Forhøjelse af bundfradrag ved udlejning af fritidsboliger</w:t>
            </w:r>
          </w:p>
          <w:p w14:paraId="14628D38" w14:textId="77777777" w:rsidR="00103B50" w:rsidRPr="00B5346F" w:rsidRDefault="00103B50" w:rsidP="00DC10A2">
            <w:pPr>
              <w:pStyle w:val="Tabel-BrdtekstmedafstandptekstGaramond"/>
            </w:pPr>
            <w:r>
              <w:t>Ingen bemærkninger.</w:t>
            </w:r>
          </w:p>
        </w:tc>
        <w:tc>
          <w:tcPr>
            <w:tcW w:w="230" w:type="dxa"/>
            <w:shd w:val="clear" w:color="auto" w:fill="FFFFFF" w:themeFill="background1"/>
          </w:tcPr>
          <w:p w14:paraId="23D068B9" w14:textId="77777777" w:rsidR="00103B50" w:rsidRPr="00B5346F" w:rsidRDefault="00103B50" w:rsidP="00DC10A2"/>
        </w:tc>
        <w:tc>
          <w:tcPr>
            <w:tcW w:w="3443" w:type="dxa"/>
            <w:tcBorders>
              <w:bottom w:val="single" w:sz="4" w:space="0" w:color="14143C" w:themeColor="accent1"/>
            </w:tcBorders>
            <w:shd w:val="clear" w:color="auto" w:fill="D2CED8"/>
          </w:tcPr>
          <w:p w14:paraId="0D4E50B6" w14:textId="77777777" w:rsidR="00103B50" w:rsidRPr="00B5346F" w:rsidRDefault="00103B50" w:rsidP="00DC10A2">
            <w:pPr>
              <w:pStyle w:val="Tabel-BrdtekstmedafstandptekstGaramond"/>
            </w:pPr>
          </w:p>
        </w:tc>
      </w:tr>
      <w:tr w:rsidR="00103B50" w:rsidRPr="00B5346F" w14:paraId="4D1DA404" w14:textId="77777777" w:rsidTr="003326BB">
        <w:tc>
          <w:tcPr>
            <w:tcW w:w="2310" w:type="dxa"/>
            <w:tcBorders>
              <w:bottom w:val="single" w:sz="4" w:space="0" w:color="D1C5C3" w:themeColor="accent3"/>
            </w:tcBorders>
            <w:shd w:val="clear" w:color="auto" w:fill="FBF9F9"/>
          </w:tcPr>
          <w:p w14:paraId="5990D062" w14:textId="77777777" w:rsidR="00103B50" w:rsidRPr="00227E73" w:rsidRDefault="00103B50" w:rsidP="00DC10A2">
            <w:pPr>
              <w:pStyle w:val="Tabel-BrdtekstmedafstandptekstGaramond"/>
              <w:rPr>
                <w:i/>
                <w:szCs w:val="22"/>
              </w:rPr>
            </w:pPr>
            <w:r w:rsidRPr="00227E73">
              <w:rPr>
                <w:i/>
                <w:szCs w:val="22"/>
              </w:rPr>
              <w:t>SEGES</w:t>
            </w:r>
          </w:p>
        </w:tc>
        <w:tc>
          <w:tcPr>
            <w:tcW w:w="213" w:type="dxa"/>
            <w:shd w:val="clear" w:color="auto" w:fill="FFFFFF" w:themeFill="background1"/>
          </w:tcPr>
          <w:p w14:paraId="239726DB" w14:textId="77777777" w:rsidR="00103B50" w:rsidRPr="00B5346F" w:rsidRDefault="00103B50" w:rsidP="00DC10A2"/>
        </w:tc>
        <w:tc>
          <w:tcPr>
            <w:tcW w:w="3443" w:type="dxa"/>
            <w:tcBorders>
              <w:bottom w:val="single" w:sz="4" w:space="0" w:color="D1C5C3" w:themeColor="accent3"/>
            </w:tcBorders>
            <w:shd w:val="clear" w:color="auto" w:fill="FBF9F9"/>
          </w:tcPr>
          <w:p w14:paraId="5BF49C90" w14:textId="77777777" w:rsidR="002452D9" w:rsidRPr="00E17DAE" w:rsidRDefault="002452D9" w:rsidP="002452D9">
            <w:pPr>
              <w:pStyle w:val="Tabel-BrdtekstmedafstandptekstGaramond"/>
              <w:rPr>
                <w:bCs/>
                <w:i/>
                <w:iCs/>
              </w:rPr>
            </w:pPr>
            <w:r w:rsidRPr="00E17DAE">
              <w:rPr>
                <w:bCs/>
                <w:i/>
                <w:iCs/>
              </w:rPr>
              <w:t>Forhøjelse af bundfradrag ved udlejning af fritidsboliger</w:t>
            </w:r>
          </w:p>
          <w:p w14:paraId="78BA5E92" w14:textId="77777777" w:rsidR="007A6A26" w:rsidRDefault="007A6A26" w:rsidP="007A6A26">
            <w:pPr>
              <w:pStyle w:val="Tabel-BrdtekstmedafstandptekstGaramond"/>
              <w:rPr>
                <w:rFonts w:cs="Arial"/>
                <w:color w:val="000000"/>
                <w:szCs w:val="22"/>
              </w:rPr>
            </w:pPr>
            <w:r>
              <w:t>SEGES bemærker, at ifølge udkastet til lovforslag og den politiske aftale</w:t>
            </w:r>
            <w:r w:rsidRPr="007A6A26">
              <w:rPr>
                <w:rFonts w:cs="Arial"/>
                <w:color w:val="000000"/>
                <w:szCs w:val="22"/>
              </w:rPr>
              <w:t xml:space="preserve"> er formå</w:t>
            </w:r>
            <w:r>
              <w:rPr>
                <w:rFonts w:cs="Arial"/>
                <w:color w:val="000000"/>
                <w:szCs w:val="22"/>
              </w:rPr>
              <w:t>l</w:t>
            </w:r>
            <w:r w:rsidRPr="007A6A26">
              <w:rPr>
                <w:rFonts w:cs="Arial"/>
                <w:color w:val="000000"/>
                <w:szCs w:val="22"/>
              </w:rPr>
              <w:t>et at tilskynde til udlejning af fritidshuse i 2020. Den politiske aftale blev indgået den 19. juni.</w:t>
            </w:r>
          </w:p>
          <w:p w14:paraId="20CAFE07" w14:textId="77777777" w:rsidR="007A6A26" w:rsidRDefault="007A6A26" w:rsidP="007A6A26">
            <w:pPr>
              <w:pStyle w:val="Tabel-BrdtekstmedafstandptekstGaramond"/>
              <w:rPr>
                <w:rFonts w:cs="Arial"/>
                <w:color w:val="000000"/>
                <w:szCs w:val="22"/>
              </w:rPr>
            </w:pPr>
          </w:p>
          <w:p w14:paraId="2680171B" w14:textId="77777777" w:rsidR="007A6A26" w:rsidRDefault="007A6A26" w:rsidP="007A6A26">
            <w:pPr>
              <w:pStyle w:val="Tabel-BrdtekstmedafstandptekstGaramond"/>
              <w:rPr>
                <w:rFonts w:cs="Arial"/>
                <w:color w:val="000000"/>
                <w:szCs w:val="22"/>
              </w:rPr>
            </w:pPr>
            <w:r w:rsidRPr="007A6A26">
              <w:rPr>
                <w:rFonts w:cs="Arial"/>
                <w:color w:val="000000"/>
                <w:szCs w:val="22"/>
              </w:rPr>
              <w:t>Ifølge udkastet lægges der op til, at ændringen skal være gældende for indkomståret 2020.</w:t>
            </w:r>
          </w:p>
          <w:p w14:paraId="1B032201" w14:textId="77777777" w:rsidR="007A6A26" w:rsidRDefault="007A6A26" w:rsidP="007A6A26">
            <w:pPr>
              <w:pStyle w:val="Tabel-BrdtekstmedafstandptekstGaramond"/>
              <w:rPr>
                <w:rFonts w:cs="Arial"/>
                <w:color w:val="000000"/>
                <w:szCs w:val="22"/>
              </w:rPr>
            </w:pPr>
          </w:p>
          <w:p w14:paraId="623C46DE" w14:textId="35160D80" w:rsidR="007A6A26" w:rsidRDefault="007A6A26" w:rsidP="007A6A26">
            <w:pPr>
              <w:pStyle w:val="Tabel-BrdtekstmedafstandptekstGaramond"/>
              <w:rPr>
                <w:rFonts w:cs="Arial"/>
                <w:color w:val="000000"/>
                <w:szCs w:val="22"/>
              </w:rPr>
            </w:pPr>
            <w:bookmarkStart w:id="2" w:name="_Hlk49347524"/>
            <w:r>
              <w:rPr>
                <w:rFonts w:cs="Arial"/>
                <w:color w:val="000000"/>
                <w:szCs w:val="22"/>
              </w:rPr>
              <w:t>SEGES bemærker, at for</w:t>
            </w:r>
            <w:r w:rsidRPr="007A6A26">
              <w:rPr>
                <w:rFonts w:cs="Arial"/>
                <w:color w:val="000000"/>
                <w:szCs w:val="22"/>
              </w:rPr>
              <w:t xml:space="preserve"> personer med </w:t>
            </w:r>
            <w:r w:rsidR="009D6B9D" w:rsidRPr="007A6A26">
              <w:rPr>
                <w:rFonts w:cs="Arial"/>
                <w:color w:val="000000"/>
                <w:szCs w:val="22"/>
              </w:rPr>
              <w:t>bagudforskudt</w:t>
            </w:r>
            <w:r w:rsidRPr="007A6A26">
              <w:rPr>
                <w:rFonts w:cs="Arial"/>
                <w:color w:val="000000"/>
                <w:szCs w:val="22"/>
              </w:rPr>
              <w:t xml:space="preserve"> indkomstår fra 1. juli til 30. juni vil formålet dermed ofte ikke kunne opnås. Dette skyldes, at deres indkomstår 2020 stort set er udløbet på tidspunktet for den politiske aftale. Dermed tilskyndes de ikke til større udlejning. For personer med andre </w:t>
            </w:r>
            <w:proofErr w:type="spellStart"/>
            <w:r w:rsidRPr="007A6A26">
              <w:rPr>
                <w:rFonts w:cs="Arial"/>
                <w:color w:val="000000"/>
                <w:szCs w:val="22"/>
              </w:rPr>
              <w:t>bagudforskudt</w:t>
            </w:r>
            <w:r w:rsidR="00A3766E">
              <w:rPr>
                <w:rFonts w:cs="Arial"/>
                <w:color w:val="000000"/>
                <w:szCs w:val="22"/>
              </w:rPr>
              <w:t>e</w:t>
            </w:r>
            <w:proofErr w:type="spellEnd"/>
            <w:r w:rsidRPr="007A6A26">
              <w:rPr>
                <w:rFonts w:cs="Arial"/>
                <w:color w:val="000000"/>
                <w:szCs w:val="22"/>
              </w:rPr>
              <w:t xml:space="preserve"> indkomstår vil der tilsvarende være udfordringer ift. opnåelse af det angivne formål. </w:t>
            </w:r>
          </w:p>
          <w:p w14:paraId="3D77AFEE" w14:textId="77777777" w:rsidR="007A6A26" w:rsidRDefault="007A6A26" w:rsidP="007A6A26">
            <w:pPr>
              <w:pStyle w:val="Tabel-BrdtekstmedafstandptekstGaramond"/>
              <w:rPr>
                <w:rFonts w:cs="Arial"/>
                <w:color w:val="000000"/>
                <w:szCs w:val="22"/>
              </w:rPr>
            </w:pPr>
          </w:p>
          <w:p w14:paraId="33A50BE9" w14:textId="2A10C683" w:rsidR="003724E7" w:rsidRDefault="007A6A26" w:rsidP="003724E7">
            <w:pPr>
              <w:pStyle w:val="Tabel-BrdtekstmedafstandptekstGaramond"/>
              <w:rPr>
                <w:rFonts w:cs="Arial"/>
                <w:color w:val="000000"/>
                <w:szCs w:val="22"/>
              </w:rPr>
            </w:pPr>
            <w:r>
              <w:rPr>
                <w:rFonts w:cs="Arial"/>
                <w:color w:val="000000"/>
                <w:szCs w:val="22"/>
              </w:rPr>
              <w:t xml:space="preserve">SEGES </w:t>
            </w:r>
            <w:r w:rsidRPr="007A6A26">
              <w:rPr>
                <w:rFonts w:cs="Arial"/>
                <w:color w:val="000000"/>
                <w:szCs w:val="22"/>
              </w:rPr>
              <w:t>opfordre</w:t>
            </w:r>
            <w:r>
              <w:rPr>
                <w:rFonts w:cs="Arial"/>
                <w:color w:val="000000"/>
                <w:szCs w:val="22"/>
              </w:rPr>
              <w:t>r</w:t>
            </w:r>
            <w:r w:rsidRPr="007A6A26">
              <w:rPr>
                <w:rFonts w:cs="Arial"/>
                <w:color w:val="000000"/>
                <w:szCs w:val="22"/>
              </w:rPr>
              <w:t xml:space="preserve"> til, at den midlertidige forhøjelse af bundfradraget udvides til at gælde også for indkomståret 2021 for personer med </w:t>
            </w:r>
            <w:r w:rsidR="009D6B9D" w:rsidRPr="007A6A26">
              <w:rPr>
                <w:rFonts w:cs="Arial"/>
                <w:color w:val="000000"/>
                <w:szCs w:val="22"/>
              </w:rPr>
              <w:t>bagudforskudt</w:t>
            </w:r>
            <w:r w:rsidRPr="007A6A26">
              <w:rPr>
                <w:rFonts w:cs="Arial"/>
                <w:color w:val="000000"/>
                <w:szCs w:val="22"/>
              </w:rPr>
              <w:t xml:space="preserve"> indkomstår. </w:t>
            </w:r>
          </w:p>
          <w:bookmarkEnd w:id="2"/>
          <w:p w14:paraId="5DC6CA4D" w14:textId="77777777" w:rsidR="003724E7" w:rsidRDefault="003724E7" w:rsidP="003724E7">
            <w:pPr>
              <w:pStyle w:val="Tabel-BrdtekstmedafstandptekstGaramond"/>
              <w:rPr>
                <w:rFonts w:cs="Arial"/>
                <w:color w:val="000000"/>
                <w:szCs w:val="22"/>
              </w:rPr>
            </w:pPr>
          </w:p>
          <w:p w14:paraId="2E4BD1F4" w14:textId="77777777" w:rsidR="003724E7" w:rsidRDefault="003724E7" w:rsidP="003724E7">
            <w:pPr>
              <w:pStyle w:val="Tabel-BrdtekstmedafstandptekstGaramond"/>
              <w:rPr>
                <w:rFonts w:cs="Arial"/>
                <w:color w:val="000000"/>
                <w:szCs w:val="22"/>
              </w:rPr>
            </w:pPr>
          </w:p>
          <w:p w14:paraId="2DC23949" w14:textId="77777777" w:rsidR="003724E7" w:rsidRDefault="007A6A26" w:rsidP="003724E7">
            <w:pPr>
              <w:pStyle w:val="Tabel-BrdtekstmedafstandptekstGaramond"/>
              <w:rPr>
                <w:rFonts w:cs="Arial"/>
                <w:color w:val="000000"/>
                <w:szCs w:val="22"/>
              </w:rPr>
            </w:pPr>
            <w:r w:rsidRPr="007A6A26">
              <w:rPr>
                <w:rFonts w:cs="Arial"/>
                <w:color w:val="000000"/>
                <w:szCs w:val="22"/>
              </w:rPr>
              <w:t>Derudover anbefale</w:t>
            </w:r>
            <w:r w:rsidR="003724E7">
              <w:rPr>
                <w:rFonts w:cs="Arial"/>
                <w:color w:val="000000"/>
                <w:szCs w:val="22"/>
              </w:rPr>
              <w:t>r SEGES</w:t>
            </w:r>
            <w:r w:rsidRPr="007A6A26">
              <w:rPr>
                <w:rFonts w:cs="Arial"/>
                <w:color w:val="000000"/>
                <w:szCs w:val="22"/>
              </w:rPr>
              <w:t xml:space="preserve">, at der ændres i eksempel 3 i de særlige bemærkninger, </w:t>
            </w:r>
            <w:r w:rsidR="009D6B9D" w:rsidRPr="007A6A26">
              <w:rPr>
                <w:rFonts w:cs="Arial"/>
                <w:color w:val="000000"/>
                <w:szCs w:val="22"/>
              </w:rPr>
              <w:t>så</w:t>
            </w:r>
            <w:r w:rsidRPr="007A6A26">
              <w:rPr>
                <w:rFonts w:cs="Arial"/>
                <w:color w:val="000000"/>
                <w:szCs w:val="22"/>
              </w:rPr>
              <w:t xml:space="preserve"> det sprogligt lægger sig helt op ad formuleringen af eksempel 2.</w:t>
            </w:r>
          </w:p>
          <w:p w14:paraId="0F1C6F7A" w14:textId="77777777" w:rsidR="003724E7" w:rsidRDefault="003724E7" w:rsidP="003724E7">
            <w:pPr>
              <w:pStyle w:val="Tabel-BrdtekstmedafstandptekstGaramond"/>
              <w:rPr>
                <w:rFonts w:cs="Arial"/>
                <w:color w:val="000000"/>
                <w:szCs w:val="22"/>
              </w:rPr>
            </w:pPr>
          </w:p>
          <w:p w14:paraId="50ED5983" w14:textId="77777777" w:rsidR="002B580A" w:rsidRDefault="003724E7" w:rsidP="002B580A">
            <w:pPr>
              <w:pStyle w:val="Tabel-BrdtekstmedafstandptekstGaramond"/>
              <w:rPr>
                <w:rFonts w:cs="Arial"/>
                <w:color w:val="000000"/>
                <w:szCs w:val="22"/>
              </w:rPr>
            </w:pPr>
            <w:r>
              <w:rPr>
                <w:rFonts w:cs="Arial"/>
                <w:color w:val="000000"/>
                <w:szCs w:val="22"/>
              </w:rPr>
              <w:t>SEGES anbefaler, at ordlyden i eksempel 3 ændres til:</w:t>
            </w:r>
          </w:p>
          <w:p w14:paraId="3C8FC74A" w14:textId="77777777" w:rsidR="002B580A" w:rsidRDefault="002B580A" w:rsidP="002B580A">
            <w:pPr>
              <w:pStyle w:val="Tabel-BrdtekstmedafstandptekstGaramond"/>
              <w:rPr>
                <w:rFonts w:cs="Arial"/>
                <w:i/>
                <w:iCs/>
                <w:color w:val="000000"/>
                <w:szCs w:val="22"/>
              </w:rPr>
            </w:pPr>
          </w:p>
          <w:p w14:paraId="72DD2D68" w14:textId="77777777" w:rsidR="007A6A26" w:rsidRPr="002B580A" w:rsidRDefault="003724E7" w:rsidP="002B580A">
            <w:pPr>
              <w:pStyle w:val="Tabel-BrdtekstmedafstandptekstGaramond"/>
              <w:rPr>
                <w:szCs w:val="22"/>
              </w:rPr>
            </w:pPr>
            <w:r w:rsidRPr="003724E7">
              <w:rPr>
                <w:rFonts w:cs="Arial"/>
                <w:szCs w:val="22"/>
              </w:rPr>
              <w:t>”Situationen svarer til eksempel 2, men her opnås det største bundfradrag ift. lejeindtægten ved privat udlejning. Det indebærer, at udlejeren skal benytte det lave skematiske bundfradrag på 11.500 kr., og at udlejer ikke kan anvende bundfradrag ved indkomsten på 5.000 kr. fra udlejning gennem et bureau, der indberetter lejeindtægter til Skatteforvaltningen.”</w:t>
            </w:r>
          </w:p>
        </w:tc>
        <w:tc>
          <w:tcPr>
            <w:tcW w:w="230" w:type="dxa"/>
            <w:shd w:val="clear" w:color="auto" w:fill="FFFFFF" w:themeFill="background1"/>
          </w:tcPr>
          <w:p w14:paraId="2A23F295" w14:textId="77777777" w:rsidR="00103B50" w:rsidRPr="00B5346F" w:rsidRDefault="00103B50" w:rsidP="00DC10A2"/>
        </w:tc>
        <w:tc>
          <w:tcPr>
            <w:tcW w:w="3443" w:type="dxa"/>
            <w:tcBorders>
              <w:bottom w:val="single" w:sz="4" w:space="0" w:color="14143C" w:themeColor="accent1"/>
            </w:tcBorders>
            <w:shd w:val="clear" w:color="auto" w:fill="D2CED8"/>
          </w:tcPr>
          <w:p w14:paraId="401E0516" w14:textId="77777777" w:rsidR="007A6A26" w:rsidRDefault="007A6A26" w:rsidP="00DC10A2">
            <w:pPr>
              <w:pStyle w:val="Tabel-BrdtekstmedafstandptekstGaramond"/>
            </w:pPr>
          </w:p>
          <w:p w14:paraId="5AB5F75B" w14:textId="77777777" w:rsidR="007A6A26" w:rsidRDefault="007A6A26" w:rsidP="00DC10A2">
            <w:pPr>
              <w:pStyle w:val="Tabel-BrdtekstmedafstandptekstGaramond"/>
            </w:pPr>
          </w:p>
          <w:p w14:paraId="11DF3A26" w14:textId="77777777" w:rsidR="007A6A26" w:rsidRDefault="007A6A26" w:rsidP="00DC10A2">
            <w:pPr>
              <w:pStyle w:val="Tabel-BrdtekstmedafstandptekstGaramond"/>
            </w:pPr>
          </w:p>
          <w:p w14:paraId="3BC68059" w14:textId="77777777" w:rsidR="007A6A26" w:rsidRDefault="007A6A26" w:rsidP="00DC10A2">
            <w:pPr>
              <w:pStyle w:val="Tabel-BrdtekstmedafstandptekstGaramond"/>
            </w:pPr>
          </w:p>
          <w:p w14:paraId="4936A72E" w14:textId="77777777" w:rsidR="007A6A26" w:rsidRDefault="007A6A26" w:rsidP="00DC10A2">
            <w:pPr>
              <w:pStyle w:val="Tabel-BrdtekstmedafstandptekstGaramond"/>
            </w:pPr>
          </w:p>
          <w:p w14:paraId="50B8692D" w14:textId="77777777" w:rsidR="007A6A26" w:rsidRDefault="007A6A26" w:rsidP="00DC10A2">
            <w:pPr>
              <w:pStyle w:val="Tabel-BrdtekstmedafstandptekstGaramond"/>
            </w:pPr>
          </w:p>
          <w:p w14:paraId="4DA7B88A" w14:textId="77777777" w:rsidR="007A6A26" w:rsidRDefault="007A6A26" w:rsidP="00DC10A2">
            <w:pPr>
              <w:pStyle w:val="Tabel-BrdtekstmedafstandptekstGaramond"/>
            </w:pPr>
          </w:p>
          <w:p w14:paraId="365F7421" w14:textId="77777777" w:rsidR="003724E7" w:rsidRDefault="003724E7" w:rsidP="00DC10A2">
            <w:pPr>
              <w:pStyle w:val="Tabel-BrdtekstmedafstandptekstGaramond"/>
            </w:pPr>
          </w:p>
          <w:p w14:paraId="06F6E258" w14:textId="77777777" w:rsidR="003724E7" w:rsidRDefault="003724E7" w:rsidP="00DC10A2">
            <w:pPr>
              <w:pStyle w:val="Tabel-BrdtekstmedafstandptekstGaramond"/>
            </w:pPr>
          </w:p>
          <w:p w14:paraId="485600F7" w14:textId="77777777" w:rsidR="003724E7" w:rsidRDefault="003724E7" w:rsidP="00DC10A2">
            <w:pPr>
              <w:pStyle w:val="Tabel-BrdtekstmedafstandptekstGaramond"/>
            </w:pPr>
          </w:p>
          <w:p w14:paraId="266FEA02" w14:textId="77777777" w:rsidR="003724E7" w:rsidRDefault="003724E7" w:rsidP="00DC10A2">
            <w:pPr>
              <w:pStyle w:val="Tabel-BrdtekstmedafstandptekstGaramond"/>
            </w:pPr>
          </w:p>
          <w:p w14:paraId="2E71263F" w14:textId="77777777" w:rsidR="003724E7" w:rsidRDefault="003724E7" w:rsidP="00DC10A2">
            <w:pPr>
              <w:pStyle w:val="Tabel-BrdtekstmedafstandptekstGaramond"/>
            </w:pPr>
          </w:p>
          <w:p w14:paraId="45D4F85B" w14:textId="77777777" w:rsidR="003724E7" w:rsidRDefault="003724E7" w:rsidP="00DC10A2">
            <w:pPr>
              <w:pStyle w:val="Tabel-BrdtekstmedafstandptekstGaramond"/>
            </w:pPr>
          </w:p>
          <w:p w14:paraId="1648A11D" w14:textId="77777777" w:rsidR="003724E7" w:rsidRDefault="003724E7" w:rsidP="00DC10A2">
            <w:pPr>
              <w:pStyle w:val="Tabel-BrdtekstmedafstandptekstGaramond"/>
            </w:pPr>
          </w:p>
          <w:p w14:paraId="7B599825" w14:textId="77777777" w:rsidR="003724E7" w:rsidRDefault="003724E7" w:rsidP="00DC10A2">
            <w:pPr>
              <w:pStyle w:val="Tabel-BrdtekstmedafstandptekstGaramond"/>
            </w:pPr>
          </w:p>
          <w:p w14:paraId="2E005B2D" w14:textId="77777777" w:rsidR="003724E7" w:rsidRDefault="003724E7" w:rsidP="00DC10A2">
            <w:pPr>
              <w:pStyle w:val="Tabel-BrdtekstmedafstandptekstGaramond"/>
            </w:pPr>
          </w:p>
          <w:p w14:paraId="5EB6914E" w14:textId="77777777" w:rsidR="0001480A" w:rsidRDefault="0001480A" w:rsidP="00DC10A2">
            <w:pPr>
              <w:pStyle w:val="Tabel-BrdtekstmedafstandptekstGaramond"/>
            </w:pPr>
          </w:p>
          <w:p w14:paraId="5227149B" w14:textId="77777777" w:rsidR="002452D9" w:rsidRDefault="002452D9" w:rsidP="00DC10A2">
            <w:pPr>
              <w:pStyle w:val="Tabel-BrdtekstmedafstandptekstGaramond"/>
            </w:pPr>
          </w:p>
          <w:p w14:paraId="2178DF59" w14:textId="77777777" w:rsidR="00E17DAE" w:rsidRDefault="00E17DAE" w:rsidP="00DC10A2">
            <w:pPr>
              <w:pStyle w:val="Tabel-BrdtekstmedafstandptekstGaramond"/>
            </w:pPr>
          </w:p>
          <w:p w14:paraId="32F198D6" w14:textId="77777777" w:rsidR="00E17DAE" w:rsidRDefault="00E17DAE" w:rsidP="00DC10A2">
            <w:pPr>
              <w:pStyle w:val="Tabel-BrdtekstmedafstandptekstGaramond"/>
            </w:pPr>
          </w:p>
          <w:p w14:paraId="020320D2" w14:textId="77777777" w:rsidR="00E17DAE" w:rsidRDefault="00E17DAE" w:rsidP="00DC10A2">
            <w:pPr>
              <w:pStyle w:val="Tabel-BrdtekstmedafstandptekstGaramond"/>
            </w:pPr>
          </w:p>
          <w:p w14:paraId="49037912" w14:textId="77777777" w:rsidR="00E17DAE" w:rsidRDefault="00E17DAE" w:rsidP="00DC10A2">
            <w:pPr>
              <w:pStyle w:val="Tabel-BrdtekstmedafstandptekstGaramond"/>
            </w:pPr>
          </w:p>
          <w:p w14:paraId="5CBAAD3F" w14:textId="77777777" w:rsidR="00E17DAE" w:rsidRDefault="00E17DAE" w:rsidP="00DC10A2">
            <w:pPr>
              <w:pStyle w:val="Tabel-BrdtekstmedafstandptekstGaramond"/>
            </w:pPr>
          </w:p>
          <w:p w14:paraId="2970C1B6" w14:textId="77777777" w:rsidR="00E17DAE" w:rsidRDefault="00E17DAE" w:rsidP="00DC10A2">
            <w:pPr>
              <w:pStyle w:val="Tabel-BrdtekstmedafstandptekstGaramond"/>
            </w:pPr>
          </w:p>
          <w:p w14:paraId="056B4A8D" w14:textId="77777777" w:rsidR="00E17DAE" w:rsidRDefault="00E17DAE" w:rsidP="00DC10A2">
            <w:pPr>
              <w:pStyle w:val="Tabel-BrdtekstmedafstandptekstGaramond"/>
            </w:pPr>
          </w:p>
          <w:p w14:paraId="3712E2C3" w14:textId="77777777" w:rsidR="00E17DAE" w:rsidRDefault="00E17DAE" w:rsidP="00DC10A2">
            <w:pPr>
              <w:pStyle w:val="Tabel-BrdtekstmedafstandptekstGaramond"/>
            </w:pPr>
          </w:p>
          <w:p w14:paraId="1FBCBC0E" w14:textId="77777777" w:rsidR="00E17DAE" w:rsidRDefault="00E17DAE" w:rsidP="00DC10A2">
            <w:pPr>
              <w:pStyle w:val="Tabel-BrdtekstmedafstandptekstGaramond"/>
            </w:pPr>
          </w:p>
          <w:p w14:paraId="09937C5B" w14:textId="77777777" w:rsidR="00E17DAE" w:rsidRDefault="00E17DAE" w:rsidP="00DC10A2">
            <w:pPr>
              <w:pStyle w:val="Tabel-BrdtekstmedafstandptekstGaramond"/>
            </w:pPr>
          </w:p>
          <w:p w14:paraId="404E6569" w14:textId="65C9CB92" w:rsidR="002452D9" w:rsidRDefault="009548F1" w:rsidP="00DC10A2">
            <w:pPr>
              <w:pStyle w:val="Tabel-BrdtekstmedafstandptekstGaramond"/>
            </w:pPr>
            <w:r>
              <w:t>Der kan henvises til kommentaren til høringssvaret fra Landbrug og Fødevarer.</w:t>
            </w:r>
          </w:p>
          <w:p w14:paraId="2BE08455" w14:textId="77777777" w:rsidR="002B580A" w:rsidRDefault="002B580A" w:rsidP="00DC10A2">
            <w:pPr>
              <w:pStyle w:val="Tabel-BrdtekstmedafstandptekstGaramond"/>
            </w:pPr>
          </w:p>
          <w:p w14:paraId="5F417523" w14:textId="77777777" w:rsidR="002B580A" w:rsidRDefault="002B580A" w:rsidP="00DC10A2">
            <w:pPr>
              <w:pStyle w:val="Tabel-BrdtekstmedafstandptekstGaramond"/>
            </w:pPr>
          </w:p>
          <w:p w14:paraId="6D37ABC2" w14:textId="77777777" w:rsidR="002B580A" w:rsidRDefault="002B580A" w:rsidP="00DC10A2">
            <w:pPr>
              <w:pStyle w:val="Tabel-BrdtekstmedafstandptekstGaramond"/>
            </w:pPr>
          </w:p>
          <w:p w14:paraId="0BC52ED6" w14:textId="77777777" w:rsidR="002B580A" w:rsidRDefault="002B580A" w:rsidP="00DC10A2">
            <w:pPr>
              <w:pStyle w:val="Tabel-BrdtekstmedafstandptekstGaramond"/>
            </w:pPr>
          </w:p>
          <w:p w14:paraId="2B33A630" w14:textId="689BAD65" w:rsidR="002B580A" w:rsidRDefault="002B580A" w:rsidP="00DC10A2">
            <w:pPr>
              <w:pStyle w:val="Tabel-BrdtekstmedafstandptekstGaramond"/>
            </w:pPr>
            <w:r>
              <w:t>Bemærkningerne er ændre</w:t>
            </w:r>
            <w:r w:rsidR="009548F1">
              <w:t>t</w:t>
            </w:r>
            <w:r>
              <w:t xml:space="preserve"> i overensstemmelse med </w:t>
            </w:r>
            <w:r w:rsidR="0058664E">
              <w:t xml:space="preserve">anbefalingen fra </w:t>
            </w:r>
            <w:r>
              <w:t xml:space="preserve">SEGES. </w:t>
            </w:r>
          </w:p>
          <w:p w14:paraId="777B37EE" w14:textId="77777777" w:rsidR="002B580A" w:rsidRPr="00B5346F" w:rsidRDefault="002B580A" w:rsidP="00DC10A2">
            <w:pPr>
              <w:pStyle w:val="Tabel-BrdtekstmedafstandptekstGaramond"/>
            </w:pPr>
          </w:p>
        </w:tc>
      </w:tr>
      <w:tr w:rsidR="00103B50" w:rsidRPr="00B5346F" w14:paraId="0842156F" w14:textId="77777777" w:rsidTr="003326BB">
        <w:tc>
          <w:tcPr>
            <w:tcW w:w="2310" w:type="dxa"/>
            <w:tcBorders>
              <w:bottom w:val="single" w:sz="4" w:space="0" w:color="D1C5C3" w:themeColor="accent3"/>
            </w:tcBorders>
            <w:shd w:val="clear" w:color="auto" w:fill="FBF9F9"/>
          </w:tcPr>
          <w:p w14:paraId="0529FF5B" w14:textId="77777777" w:rsidR="00103B50" w:rsidRPr="00227E73" w:rsidRDefault="00103B50" w:rsidP="00DC10A2">
            <w:pPr>
              <w:pStyle w:val="Tabel-BrdtekstmedafstandptekstGaramond"/>
              <w:rPr>
                <w:i/>
                <w:szCs w:val="22"/>
              </w:rPr>
            </w:pPr>
            <w:r w:rsidRPr="00227E73">
              <w:rPr>
                <w:i/>
                <w:szCs w:val="22"/>
              </w:rPr>
              <w:t>SRF Skattefaglig Forening</w:t>
            </w:r>
          </w:p>
        </w:tc>
        <w:tc>
          <w:tcPr>
            <w:tcW w:w="213" w:type="dxa"/>
            <w:shd w:val="clear" w:color="auto" w:fill="FFFFFF" w:themeFill="background1"/>
          </w:tcPr>
          <w:p w14:paraId="3735E7A1" w14:textId="77777777" w:rsidR="00103B50" w:rsidRPr="00E367F8" w:rsidRDefault="00103B50" w:rsidP="00DC10A2"/>
        </w:tc>
        <w:tc>
          <w:tcPr>
            <w:tcW w:w="3443" w:type="dxa"/>
            <w:tcBorders>
              <w:bottom w:val="single" w:sz="4" w:space="0" w:color="D1C5C3" w:themeColor="accent3"/>
            </w:tcBorders>
            <w:shd w:val="clear" w:color="auto" w:fill="FBF9F9"/>
          </w:tcPr>
          <w:p w14:paraId="1A954497" w14:textId="03A8183C" w:rsidR="002452D9" w:rsidRPr="00E17DAE" w:rsidRDefault="002452D9" w:rsidP="002452D9">
            <w:pPr>
              <w:pStyle w:val="Tabel-BrdtekstmedafstandptekstGaramond"/>
              <w:rPr>
                <w:bCs/>
                <w:i/>
                <w:iCs/>
              </w:rPr>
            </w:pPr>
            <w:r w:rsidRPr="00E17DAE">
              <w:rPr>
                <w:bCs/>
                <w:i/>
                <w:iCs/>
              </w:rPr>
              <w:t>Forhøjelse af bundfradrag ved udlejning af fritidsboliger</w:t>
            </w:r>
          </w:p>
          <w:p w14:paraId="2A03CD5A" w14:textId="77777777" w:rsidR="00103B50" w:rsidRPr="00E367F8" w:rsidRDefault="00E367F8" w:rsidP="00DC10A2">
            <w:pPr>
              <w:pStyle w:val="Tabel-BrdtekstmedafstandptekstGaramond"/>
            </w:pPr>
            <w:r w:rsidRPr="00E367F8">
              <w:t>Ingen bemærkninger.</w:t>
            </w:r>
          </w:p>
        </w:tc>
        <w:tc>
          <w:tcPr>
            <w:tcW w:w="230" w:type="dxa"/>
            <w:shd w:val="clear" w:color="auto" w:fill="FFFFFF" w:themeFill="background1"/>
          </w:tcPr>
          <w:p w14:paraId="6EE9C292" w14:textId="77777777" w:rsidR="00103B50" w:rsidRPr="00B5346F" w:rsidRDefault="00103B50" w:rsidP="00DC10A2"/>
        </w:tc>
        <w:tc>
          <w:tcPr>
            <w:tcW w:w="3443" w:type="dxa"/>
            <w:tcBorders>
              <w:bottom w:val="single" w:sz="4" w:space="0" w:color="14143C" w:themeColor="accent1"/>
            </w:tcBorders>
            <w:shd w:val="clear" w:color="auto" w:fill="D2CED8"/>
          </w:tcPr>
          <w:p w14:paraId="18DA42D1" w14:textId="77777777" w:rsidR="00103B50" w:rsidRPr="00B5346F" w:rsidRDefault="00103B50" w:rsidP="00DC10A2">
            <w:pPr>
              <w:pStyle w:val="Tabel-BrdtekstmedafstandptekstGaramond"/>
            </w:pPr>
          </w:p>
        </w:tc>
      </w:tr>
      <w:tr w:rsidR="00DC10A2" w:rsidRPr="00B5346F" w14:paraId="382056B7" w14:textId="77777777" w:rsidTr="003326BB">
        <w:tc>
          <w:tcPr>
            <w:tcW w:w="2310" w:type="dxa"/>
            <w:tcBorders>
              <w:bottom w:val="single" w:sz="4" w:space="0" w:color="D1C5C3" w:themeColor="accent3"/>
            </w:tcBorders>
            <w:shd w:val="clear" w:color="auto" w:fill="FBF9F9"/>
          </w:tcPr>
          <w:p w14:paraId="6A3CFE11" w14:textId="77777777" w:rsidR="00DC10A2" w:rsidRPr="00600E3E" w:rsidRDefault="007C2D52" w:rsidP="00DC10A2">
            <w:pPr>
              <w:pStyle w:val="Tabel-BrdtekstmedafstandptekstGaramond"/>
              <w:rPr>
                <w:i/>
              </w:rPr>
            </w:pPr>
            <w:r>
              <w:rPr>
                <w:i/>
              </w:rPr>
              <w:t>Ældresagen</w:t>
            </w:r>
          </w:p>
        </w:tc>
        <w:tc>
          <w:tcPr>
            <w:tcW w:w="213" w:type="dxa"/>
            <w:shd w:val="clear" w:color="auto" w:fill="FFFFFF" w:themeFill="background1"/>
          </w:tcPr>
          <w:p w14:paraId="40EBBB9A" w14:textId="77777777" w:rsidR="00DC10A2" w:rsidRPr="00B5346F" w:rsidRDefault="00DC10A2" w:rsidP="00DC10A2"/>
        </w:tc>
        <w:tc>
          <w:tcPr>
            <w:tcW w:w="3443" w:type="dxa"/>
            <w:tcBorders>
              <w:bottom w:val="single" w:sz="4" w:space="0" w:color="D1C5C3" w:themeColor="accent3"/>
            </w:tcBorders>
            <w:shd w:val="clear" w:color="auto" w:fill="FBF9F9"/>
          </w:tcPr>
          <w:p w14:paraId="0D2A9A80" w14:textId="77777777" w:rsidR="002452D9" w:rsidRPr="00E17DAE" w:rsidRDefault="002452D9" w:rsidP="002452D9">
            <w:pPr>
              <w:pStyle w:val="Tabel-BrdtekstmedafstandptekstGaramond"/>
              <w:rPr>
                <w:bCs/>
                <w:i/>
                <w:iCs/>
              </w:rPr>
            </w:pPr>
            <w:r w:rsidRPr="00E17DAE">
              <w:rPr>
                <w:bCs/>
                <w:i/>
                <w:iCs/>
              </w:rPr>
              <w:t>Forhøjelse af bundfradrag ved udlejning af fritidsboliger</w:t>
            </w:r>
          </w:p>
          <w:p w14:paraId="2E88CC3A" w14:textId="77777777" w:rsidR="00DC10A2" w:rsidRPr="00B5346F" w:rsidRDefault="002F25E5" w:rsidP="00DC10A2">
            <w:pPr>
              <w:pStyle w:val="Tabel-BrdtekstmedafstandptekstGaramond"/>
            </w:pPr>
            <w:r>
              <w:t>Ingen bemærkninger.</w:t>
            </w:r>
          </w:p>
        </w:tc>
        <w:tc>
          <w:tcPr>
            <w:tcW w:w="230" w:type="dxa"/>
            <w:shd w:val="clear" w:color="auto" w:fill="FFFFFF" w:themeFill="background1"/>
          </w:tcPr>
          <w:p w14:paraId="510F9946" w14:textId="77777777" w:rsidR="00DC10A2" w:rsidRPr="00B5346F" w:rsidRDefault="00DC10A2" w:rsidP="00DC10A2"/>
        </w:tc>
        <w:tc>
          <w:tcPr>
            <w:tcW w:w="3443" w:type="dxa"/>
            <w:tcBorders>
              <w:bottom w:val="single" w:sz="4" w:space="0" w:color="14143C" w:themeColor="accent1"/>
            </w:tcBorders>
            <w:shd w:val="clear" w:color="auto" w:fill="D2CED8"/>
          </w:tcPr>
          <w:p w14:paraId="5E77E1DA" w14:textId="77777777" w:rsidR="00DC10A2" w:rsidRPr="00B5346F" w:rsidRDefault="00DC10A2" w:rsidP="00DC10A2">
            <w:pPr>
              <w:pStyle w:val="Tabel-BrdtekstmedafstandptekstGaramond"/>
            </w:pPr>
          </w:p>
        </w:tc>
      </w:tr>
    </w:tbl>
    <w:p w14:paraId="4BAB813F" w14:textId="77777777" w:rsidR="00600E3E" w:rsidRDefault="00600E3E" w:rsidP="002B3C73">
      <w:pPr>
        <w:keepNext/>
        <w:keepLines/>
      </w:pPr>
    </w:p>
    <w:p w14:paraId="0D8A34C4" w14:textId="77777777" w:rsidR="00241A48" w:rsidRDefault="00241A48" w:rsidP="002B3C73">
      <w:pPr>
        <w:keepNext/>
        <w:keepLines/>
      </w:pPr>
    </w:p>
    <w:p w14:paraId="0A1705BE" w14:textId="77777777" w:rsidR="00241A48" w:rsidRDefault="00241A48" w:rsidP="002B3C73">
      <w:pPr>
        <w:keepNext/>
        <w:keepLines/>
      </w:pPr>
    </w:p>
    <w:p w14:paraId="304408E4" w14:textId="77777777" w:rsidR="00241A48" w:rsidRDefault="00241A48" w:rsidP="002B3C73">
      <w:pPr>
        <w:keepNext/>
        <w:keepLines/>
      </w:pPr>
    </w:p>
    <w:p w14:paraId="3D15D584" w14:textId="77777777" w:rsidR="00227E73" w:rsidRDefault="00227E73" w:rsidP="002B3C73">
      <w:pPr>
        <w:keepNext/>
        <w:keepLines/>
      </w:pPr>
    </w:p>
    <w:p w14:paraId="09ACF5C2" w14:textId="77777777" w:rsidR="00227E73" w:rsidRDefault="00227E73" w:rsidP="002B3C73">
      <w:pPr>
        <w:keepNext/>
        <w:keepLines/>
      </w:pPr>
    </w:p>
    <w:p w14:paraId="4B5CCDEC" w14:textId="77777777" w:rsidR="00227E73" w:rsidRDefault="00227E73" w:rsidP="002B3C73">
      <w:pPr>
        <w:keepNext/>
        <w:keepLines/>
      </w:pPr>
    </w:p>
    <w:p w14:paraId="4254A449" w14:textId="77777777" w:rsidR="00227E73" w:rsidRPr="00227E73" w:rsidRDefault="00227E73" w:rsidP="00227E73">
      <w:pPr>
        <w:spacing w:line="288" w:lineRule="auto"/>
        <w:rPr>
          <w:i/>
          <w:szCs w:val="22"/>
        </w:rPr>
      </w:pPr>
    </w:p>
    <w:p w14:paraId="442F5E49" w14:textId="77777777" w:rsidR="00227E73" w:rsidRDefault="00227E73" w:rsidP="002B3C73">
      <w:pPr>
        <w:keepNext/>
        <w:keepLines/>
      </w:pPr>
    </w:p>
    <w:p w14:paraId="6840E139" w14:textId="77777777" w:rsidR="00241A48" w:rsidRPr="00F37F63" w:rsidRDefault="00241A48" w:rsidP="002B3C73">
      <w:pPr>
        <w:keepNext/>
        <w:keepLines/>
      </w:pPr>
    </w:p>
    <w:sectPr w:rsidR="00241A48" w:rsidRPr="00F37F63" w:rsidSect="00207BEC">
      <w:headerReference w:type="even" r:id="rId7"/>
      <w:headerReference w:type="default" r:id="rId8"/>
      <w:footerReference w:type="even" r:id="rId9"/>
      <w:footerReference w:type="default" r:id="rId10"/>
      <w:headerReference w:type="first" r:id="rId11"/>
      <w:footerReference w:type="first" r:id="rId12"/>
      <w:pgSz w:w="11906" w:h="16838" w:code="9"/>
      <w:pgMar w:top="2381" w:right="3119" w:bottom="1701" w:left="1134" w:header="567"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07442" w14:textId="77777777" w:rsidR="00304663" w:rsidRDefault="00304663" w:rsidP="009E4B94">
      <w:pPr>
        <w:spacing w:line="240" w:lineRule="auto"/>
      </w:pPr>
      <w:r>
        <w:separator/>
      </w:r>
    </w:p>
  </w:endnote>
  <w:endnote w:type="continuationSeparator" w:id="0">
    <w:p w14:paraId="75817AFA" w14:textId="77777777" w:rsidR="00304663" w:rsidRDefault="00304663"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5775A" w14:textId="77777777" w:rsidR="004876C9" w:rsidRDefault="004876C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C93C" w14:textId="77777777" w:rsidR="004876C9" w:rsidRPr="00681D83" w:rsidRDefault="004876C9" w:rsidP="00C51167">
    <w:pPr>
      <w:pStyle w:val="Sidefod"/>
    </w:pPr>
    <w:r>
      <w:rPr>
        <w:noProof/>
        <w:lang w:eastAsia="da-DK"/>
      </w:rPr>
      <mc:AlternateContent>
        <mc:Choice Requires="wps">
          <w:drawing>
            <wp:anchor distT="0" distB="0" distL="114300" distR="114300" simplePos="0" relativeHeight="251662336" behindDoc="0" locked="0" layoutInCell="1" allowOverlap="1" wp14:anchorId="2CE56C0C" wp14:editId="786EC08D">
              <wp:simplePos x="0" y="0"/>
              <wp:positionH relativeFrom="rightMargin">
                <wp:posOffset>363855</wp:posOffset>
              </wp:positionH>
              <wp:positionV relativeFrom="page">
                <wp:posOffset>10002520</wp:posOffset>
              </wp:positionV>
              <wp:extent cx="1249680" cy="542925"/>
              <wp:effectExtent l="0" t="0" r="7620" b="6350"/>
              <wp:wrapNone/>
              <wp:docPr id="5" name="Text Box 5"/>
              <wp:cNvGraphicFramePr/>
              <a:graphic xmlns:a="http://schemas.openxmlformats.org/drawingml/2006/main">
                <a:graphicData uri="http://schemas.microsoft.com/office/word/2010/wordprocessingShape">
                  <wps:wsp>
                    <wps:cNvSpPr txBox="1"/>
                    <wps:spPr>
                      <a:xfrm>
                        <a:off x="0" y="0"/>
                        <a:ext cx="124968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3E7105" w14:textId="22AFBE50" w:rsidR="004876C9" w:rsidRPr="00094ABD" w:rsidRDefault="004876C9"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D355A5">
                            <w:rPr>
                              <w:rStyle w:val="Sidetal"/>
                              <w:noProof/>
                            </w:rPr>
                            <w:t>23</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390D69">
                            <w:rPr>
                              <w:rStyle w:val="Sidetal"/>
                              <w:noProof/>
                            </w:rPr>
                            <w:t>23</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E56C0C" id="_x0000_t202" coordsize="21600,21600" o:spt="202" path="m,l,21600r21600,l21600,xe">
              <v:stroke joinstyle="miter"/>
              <v:path gradientshapeok="t" o:connecttype="rect"/>
            </v:shapetype>
            <v:shape id="Text Box 5" o:spid="_x0000_s1026" type="#_x0000_t202" style="position:absolute;margin-left:28.65pt;margin-top:787.6pt;width:98.4pt;height:42.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BdAIAAFIFAAAOAAAAZHJzL2Uyb0RvYy54bWysVN9P2zAQfp+0/8Hy+0jpKIKKFHUgpkkI&#10;EDDx7Do2jeb4PNtt0v31++wkBbG9MO3Fufi+O9+P7+7svGsM2yofarIlPzyYcKaspKq2zyX//nj1&#10;6YSzEIWthCGrSr5TgZ8vPn44a91cTWlNplKewYkN89aVfB2jmxdFkGvViHBATlkoNflGRPz656Ly&#10;ooX3xhTTyeS4aMlXzpNUIeD2slfyRfavtZLxVuugIjMlR2wxnz6fq3QWizMxf/bCrWs5hCH+IYpG&#10;1BaP7l1diijYxtd/uGpq6SmQjgeSmoK0rqXKOSCbw8mbbB7WwqmcC4oT3L5M4f+5lTfbO8/qquQz&#10;zqxo0KJH1UX2hTo2S9VpXZgD9OAAix2u0eXxPuAyJd1p36Qv0mHQo867fW2TM5mMpkenxydQSehm&#10;R9PTaXZfvFg7H+JXRQ1LQsk9epdLKrbXISISQEdIeszSVW1M7p+xrC358efZJBvsNbAwNmFVZsLg&#10;JmXUR56luDMqYYy9VxqVyAmki8xBdWE82wqwR0ipbMy5Z79AJ5RGEO8xHPAvUb3HuM9jfJls3Bs3&#10;tSWfs38TdvVjDFn3eBTyVd5JjN2qGzq9omqHRnvqByU4eVWjG9cixDvhMRloIKY93uLQhlB1GiTO&#10;1uR//e0+4UFYaDlrMWklDz83wivOzDcLKqexHAU/CqtRsJvmglD+Q+wRJ7MIAx/NKGpPzROWwDK9&#10;ApWwEm+VPI7iReznHUtEquUygzB8TsRr++Bkcp26kbj12D0J7wYCRlD3hsYZFPM3POyxmShuuYlg&#10;YyZpKmhfxaHQGNzM3WHJpM3w+j+jXlbh4jcAAAD//wMAUEsDBBQABgAIAAAAIQCU6TcH4QAAAAwB&#10;AAAPAAAAZHJzL2Rvd25yZXYueG1sTI9BT4QwEIXvJv6HZky8ue2igEHKxhjdg56WNcbjLC0UpS2h&#10;XRb99Y4nPc6bN2++V24WO7BZT6H3TsJ6JYBp13jVu07C6/7p6hZYiOgUDt5pCV86wKY6PyuxUP7k&#10;dnquY8coxIUCJZgYx4Lz0BhtMaz8qB3tWj9ZjDROHVcTnijcDjwRIuMWe0cfDI76wejmsz5awnh7&#10;EXb73Zp3+4xtqM1+3j5+SHl5sdzfAYt6iX9m+MWnG6iI6eCPTgU2SEjza3KSnuZpAowcSXqzBnYg&#10;KctEDrwq+f8S1Q8AAAD//wMAUEsBAi0AFAAGAAgAAAAhALaDOJL+AAAA4QEAABMAAAAAAAAAAAAA&#10;AAAAAAAAAFtDb250ZW50X1R5cGVzXS54bWxQSwECLQAUAAYACAAAACEAOP0h/9YAAACUAQAACwAA&#10;AAAAAAAAAAAAAAAvAQAAX3JlbHMvLnJlbHNQSwECLQAUAAYACAAAACEAEffwwXQCAABSBQAADgAA&#10;AAAAAAAAAAAAAAAuAgAAZHJzL2Uyb0RvYy54bWxQSwECLQAUAAYACAAAACEAlOk3B+EAAAAMAQAA&#10;DwAAAAAAAAAAAAAAAADOBAAAZHJzL2Rvd25yZXYueG1sUEsFBgAAAAAEAAQA8wAAANwFAAAAAA==&#10;" filled="f" stroked="f" strokeweight=".5pt">
              <v:textbox style="mso-fit-shape-to-text:t" inset="0,0,0,0">
                <w:txbxContent>
                  <w:p w14:paraId="593E7105" w14:textId="22AFBE50" w:rsidR="004876C9" w:rsidRPr="00094ABD" w:rsidRDefault="004876C9"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D355A5">
                      <w:rPr>
                        <w:rStyle w:val="Sidetal"/>
                        <w:noProof/>
                      </w:rPr>
                      <w:t>23</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390D69">
                      <w:rPr>
                        <w:rStyle w:val="Sidetal"/>
                        <w:noProof/>
                      </w:rPr>
                      <w:t>23</w:t>
                    </w:r>
                    <w:r w:rsidRPr="00094ABD">
                      <w:rPr>
                        <w:rStyle w:val="Sidetal"/>
                      </w:rPr>
                      <w:fldChar w:fldCharType="end"/>
                    </w:r>
                  </w:p>
                </w:txbxContent>
              </v:textbox>
              <w10:wrap anchorx="margin" anchory="page"/>
            </v:shape>
          </w:pict>
        </mc:Fallback>
      </mc:AlternateContent>
    </w:r>
    <w:r>
      <w:rPr>
        <w:noProof/>
        <w:lang w:eastAsia="da-DK"/>
      </w:rPr>
      <w:drawing>
        <wp:anchor distT="0" distB="0" distL="114300" distR="114300" simplePos="0" relativeHeight="251669504" behindDoc="0" locked="0" layoutInCell="1" allowOverlap="1" wp14:anchorId="4BDDEA44" wp14:editId="1B711516">
          <wp:simplePos x="0" y="0"/>
          <wp:positionH relativeFrom="page">
            <wp:posOffset>5929630</wp:posOffset>
          </wp:positionH>
          <wp:positionV relativeFrom="page">
            <wp:posOffset>10261600</wp:posOffset>
          </wp:positionV>
          <wp:extent cx="1270800" cy="7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FF01" w14:textId="77777777" w:rsidR="004876C9" w:rsidRPr="00094ABD" w:rsidRDefault="004876C9" w:rsidP="00C51167">
    <w:pPr>
      <w:pStyle w:val="Sidefod"/>
    </w:pPr>
    <w:r>
      <w:rPr>
        <w:noProof/>
        <w:lang w:eastAsia="da-DK"/>
      </w:rPr>
      <w:drawing>
        <wp:anchor distT="0" distB="0" distL="114300" distR="114300" simplePos="0" relativeHeight="251667456" behindDoc="0" locked="0" layoutInCell="1" allowOverlap="1" wp14:anchorId="03BBC96F" wp14:editId="562B613E">
          <wp:simplePos x="0" y="0"/>
          <wp:positionH relativeFrom="page">
            <wp:posOffset>5930900</wp:posOffset>
          </wp:positionH>
          <wp:positionV relativeFrom="page">
            <wp:posOffset>10261600</wp:posOffset>
          </wp:positionV>
          <wp:extent cx="1270800" cy="79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62B12" w14:textId="77777777" w:rsidR="00304663" w:rsidRDefault="00304663" w:rsidP="009E4B94">
      <w:pPr>
        <w:spacing w:line="240" w:lineRule="auto"/>
      </w:pPr>
      <w:r>
        <w:separator/>
      </w:r>
    </w:p>
  </w:footnote>
  <w:footnote w:type="continuationSeparator" w:id="0">
    <w:p w14:paraId="1D44A1B1" w14:textId="77777777" w:rsidR="00304663" w:rsidRDefault="00304663"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1F2C3" w14:textId="77777777" w:rsidR="004876C9" w:rsidRDefault="004876C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C5C13" w14:textId="77777777" w:rsidR="004876C9" w:rsidRDefault="004876C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DD4BC" w14:textId="77777777" w:rsidR="004876C9" w:rsidRDefault="004876C9" w:rsidP="00CE262C">
    <w:pPr>
      <w:pStyle w:val="Sidehoved"/>
    </w:pPr>
    <w:r>
      <w:rPr>
        <w:noProof/>
        <w:lang w:eastAsia="da-DK"/>
      </w:rPr>
      <w:drawing>
        <wp:anchor distT="0" distB="0" distL="114300" distR="114300" simplePos="0" relativeHeight="251666432" behindDoc="0" locked="0" layoutInCell="1" allowOverlap="1" wp14:anchorId="5C42B36C" wp14:editId="05EA2C8D">
          <wp:simplePos x="0" y="0"/>
          <wp:positionH relativeFrom="page">
            <wp:posOffset>3009900</wp:posOffset>
          </wp:positionH>
          <wp:positionV relativeFrom="page">
            <wp:posOffset>487680</wp:posOffset>
          </wp:positionV>
          <wp:extent cx="154686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A756AA3"/>
    <w:multiLevelType w:val="hybridMultilevel"/>
    <w:tmpl w:val="72CA0EA6"/>
    <w:lvl w:ilvl="0" w:tplc="580C1B44">
      <w:start w:val="1"/>
      <w:numFmt w:val="decimal"/>
      <w:lvlText w:val="%1."/>
      <w:lvlJc w:val="left"/>
      <w:pPr>
        <w:ind w:left="587" w:hanging="360"/>
      </w:pPr>
      <w:rPr>
        <w:rFonts w:hint="default"/>
      </w:rPr>
    </w:lvl>
    <w:lvl w:ilvl="1" w:tplc="04060019" w:tentative="1">
      <w:start w:val="1"/>
      <w:numFmt w:val="lowerLetter"/>
      <w:lvlText w:val="%2."/>
      <w:lvlJc w:val="left"/>
      <w:pPr>
        <w:ind w:left="1307" w:hanging="360"/>
      </w:pPr>
    </w:lvl>
    <w:lvl w:ilvl="2" w:tplc="0406001B" w:tentative="1">
      <w:start w:val="1"/>
      <w:numFmt w:val="lowerRoman"/>
      <w:lvlText w:val="%3."/>
      <w:lvlJc w:val="right"/>
      <w:pPr>
        <w:ind w:left="2027" w:hanging="180"/>
      </w:pPr>
    </w:lvl>
    <w:lvl w:ilvl="3" w:tplc="0406000F" w:tentative="1">
      <w:start w:val="1"/>
      <w:numFmt w:val="decimal"/>
      <w:lvlText w:val="%4."/>
      <w:lvlJc w:val="left"/>
      <w:pPr>
        <w:ind w:left="2747" w:hanging="360"/>
      </w:pPr>
    </w:lvl>
    <w:lvl w:ilvl="4" w:tplc="04060019" w:tentative="1">
      <w:start w:val="1"/>
      <w:numFmt w:val="lowerLetter"/>
      <w:lvlText w:val="%5."/>
      <w:lvlJc w:val="left"/>
      <w:pPr>
        <w:ind w:left="3467" w:hanging="360"/>
      </w:pPr>
    </w:lvl>
    <w:lvl w:ilvl="5" w:tplc="0406001B" w:tentative="1">
      <w:start w:val="1"/>
      <w:numFmt w:val="lowerRoman"/>
      <w:lvlText w:val="%6."/>
      <w:lvlJc w:val="right"/>
      <w:pPr>
        <w:ind w:left="4187" w:hanging="180"/>
      </w:pPr>
    </w:lvl>
    <w:lvl w:ilvl="6" w:tplc="0406000F" w:tentative="1">
      <w:start w:val="1"/>
      <w:numFmt w:val="decimal"/>
      <w:lvlText w:val="%7."/>
      <w:lvlJc w:val="left"/>
      <w:pPr>
        <w:ind w:left="4907" w:hanging="360"/>
      </w:pPr>
    </w:lvl>
    <w:lvl w:ilvl="7" w:tplc="04060019" w:tentative="1">
      <w:start w:val="1"/>
      <w:numFmt w:val="lowerLetter"/>
      <w:lvlText w:val="%8."/>
      <w:lvlJc w:val="left"/>
      <w:pPr>
        <w:ind w:left="5627" w:hanging="360"/>
      </w:pPr>
    </w:lvl>
    <w:lvl w:ilvl="8" w:tplc="0406001B" w:tentative="1">
      <w:start w:val="1"/>
      <w:numFmt w:val="lowerRoman"/>
      <w:lvlText w:val="%9."/>
      <w:lvlJc w:val="right"/>
      <w:pPr>
        <w:ind w:left="6347" w:hanging="180"/>
      </w:pPr>
    </w:lvl>
  </w:abstractNum>
  <w:abstractNum w:abstractNumId="10" w15:restartNumberingAfterBreak="0">
    <w:nsid w:val="2E9B2469"/>
    <w:multiLevelType w:val="hybridMultilevel"/>
    <w:tmpl w:val="75525D84"/>
    <w:lvl w:ilvl="0" w:tplc="31389068">
      <w:start w:val="1"/>
      <w:numFmt w:val="decimal"/>
      <w:lvlText w:val="%1."/>
      <w:lvlJc w:val="left"/>
      <w:pPr>
        <w:ind w:left="587" w:hanging="360"/>
      </w:pPr>
      <w:rPr>
        <w:rFonts w:hint="default"/>
      </w:rPr>
    </w:lvl>
    <w:lvl w:ilvl="1" w:tplc="04060019" w:tentative="1">
      <w:start w:val="1"/>
      <w:numFmt w:val="lowerLetter"/>
      <w:lvlText w:val="%2."/>
      <w:lvlJc w:val="left"/>
      <w:pPr>
        <w:ind w:left="1307" w:hanging="360"/>
      </w:pPr>
    </w:lvl>
    <w:lvl w:ilvl="2" w:tplc="0406001B" w:tentative="1">
      <w:start w:val="1"/>
      <w:numFmt w:val="lowerRoman"/>
      <w:lvlText w:val="%3."/>
      <w:lvlJc w:val="right"/>
      <w:pPr>
        <w:ind w:left="2027" w:hanging="180"/>
      </w:pPr>
    </w:lvl>
    <w:lvl w:ilvl="3" w:tplc="0406000F" w:tentative="1">
      <w:start w:val="1"/>
      <w:numFmt w:val="decimal"/>
      <w:lvlText w:val="%4."/>
      <w:lvlJc w:val="left"/>
      <w:pPr>
        <w:ind w:left="2747" w:hanging="360"/>
      </w:pPr>
    </w:lvl>
    <w:lvl w:ilvl="4" w:tplc="04060019" w:tentative="1">
      <w:start w:val="1"/>
      <w:numFmt w:val="lowerLetter"/>
      <w:lvlText w:val="%5."/>
      <w:lvlJc w:val="left"/>
      <w:pPr>
        <w:ind w:left="3467" w:hanging="360"/>
      </w:pPr>
    </w:lvl>
    <w:lvl w:ilvl="5" w:tplc="0406001B" w:tentative="1">
      <w:start w:val="1"/>
      <w:numFmt w:val="lowerRoman"/>
      <w:lvlText w:val="%6."/>
      <w:lvlJc w:val="right"/>
      <w:pPr>
        <w:ind w:left="4187" w:hanging="180"/>
      </w:pPr>
    </w:lvl>
    <w:lvl w:ilvl="6" w:tplc="0406000F" w:tentative="1">
      <w:start w:val="1"/>
      <w:numFmt w:val="decimal"/>
      <w:lvlText w:val="%7."/>
      <w:lvlJc w:val="left"/>
      <w:pPr>
        <w:ind w:left="4907" w:hanging="360"/>
      </w:pPr>
    </w:lvl>
    <w:lvl w:ilvl="7" w:tplc="04060019" w:tentative="1">
      <w:start w:val="1"/>
      <w:numFmt w:val="lowerLetter"/>
      <w:lvlText w:val="%8."/>
      <w:lvlJc w:val="left"/>
      <w:pPr>
        <w:ind w:left="5627" w:hanging="360"/>
      </w:pPr>
    </w:lvl>
    <w:lvl w:ilvl="8" w:tplc="0406001B" w:tentative="1">
      <w:start w:val="1"/>
      <w:numFmt w:val="lowerRoman"/>
      <w:lvlText w:val="%9."/>
      <w:lvlJc w:val="right"/>
      <w:pPr>
        <w:ind w:left="6347" w:hanging="180"/>
      </w:pPr>
    </w:lvl>
  </w:abstractNum>
  <w:abstractNum w:abstractNumId="11" w15:restartNumberingAfterBreak="0">
    <w:nsid w:val="34A96C89"/>
    <w:multiLevelType w:val="singleLevel"/>
    <w:tmpl w:val="9C16A990"/>
    <w:lvl w:ilvl="0">
      <w:start w:val="1"/>
      <w:numFmt w:val="decimal"/>
      <w:lvlRestart w:val="0"/>
      <w:lvlText w:val="%1."/>
      <w:lvlJc w:val="left"/>
      <w:pPr>
        <w:ind w:left="340" w:hanging="340"/>
      </w:pPr>
    </w:lvl>
  </w:abstractNum>
  <w:abstractNum w:abstractNumId="12" w15:restartNumberingAfterBreak="0">
    <w:nsid w:val="3EE1058B"/>
    <w:multiLevelType w:val="hybridMultilevel"/>
    <w:tmpl w:val="E6ACF3BA"/>
    <w:lvl w:ilvl="0" w:tplc="F6B051AE">
      <w:start w:val="1"/>
      <w:numFmt w:val="decimal"/>
      <w:lvlText w:val="%1."/>
      <w:lvlJc w:val="left"/>
      <w:pPr>
        <w:ind w:left="587" w:hanging="360"/>
      </w:pPr>
      <w:rPr>
        <w:rFonts w:hint="default"/>
      </w:rPr>
    </w:lvl>
    <w:lvl w:ilvl="1" w:tplc="04060019" w:tentative="1">
      <w:start w:val="1"/>
      <w:numFmt w:val="lowerLetter"/>
      <w:lvlText w:val="%2."/>
      <w:lvlJc w:val="left"/>
      <w:pPr>
        <w:ind w:left="1307" w:hanging="360"/>
      </w:pPr>
    </w:lvl>
    <w:lvl w:ilvl="2" w:tplc="0406001B" w:tentative="1">
      <w:start w:val="1"/>
      <w:numFmt w:val="lowerRoman"/>
      <w:lvlText w:val="%3."/>
      <w:lvlJc w:val="right"/>
      <w:pPr>
        <w:ind w:left="2027" w:hanging="180"/>
      </w:pPr>
    </w:lvl>
    <w:lvl w:ilvl="3" w:tplc="0406000F" w:tentative="1">
      <w:start w:val="1"/>
      <w:numFmt w:val="decimal"/>
      <w:lvlText w:val="%4."/>
      <w:lvlJc w:val="left"/>
      <w:pPr>
        <w:ind w:left="2747" w:hanging="360"/>
      </w:pPr>
    </w:lvl>
    <w:lvl w:ilvl="4" w:tplc="04060019" w:tentative="1">
      <w:start w:val="1"/>
      <w:numFmt w:val="lowerLetter"/>
      <w:lvlText w:val="%5."/>
      <w:lvlJc w:val="left"/>
      <w:pPr>
        <w:ind w:left="3467" w:hanging="360"/>
      </w:pPr>
    </w:lvl>
    <w:lvl w:ilvl="5" w:tplc="0406001B" w:tentative="1">
      <w:start w:val="1"/>
      <w:numFmt w:val="lowerRoman"/>
      <w:lvlText w:val="%6."/>
      <w:lvlJc w:val="right"/>
      <w:pPr>
        <w:ind w:left="4187" w:hanging="180"/>
      </w:pPr>
    </w:lvl>
    <w:lvl w:ilvl="6" w:tplc="0406000F" w:tentative="1">
      <w:start w:val="1"/>
      <w:numFmt w:val="decimal"/>
      <w:lvlText w:val="%7."/>
      <w:lvlJc w:val="left"/>
      <w:pPr>
        <w:ind w:left="4907" w:hanging="360"/>
      </w:pPr>
    </w:lvl>
    <w:lvl w:ilvl="7" w:tplc="04060019" w:tentative="1">
      <w:start w:val="1"/>
      <w:numFmt w:val="lowerLetter"/>
      <w:lvlText w:val="%8."/>
      <w:lvlJc w:val="left"/>
      <w:pPr>
        <w:ind w:left="5627" w:hanging="360"/>
      </w:pPr>
    </w:lvl>
    <w:lvl w:ilvl="8" w:tplc="0406001B" w:tentative="1">
      <w:start w:val="1"/>
      <w:numFmt w:val="lowerRoman"/>
      <w:lvlText w:val="%9."/>
      <w:lvlJc w:val="right"/>
      <w:pPr>
        <w:ind w:left="6347" w:hanging="180"/>
      </w:pPr>
    </w:lvl>
  </w:abstractNum>
  <w:abstractNum w:abstractNumId="13" w15:restartNumberingAfterBreak="0">
    <w:nsid w:val="65BB724B"/>
    <w:multiLevelType w:val="hybridMultilevel"/>
    <w:tmpl w:val="1FCE86A2"/>
    <w:lvl w:ilvl="0" w:tplc="C8D40A08">
      <w:start w:val="1"/>
      <w:numFmt w:val="decimal"/>
      <w:lvlText w:val="%1."/>
      <w:lvlJc w:val="left"/>
      <w:pPr>
        <w:ind w:left="587" w:hanging="360"/>
      </w:pPr>
      <w:rPr>
        <w:rFonts w:hint="default"/>
      </w:rPr>
    </w:lvl>
    <w:lvl w:ilvl="1" w:tplc="04060019" w:tentative="1">
      <w:start w:val="1"/>
      <w:numFmt w:val="lowerLetter"/>
      <w:lvlText w:val="%2."/>
      <w:lvlJc w:val="left"/>
      <w:pPr>
        <w:ind w:left="1307" w:hanging="360"/>
      </w:pPr>
    </w:lvl>
    <w:lvl w:ilvl="2" w:tplc="0406001B" w:tentative="1">
      <w:start w:val="1"/>
      <w:numFmt w:val="lowerRoman"/>
      <w:lvlText w:val="%3."/>
      <w:lvlJc w:val="right"/>
      <w:pPr>
        <w:ind w:left="2027" w:hanging="180"/>
      </w:pPr>
    </w:lvl>
    <w:lvl w:ilvl="3" w:tplc="0406000F" w:tentative="1">
      <w:start w:val="1"/>
      <w:numFmt w:val="decimal"/>
      <w:lvlText w:val="%4."/>
      <w:lvlJc w:val="left"/>
      <w:pPr>
        <w:ind w:left="2747" w:hanging="360"/>
      </w:pPr>
    </w:lvl>
    <w:lvl w:ilvl="4" w:tplc="04060019" w:tentative="1">
      <w:start w:val="1"/>
      <w:numFmt w:val="lowerLetter"/>
      <w:lvlText w:val="%5."/>
      <w:lvlJc w:val="left"/>
      <w:pPr>
        <w:ind w:left="3467" w:hanging="360"/>
      </w:pPr>
    </w:lvl>
    <w:lvl w:ilvl="5" w:tplc="0406001B" w:tentative="1">
      <w:start w:val="1"/>
      <w:numFmt w:val="lowerRoman"/>
      <w:lvlText w:val="%6."/>
      <w:lvlJc w:val="right"/>
      <w:pPr>
        <w:ind w:left="4187" w:hanging="180"/>
      </w:pPr>
    </w:lvl>
    <w:lvl w:ilvl="6" w:tplc="0406000F" w:tentative="1">
      <w:start w:val="1"/>
      <w:numFmt w:val="decimal"/>
      <w:lvlText w:val="%7."/>
      <w:lvlJc w:val="left"/>
      <w:pPr>
        <w:ind w:left="4907" w:hanging="360"/>
      </w:pPr>
    </w:lvl>
    <w:lvl w:ilvl="7" w:tplc="04060019" w:tentative="1">
      <w:start w:val="1"/>
      <w:numFmt w:val="lowerLetter"/>
      <w:lvlText w:val="%8."/>
      <w:lvlJc w:val="left"/>
      <w:pPr>
        <w:ind w:left="5627" w:hanging="360"/>
      </w:pPr>
    </w:lvl>
    <w:lvl w:ilvl="8" w:tplc="0406001B" w:tentative="1">
      <w:start w:val="1"/>
      <w:numFmt w:val="lowerRoman"/>
      <w:lvlText w:val="%9."/>
      <w:lvlJc w:val="right"/>
      <w:pPr>
        <w:ind w:left="6347" w:hanging="180"/>
      </w:pPr>
    </w:lvl>
  </w:abstractNum>
  <w:abstractNum w:abstractNumId="14" w15:restartNumberingAfterBreak="0">
    <w:nsid w:val="6F1378B1"/>
    <w:multiLevelType w:val="hybridMultilevel"/>
    <w:tmpl w:val="0B6684C4"/>
    <w:lvl w:ilvl="0" w:tplc="D902DF02">
      <w:numFmt w:val="bullet"/>
      <w:lvlText w:val="-"/>
      <w:lvlJc w:val="left"/>
      <w:pPr>
        <w:ind w:left="587" w:hanging="360"/>
      </w:pPr>
      <w:rPr>
        <w:rFonts w:ascii="Garamond" w:eastAsiaTheme="minorHAnsi" w:hAnsi="Garamond" w:cstheme="minorBidi" w:hint="default"/>
      </w:rPr>
    </w:lvl>
    <w:lvl w:ilvl="1" w:tplc="04060003" w:tentative="1">
      <w:start w:val="1"/>
      <w:numFmt w:val="bullet"/>
      <w:lvlText w:val="o"/>
      <w:lvlJc w:val="left"/>
      <w:pPr>
        <w:ind w:left="1307" w:hanging="360"/>
      </w:pPr>
      <w:rPr>
        <w:rFonts w:ascii="Courier New" w:hAnsi="Courier New" w:cs="Courier New" w:hint="default"/>
      </w:rPr>
    </w:lvl>
    <w:lvl w:ilvl="2" w:tplc="04060005" w:tentative="1">
      <w:start w:val="1"/>
      <w:numFmt w:val="bullet"/>
      <w:lvlText w:val=""/>
      <w:lvlJc w:val="left"/>
      <w:pPr>
        <w:ind w:left="2027" w:hanging="360"/>
      </w:pPr>
      <w:rPr>
        <w:rFonts w:ascii="Wingdings" w:hAnsi="Wingdings" w:hint="default"/>
      </w:rPr>
    </w:lvl>
    <w:lvl w:ilvl="3" w:tplc="04060001" w:tentative="1">
      <w:start w:val="1"/>
      <w:numFmt w:val="bullet"/>
      <w:lvlText w:val=""/>
      <w:lvlJc w:val="left"/>
      <w:pPr>
        <w:ind w:left="2747" w:hanging="360"/>
      </w:pPr>
      <w:rPr>
        <w:rFonts w:ascii="Symbol" w:hAnsi="Symbol" w:hint="default"/>
      </w:rPr>
    </w:lvl>
    <w:lvl w:ilvl="4" w:tplc="04060003" w:tentative="1">
      <w:start w:val="1"/>
      <w:numFmt w:val="bullet"/>
      <w:lvlText w:val="o"/>
      <w:lvlJc w:val="left"/>
      <w:pPr>
        <w:ind w:left="3467" w:hanging="360"/>
      </w:pPr>
      <w:rPr>
        <w:rFonts w:ascii="Courier New" w:hAnsi="Courier New" w:cs="Courier New" w:hint="default"/>
      </w:rPr>
    </w:lvl>
    <w:lvl w:ilvl="5" w:tplc="04060005" w:tentative="1">
      <w:start w:val="1"/>
      <w:numFmt w:val="bullet"/>
      <w:lvlText w:val=""/>
      <w:lvlJc w:val="left"/>
      <w:pPr>
        <w:ind w:left="4187" w:hanging="360"/>
      </w:pPr>
      <w:rPr>
        <w:rFonts w:ascii="Wingdings" w:hAnsi="Wingdings" w:hint="default"/>
      </w:rPr>
    </w:lvl>
    <w:lvl w:ilvl="6" w:tplc="04060001" w:tentative="1">
      <w:start w:val="1"/>
      <w:numFmt w:val="bullet"/>
      <w:lvlText w:val=""/>
      <w:lvlJc w:val="left"/>
      <w:pPr>
        <w:ind w:left="4907" w:hanging="360"/>
      </w:pPr>
      <w:rPr>
        <w:rFonts w:ascii="Symbol" w:hAnsi="Symbol" w:hint="default"/>
      </w:rPr>
    </w:lvl>
    <w:lvl w:ilvl="7" w:tplc="04060003" w:tentative="1">
      <w:start w:val="1"/>
      <w:numFmt w:val="bullet"/>
      <w:lvlText w:val="o"/>
      <w:lvlJc w:val="left"/>
      <w:pPr>
        <w:ind w:left="5627" w:hanging="360"/>
      </w:pPr>
      <w:rPr>
        <w:rFonts w:ascii="Courier New" w:hAnsi="Courier New" w:cs="Courier New" w:hint="default"/>
      </w:rPr>
    </w:lvl>
    <w:lvl w:ilvl="8" w:tplc="04060005" w:tentative="1">
      <w:start w:val="1"/>
      <w:numFmt w:val="bullet"/>
      <w:lvlText w:val=""/>
      <w:lvlJc w:val="left"/>
      <w:pPr>
        <w:ind w:left="6347" w:hanging="360"/>
      </w:pPr>
      <w:rPr>
        <w:rFonts w:ascii="Wingdings" w:hAnsi="Wingdings" w:hint="default"/>
      </w:rPr>
    </w:lvl>
  </w:abstractNum>
  <w:abstractNum w:abstractNumId="15"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4"/>
  </w:num>
  <w:num w:numId="14">
    <w:abstractNumId w:val="12"/>
  </w:num>
  <w:num w:numId="15">
    <w:abstractNumId w:val="13"/>
  </w:num>
  <w:num w:numId="16">
    <w:abstractNumId w:val="9"/>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removePersonalInformation/>
  <w:removeDateAndTime/>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8B0"/>
    <w:rsid w:val="00004865"/>
    <w:rsid w:val="0000663E"/>
    <w:rsid w:val="00006DC9"/>
    <w:rsid w:val="00006F66"/>
    <w:rsid w:val="0000703F"/>
    <w:rsid w:val="00014184"/>
    <w:rsid w:val="0001480A"/>
    <w:rsid w:val="0001534C"/>
    <w:rsid w:val="00017063"/>
    <w:rsid w:val="00017586"/>
    <w:rsid w:val="0002656E"/>
    <w:rsid w:val="00030F87"/>
    <w:rsid w:val="00034F79"/>
    <w:rsid w:val="000423FF"/>
    <w:rsid w:val="00045E50"/>
    <w:rsid w:val="00050012"/>
    <w:rsid w:val="00062109"/>
    <w:rsid w:val="00063629"/>
    <w:rsid w:val="00066A26"/>
    <w:rsid w:val="00081169"/>
    <w:rsid w:val="0009484C"/>
    <w:rsid w:val="00094ABD"/>
    <w:rsid w:val="00096D65"/>
    <w:rsid w:val="000A42E7"/>
    <w:rsid w:val="000B2946"/>
    <w:rsid w:val="000C0F0F"/>
    <w:rsid w:val="000C4289"/>
    <w:rsid w:val="000C6781"/>
    <w:rsid w:val="000D2BB0"/>
    <w:rsid w:val="000F27FA"/>
    <w:rsid w:val="000F3A25"/>
    <w:rsid w:val="000F4D15"/>
    <w:rsid w:val="000F6FF9"/>
    <w:rsid w:val="00103B50"/>
    <w:rsid w:val="001158CE"/>
    <w:rsid w:val="0011616F"/>
    <w:rsid w:val="00121584"/>
    <w:rsid w:val="0012206D"/>
    <w:rsid w:val="001278A8"/>
    <w:rsid w:val="00127940"/>
    <w:rsid w:val="00127C38"/>
    <w:rsid w:val="00131F5D"/>
    <w:rsid w:val="0013244F"/>
    <w:rsid w:val="00151113"/>
    <w:rsid w:val="00152C4B"/>
    <w:rsid w:val="00153F40"/>
    <w:rsid w:val="00161AF0"/>
    <w:rsid w:val="00165D2F"/>
    <w:rsid w:val="00170CCF"/>
    <w:rsid w:val="00182651"/>
    <w:rsid w:val="00182FDC"/>
    <w:rsid w:val="001863A7"/>
    <w:rsid w:val="001A2678"/>
    <w:rsid w:val="001D0093"/>
    <w:rsid w:val="001D6BD9"/>
    <w:rsid w:val="001E79D1"/>
    <w:rsid w:val="001F12B2"/>
    <w:rsid w:val="001F2726"/>
    <w:rsid w:val="001F374B"/>
    <w:rsid w:val="00202C5E"/>
    <w:rsid w:val="00203DE6"/>
    <w:rsid w:val="00207BEC"/>
    <w:rsid w:val="0022582F"/>
    <w:rsid w:val="00227E73"/>
    <w:rsid w:val="002301C3"/>
    <w:rsid w:val="00241A48"/>
    <w:rsid w:val="00244D70"/>
    <w:rsid w:val="002452D9"/>
    <w:rsid w:val="002633C0"/>
    <w:rsid w:val="0026468A"/>
    <w:rsid w:val="00267514"/>
    <w:rsid w:val="002849F6"/>
    <w:rsid w:val="002870F4"/>
    <w:rsid w:val="002938B0"/>
    <w:rsid w:val="002942BE"/>
    <w:rsid w:val="00297D70"/>
    <w:rsid w:val="002A49E8"/>
    <w:rsid w:val="002B3C73"/>
    <w:rsid w:val="002B580A"/>
    <w:rsid w:val="002C258E"/>
    <w:rsid w:val="002C2A3E"/>
    <w:rsid w:val="002D3744"/>
    <w:rsid w:val="002E233E"/>
    <w:rsid w:val="002E30A1"/>
    <w:rsid w:val="002E6B15"/>
    <w:rsid w:val="002E74A4"/>
    <w:rsid w:val="002F059F"/>
    <w:rsid w:val="002F25E5"/>
    <w:rsid w:val="002F32F6"/>
    <w:rsid w:val="00302887"/>
    <w:rsid w:val="00304663"/>
    <w:rsid w:val="003075A8"/>
    <w:rsid w:val="0031268A"/>
    <w:rsid w:val="00313D3E"/>
    <w:rsid w:val="0032253D"/>
    <w:rsid w:val="00324E01"/>
    <w:rsid w:val="003320FB"/>
    <w:rsid w:val="003326BB"/>
    <w:rsid w:val="00351C70"/>
    <w:rsid w:val="003724E7"/>
    <w:rsid w:val="003811CD"/>
    <w:rsid w:val="00383FB7"/>
    <w:rsid w:val="00390D69"/>
    <w:rsid w:val="003A3256"/>
    <w:rsid w:val="003B35B0"/>
    <w:rsid w:val="003B578A"/>
    <w:rsid w:val="003C4F9F"/>
    <w:rsid w:val="003C596E"/>
    <w:rsid w:val="003C60F1"/>
    <w:rsid w:val="003D7907"/>
    <w:rsid w:val="003F26D7"/>
    <w:rsid w:val="003F4CD1"/>
    <w:rsid w:val="003F52AC"/>
    <w:rsid w:val="003F596F"/>
    <w:rsid w:val="00400469"/>
    <w:rsid w:val="00404BF7"/>
    <w:rsid w:val="00410513"/>
    <w:rsid w:val="004141C6"/>
    <w:rsid w:val="00415896"/>
    <w:rsid w:val="00416196"/>
    <w:rsid w:val="00424709"/>
    <w:rsid w:val="00425F90"/>
    <w:rsid w:val="00432080"/>
    <w:rsid w:val="00437CDD"/>
    <w:rsid w:val="00446687"/>
    <w:rsid w:val="00455537"/>
    <w:rsid w:val="00466136"/>
    <w:rsid w:val="00484640"/>
    <w:rsid w:val="004876C9"/>
    <w:rsid w:val="00491D5C"/>
    <w:rsid w:val="004A5600"/>
    <w:rsid w:val="004B5150"/>
    <w:rsid w:val="004B5A2A"/>
    <w:rsid w:val="004C01B2"/>
    <w:rsid w:val="004C1268"/>
    <w:rsid w:val="004C5EF5"/>
    <w:rsid w:val="004D0057"/>
    <w:rsid w:val="004D005F"/>
    <w:rsid w:val="004D0A20"/>
    <w:rsid w:val="004D2BD7"/>
    <w:rsid w:val="004D46CB"/>
    <w:rsid w:val="004E5FA3"/>
    <w:rsid w:val="004E7119"/>
    <w:rsid w:val="00503680"/>
    <w:rsid w:val="00504882"/>
    <w:rsid w:val="00507C18"/>
    <w:rsid w:val="005155EC"/>
    <w:rsid w:val="00522DA7"/>
    <w:rsid w:val="00525897"/>
    <w:rsid w:val="00530A82"/>
    <w:rsid w:val="00535188"/>
    <w:rsid w:val="0053662E"/>
    <w:rsid w:val="00543389"/>
    <w:rsid w:val="00546077"/>
    <w:rsid w:val="00562DFF"/>
    <w:rsid w:val="00563829"/>
    <w:rsid w:val="00567FE3"/>
    <w:rsid w:val="0058664E"/>
    <w:rsid w:val="005916CB"/>
    <w:rsid w:val="00595E72"/>
    <w:rsid w:val="005A28D4"/>
    <w:rsid w:val="005B3DBB"/>
    <w:rsid w:val="005B4028"/>
    <w:rsid w:val="005C5F30"/>
    <w:rsid w:val="005C5F97"/>
    <w:rsid w:val="005D22A2"/>
    <w:rsid w:val="005D3111"/>
    <w:rsid w:val="005E0647"/>
    <w:rsid w:val="005E1E9F"/>
    <w:rsid w:val="005E4D73"/>
    <w:rsid w:val="005F1580"/>
    <w:rsid w:val="005F3493"/>
    <w:rsid w:val="005F3ED8"/>
    <w:rsid w:val="00600E3E"/>
    <w:rsid w:val="00622C50"/>
    <w:rsid w:val="00631E5A"/>
    <w:rsid w:val="00632BC4"/>
    <w:rsid w:val="00635A07"/>
    <w:rsid w:val="00637CAF"/>
    <w:rsid w:val="00642CBC"/>
    <w:rsid w:val="0064716F"/>
    <w:rsid w:val="00655503"/>
    <w:rsid w:val="00655B49"/>
    <w:rsid w:val="0067143B"/>
    <w:rsid w:val="0067386E"/>
    <w:rsid w:val="00681D83"/>
    <w:rsid w:val="006828BB"/>
    <w:rsid w:val="006900C2"/>
    <w:rsid w:val="006942C8"/>
    <w:rsid w:val="00694421"/>
    <w:rsid w:val="006A1588"/>
    <w:rsid w:val="006B0F61"/>
    <w:rsid w:val="006B30A9"/>
    <w:rsid w:val="006D3A6D"/>
    <w:rsid w:val="006D6DB8"/>
    <w:rsid w:val="006D791F"/>
    <w:rsid w:val="006E1E3E"/>
    <w:rsid w:val="006F6849"/>
    <w:rsid w:val="0070267E"/>
    <w:rsid w:val="00703B3F"/>
    <w:rsid w:val="00706E32"/>
    <w:rsid w:val="00706FFA"/>
    <w:rsid w:val="00707273"/>
    <w:rsid w:val="00713F98"/>
    <w:rsid w:val="0071496A"/>
    <w:rsid w:val="007154F3"/>
    <w:rsid w:val="007327A9"/>
    <w:rsid w:val="00736D38"/>
    <w:rsid w:val="007546AF"/>
    <w:rsid w:val="00761D91"/>
    <w:rsid w:val="00765934"/>
    <w:rsid w:val="0076614F"/>
    <w:rsid w:val="00767F2E"/>
    <w:rsid w:val="00770410"/>
    <w:rsid w:val="00773919"/>
    <w:rsid w:val="00774ED5"/>
    <w:rsid w:val="00775409"/>
    <w:rsid w:val="00786FCF"/>
    <w:rsid w:val="0078774E"/>
    <w:rsid w:val="00796466"/>
    <w:rsid w:val="007A1B96"/>
    <w:rsid w:val="007A2D34"/>
    <w:rsid w:val="007A6A26"/>
    <w:rsid w:val="007A7509"/>
    <w:rsid w:val="007C2D52"/>
    <w:rsid w:val="007C5B6F"/>
    <w:rsid w:val="007D5E9A"/>
    <w:rsid w:val="007E0E19"/>
    <w:rsid w:val="007E1014"/>
    <w:rsid w:val="007E2037"/>
    <w:rsid w:val="007E2CF5"/>
    <w:rsid w:val="007E373C"/>
    <w:rsid w:val="007F6162"/>
    <w:rsid w:val="00801F34"/>
    <w:rsid w:val="00815F28"/>
    <w:rsid w:val="00824115"/>
    <w:rsid w:val="008531FB"/>
    <w:rsid w:val="00856D21"/>
    <w:rsid w:val="00860079"/>
    <w:rsid w:val="00864D45"/>
    <w:rsid w:val="008662D3"/>
    <w:rsid w:val="008752BF"/>
    <w:rsid w:val="00882952"/>
    <w:rsid w:val="00883865"/>
    <w:rsid w:val="00892D08"/>
    <w:rsid w:val="00893791"/>
    <w:rsid w:val="008A6B8B"/>
    <w:rsid w:val="008B0D28"/>
    <w:rsid w:val="008B128D"/>
    <w:rsid w:val="008B5B59"/>
    <w:rsid w:val="008B797F"/>
    <w:rsid w:val="008D000A"/>
    <w:rsid w:val="008D003C"/>
    <w:rsid w:val="008D2509"/>
    <w:rsid w:val="008D583A"/>
    <w:rsid w:val="008D5A02"/>
    <w:rsid w:val="008E2ECE"/>
    <w:rsid w:val="008E4C26"/>
    <w:rsid w:val="008E5A6D"/>
    <w:rsid w:val="008F32DF"/>
    <w:rsid w:val="008F4D20"/>
    <w:rsid w:val="008F5726"/>
    <w:rsid w:val="00902C3D"/>
    <w:rsid w:val="009075DD"/>
    <w:rsid w:val="00913C3E"/>
    <w:rsid w:val="00915329"/>
    <w:rsid w:val="0092171B"/>
    <w:rsid w:val="00922EA8"/>
    <w:rsid w:val="00943149"/>
    <w:rsid w:val="00943E9C"/>
    <w:rsid w:val="00945D10"/>
    <w:rsid w:val="00947BA0"/>
    <w:rsid w:val="00947DFC"/>
    <w:rsid w:val="00950E18"/>
    <w:rsid w:val="00951B25"/>
    <w:rsid w:val="009548F1"/>
    <w:rsid w:val="0095609C"/>
    <w:rsid w:val="0096059E"/>
    <w:rsid w:val="00962482"/>
    <w:rsid w:val="00966012"/>
    <w:rsid w:val="00967833"/>
    <w:rsid w:val="009678F1"/>
    <w:rsid w:val="00977BCD"/>
    <w:rsid w:val="00983B74"/>
    <w:rsid w:val="00986D8F"/>
    <w:rsid w:val="00990263"/>
    <w:rsid w:val="00992BC0"/>
    <w:rsid w:val="009A2571"/>
    <w:rsid w:val="009A4CCC"/>
    <w:rsid w:val="009C1470"/>
    <w:rsid w:val="009D200D"/>
    <w:rsid w:val="009D4D12"/>
    <w:rsid w:val="009D6B9D"/>
    <w:rsid w:val="009E4B94"/>
    <w:rsid w:val="009E6354"/>
    <w:rsid w:val="009F18F2"/>
    <w:rsid w:val="009F499D"/>
    <w:rsid w:val="009F53D4"/>
    <w:rsid w:val="00A032D3"/>
    <w:rsid w:val="00A0537C"/>
    <w:rsid w:val="00A07CB1"/>
    <w:rsid w:val="00A210C6"/>
    <w:rsid w:val="00A239DF"/>
    <w:rsid w:val="00A262CF"/>
    <w:rsid w:val="00A3014C"/>
    <w:rsid w:val="00A30808"/>
    <w:rsid w:val="00A3766E"/>
    <w:rsid w:val="00A5459F"/>
    <w:rsid w:val="00A66B58"/>
    <w:rsid w:val="00A83A57"/>
    <w:rsid w:val="00A946C4"/>
    <w:rsid w:val="00A96ED4"/>
    <w:rsid w:val="00AA7878"/>
    <w:rsid w:val="00AB149E"/>
    <w:rsid w:val="00AB29A0"/>
    <w:rsid w:val="00AB3463"/>
    <w:rsid w:val="00AB5B85"/>
    <w:rsid w:val="00AC4C51"/>
    <w:rsid w:val="00AD043D"/>
    <w:rsid w:val="00AD0C8A"/>
    <w:rsid w:val="00AD133B"/>
    <w:rsid w:val="00AD3A1B"/>
    <w:rsid w:val="00AE1404"/>
    <w:rsid w:val="00AE75C5"/>
    <w:rsid w:val="00AF1D02"/>
    <w:rsid w:val="00AF2FCB"/>
    <w:rsid w:val="00B00D92"/>
    <w:rsid w:val="00B03792"/>
    <w:rsid w:val="00B07B24"/>
    <w:rsid w:val="00B21FD2"/>
    <w:rsid w:val="00B31CF7"/>
    <w:rsid w:val="00B3548C"/>
    <w:rsid w:val="00B377E5"/>
    <w:rsid w:val="00B421B6"/>
    <w:rsid w:val="00B42E1A"/>
    <w:rsid w:val="00B42E2B"/>
    <w:rsid w:val="00B430B4"/>
    <w:rsid w:val="00B5082D"/>
    <w:rsid w:val="00B5223E"/>
    <w:rsid w:val="00B5346F"/>
    <w:rsid w:val="00B64C73"/>
    <w:rsid w:val="00B6504E"/>
    <w:rsid w:val="00B8147C"/>
    <w:rsid w:val="00B84121"/>
    <w:rsid w:val="00B851ED"/>
    <w:rsid w:val="00B93590"/>
    <w:rsid w:val="00B93951"/>
    <w:rsid w:val="00B9508F"/>
    <w:rsid w:val="00B96502"/>
    <w:rsid w:val="00B96937"/>
    <w:rsid w:val="00B96D2A"/>
    <w:rsid w:val="00BA1DF5"/>
    <w:rsid w:val="00BB277F"/>
    <w:rsid w:val="00BC22A9"/>
    <w:rsid w:val="00BC24ED"/>
    <w:rsid w:val="00BC590D"/>
    <w:rsid w:val="00BD67C4"/>
    <w:rsid w:val="00BE30BE"/>
    <w:rsid w:val="00BE439D"/>
    <w:rsid w:val="00BF6551"/>
    <w:rsid w:val="00C0336E"/>
    <w:rsid w:val="00C173F9"/>
    <w:rsid w:val="00C2169F"/>
    <w:rsid w:val="00C217E3"/>
    <w:rsid w:val="00C263C0"/>
    <w:rsid w:val="00C2782C"/>
    <w:rsid w:val="00C310A8"/>
    <w:rsid w:val="00C31791"/>
    <w:rsid w:val="00C44944"/>
    <w:rsid w:val="00C45EEB"/>
    <w:rsid w:val="00C462CF"/>
    <w:rsid w:val="00C46A7A"/>
    <w:rsid w:val="00C51167"/>
    <w:rsid w:val="00C605DF"/>
    <w:rsid w:val="00C62DBD"/>
    <w:rsid w:val="00C71C8E"/>
    <w:rsid w:val="00C86D85"/>
    <w:rsid w:val="00C91AD4"/>
    <w:rsid w:val="00CA35A3"/>
    <w:rsid w:val="00CA458A"/>
    <w:rsid w:val="00CA61D4"/>
    <w:rsid w:val="00CB33DF"/>
    <w:rsid w:val="00CB6696"/>
    <w:rsid w:val="00CC0198"/>
    <w:rsid w:val="00CC0BE2"/>
    <w:rsid w:val="00CC342E"/>
    <w:rsid w:val="00CC6322"/>
    <w:rsid w:val="00CD5714"/>
    <w:rsid w:val="00CE262C"/>
    <w:rsid w:val="00CE5168"/>
    <w:rsid w:val="00CE5C53"/>
    <w:rsid w:val="00CF73BA"/>
    <w:rsid w:val="00D0360E"/>
    <w:rsid w:val="00D1773E"/>
    <w:rsid w:val="00D243BB"/>
    <w:rsid w:val="00D25933"/>
    <w:rsid w:val="00D355A5"/>
    <w:rsid w:val="00D3786F"/>
    <w:rsid w:val="00D42FEE"/>
    <w:rsid w:val="00D43628"/>
    <w:rsid w:val="00D5604D"/>
    <w:rsid w:val="00D64197"/>
    <w:rsid w:val="00D66542"/>
    <w:rsid w:val="00D66E2C"/>
    <w:rsid w:val="00D866F2"/>
    <w:rsid w:val="00D928A0"/>
    <w:rsid w:val="00D95E78"/>
    <w:rsid w:val="00D96141"/>
    <w:rsid w:val="00DB31AF"/>
    <w:rsid w:val="00DB6E2D"/>
    <w:rsid w:val="00DB743D"/>
    <w:rsid w:val="00DC10A2"/>
    <w:rsid w:val="00DC2AB9"/>
    <w:rsid w:val="00DC38FB"/>
    <w:rsid w:val="00DD2DC8"/>
    <w:rsid w:val="00DD4A74"/>
    <w:rsid w:val="00DE2B28"/>
    <w:rsid w:val="00DF0E45"/>
    <w:rsid w:val="00DF207D"/>
    <w:rsid w:val="00E05FF2"/>
    <w:rsid w:val="00E13E84"/>
    <w:rsid w:val="00E13F68"/>
    <w:rsid w:val="00E1438D"/>
    <w:rsid w:val="00E17DAE"/>
    <w:rsid w:val="00E26493"/>
    <w:rsid w:val="00E358D6"/>
    <w:rsid w:val="00E367F8"/>
    <w:rsid w:val="00E370C3"/>
    <w:rsid w:val="00E434D1"/>
    <w:rsid w:val="00E47932"/>
    <w:rsid w:val="00E56298"/>
    <w:rsid w:val="00E57865"/>
    <w:rsid w:val="00E64A82"/>
    <w:rsid w:val="00E66240"/>
    <w:rsid w:val="00E73E54"/>
    <w:rsid w:val="00E75ED1"/>
    <w:rsid w:val="00E921B0"/>
    <w:rsid w:val="00E96328"/>
    <w:rsid w:val="00EB603A"/>
    <w:rsid w:val="00ED7096"/>
    <w:rsid w:val="00EE4C34"/>
    <w:rsid w:val="00EF0F9B"/>
    <w:rsid w:val="00EF55B3"/>
    <w:rsid w:val="00F002D7"/>
    <w:rsid w:val="00F01F78"/>
    <w:rsid w:val="00F037EA"/>
    <w:rsid w:val="00F05EEC"/>
    <w:rsid w:val="00F23AA3"/>
    <w:rsid w:val="00F26552"/>
    <w:rsid w:val="00F2770A"/>
    <w:rsid w:val="00F34E84"/>
    <w:rsid w:val="00F37F63"/>
    <w:rsid w:val="00F444C2"/>
    <w:rsid w:val="00F45445"/>
    <w:rsid w:val="00F45462"/>
    <w:rsid w:val="00F5077E"/>
    <w:rsid w:val="00F540A8"/>
    <w:rsid w:val="00F6027B"/>
    <w:rsid w:val="00F63834"/>
    <w:rsid w:val="00F83B0B"/>
    <w:rsid w:val="00F9359E"/>
    <w:rsid w:val="00F94967"/>
    <w:rsid w:val="00FA5F8E"/>
    <w:rsid w:val="00FA6475"/>
    <w:rsid w:val="00FB1016"/>
    <w:rsid w:val="00FB1FE9"/>
    <w:rsid w:val="00FB73EC"/>
    <w:rsid w:val="00FC28ED"/>
    <w:rsid w:val="00FC4E3D"/>
    <w:rsid w:val="00FC505B"/>
    <w:rsid w:val="00FC511D"/>
    <w:rsid w:val="00FC6B3E"/>
    <w:rsid w:val="00FC7F59"/>
    <w:rsid w:val="00FE2C9C"/>
    <w:rsid w:val="00FF1AA2"/>
    <w:rsid w:val="00FF6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8E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qFormat/>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 w:type="paragraph" w:customStyle="1" w:styleId="Default">
    <w:name w:val="Default"/>
    <w:rsid w:val="00410513"/>
    <w:pPr>
      <w:autoSpaceDE w:val="0"/>
      <w:autoSpaceDN w:val="0"/>
      <w:adjustRightInd w:val="0"/>
      <w:spacing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437CDD"/>
    <w:rPr>
      <w:sz w:val="16"/>
      <w:szCs w:val="16"/>
    </w:rPr>
  </w:style>
  <w:style w:type="paragraph" w:styleId="Kommentartekst">
    <w:name w:val="annotation text"/>
    <w:basedOn w:val="Normal"/>
    <w:link w:val="KommentartekstTegn"/>
    <w:uiPriority w:val="99"/>
    <w:unhideWhenUsed/>
    <w:rsid w:val="00437CDD"/>
    <w:pPr>
      <w:spacing w:line="240" w:lineRule="auto"/>
    </w:pPr>
    <w:rPr>
      <w:sz w:val="20"/>
      <w:szCs w:val="20"/>
    </w:rPr>
  </w:style>
  <w:style w:type="character" w:customStyle="1" w:styleId="KommentartekstTegn">
    <w:name w:val="Kommentartekst Tegn"/>
    <w:basedOn w:val="Standardskrifttypeiafsnit"/>
    <w:link w:val="Kommentartekst"/>
    <w:uiPriority w:val="99"/>
    <w:rsid w:val="00437CDD"/>
    <w:rPr>
      <w:rFonts w:ascii="Garamond" w:hAnsi="Garamond"/>
      <w:sz w:val="20"/>
      <w:szCs w:val="20"/>
    </w:rPr>
  </w:style>
  <w:style w:type="paragraph" w:styleId="Kommentaremne">
    <w:name w:val="annotation subject"/>
    <w:basedOn w:val="Kommentartekst"/>
    <w:next w:val="Kommentartekst"/>
    <w:link w:val="KommentaremneTegn"/>
    <w:uiPriority w:val="99"/>
    <w:semiHidden/>
    <w:unhideWhenUsed/>
    <w:rsid w:val="00437CDD"/>
    <w:rPr>
      <w:b/>
      <w:bCs/>
    </w:rPr>
  </w:style>
  <w:style w:type="character" w:customStyle="1" w:styleId="KommentaremneTegn">
    <w:name w:val="Kommentaremne Tegn"/>
    <w:basedOn w:val="KommentartekstTegn"/>
    <w:link w:val="Kommentaremne"/>
    <w:uiPriority w:val="99"/>
    <w:semiHidden/>
    <w:rsid w:val="00437CDD"/>
    <w:rPr>
      <w:rFonts w:ascii="Garamond" w:hAnsi="Garamond"/>
      <w:b/>
      <w:bCs/>
      <w:sz w:val="20"/>
      <w:szCs w:val="20"/>
    </w:rPr>
  </w:style>
  <w:style w:type="paragraph" w:styleId="Listeafsnit">
    <w:name w:val="List Paragraph"/>
    <w:basedOn w:val="Normal"/>
    <w:uiPriority w:val="99"/>
    <w:qFormat/>
    <w:rsid w:val="00E73E54"/>
    <w:pPr>
      <w:ind w:left="720"/>
      <w:contextualSpacing/>
    </w:pPr>
  </w:style>
  <w:style w:type="paragraph" w:styleId="Korrektur">
    <w:name w:val="Revision"/>
    <w:hidden/>
    <w:uiPriority w:val="99"/>
    <w:semiHidden/>
    <w:rsid w:val="006828BB"/>
    <w:pPr>
      <w:spacing w:line="240" w:lineRule="auto"/>
    </w:pPr>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40443">
      <w:bodyDiv w:val="1"/>
      <w:marLeft w:val="0"/>
      <w:marRight w:val="0"/>
      <w:marTop w:val="0"/>
      <w:marBottom w:val="0"/>
      <w:divBdr>
        <w:top w:val="none" w:sz="0" w:space="0" w:color="auto"/>
        <w:left w:val="none" w:sz="0" w:space="0" w:color="auto"/>
        <w:bottom w:val="none" w:sz="0" w:space="0" w:color="auto"/>
        <w:right w:val="none" w:sz="0" w:space="0" w:color="auto"/>
      </w:divBdr>
    </w:div>
    <w:div w:id="1266380527">
      <w:bodyDiv w:val="1"/>
      <w:marLeft w:val="0"/>
      <w:marRight w:val="0"/>
      <w:marTop w:val="0"/>
      <w:marBottom w:val="0"/>
      <w:divBdr>
        <w:top w:val="none" w:sz="0" w:space="0" w:color="auto"/>
        <w:left w:val="none" w:sz="0" w:space="0" w:color="auto"/>
        <w:bottom w:val="none" w:sz="0" w:space="0" w:color="auto"/>
        <w:right w:val="none" w:sz="0" w:space="0" w:color="auto"/>
      </w:divBdr>
    </w:div>
    <w:div w:id="1399353899">
      <w:bodyDiv w:val="1"/>
      <w:marLeft w:val="0"/>
      <w:marRight w:val="0"/>
      <w:marTop w:val="0"/>
      <w:marBottom w:val="0"/>
      <w:divBdr>
        <w:top w:val="none" w:sz="0" w:space="0" w:color="auto"/>
        <w:left w:val="none" w:sz="0" w:space="0" w:color="auto"/>
        <w:bottom w:val="none" w:sz="0" w:space="0" w:color="auto"/>
        <w:right w:val="none" w:sz="0" w:space="0" w:color="auto"/>
      </w:divBdr>
    </w:div>
    <w:div w:id="18201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7781\AppData\Local\cBrain\F2\.tmp\9446c663f00146b9a30445df5873d9c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412998BD7844E3B252E7D8C4357212"/>
        <w:category>
          <w:name w:val="Generelt"/>
          <w:gallery w:val="placeholder"/>
        </w:category>
        <w:types>
          <w:type w:val="bbPlcHdr"/>
        </w:types>
        <w:behaviors>
          <w:behavior w:val="content"/>
        </w:behaviors>
        <w:guid w:val="{43ABC2AD-57AD-4A17-9B6F-59E2D78BF661}"/>
      </w:docPartPr>
      <w:docPartBody>
        <w:p w:rsidR="004E4D22" w:rsidRDefault="004E4D22">
          <w:pPr>
            <w:pStyle w:val="B1412998BD7844E3B252E7D8C4357212"/>
          </w:pPr>
          <w:r>
            <w:rPr>
              <w:rStyle w:val="Pladsholdertekst"/>
            </w:rPr>
            <w:t>Klik og 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D22"/>
    <w:rsid w:val="00027031"/>
    <w:rsid w:val="000D27DA"/>
    <w:rsid w:val="001A3358"/>
    <w:rsid w:val="00236FA0"/>
    <w:rsid w:val="003754E6"/>
    <w:rsid w:val="00461898"/>
    <w:rsid w:val="004E4D22"/>
    <w:rsid w:val="0054123B"/>
    <w:rsid w:val="0054533B"/>
    <w:rsid w:val="005D516F"/>
    <w:rsid w:val="00603A37"/>
    <w:rsid w:val="00696120"/>
    <w:rsid w:val="00804E5E"/>
    <w:rsid w:val="0095676A"/>
    <w:rsid w:val="00960627"/>
    <w:rsid w:val="009B248A"/>
    <w:rsid w:val="00AC3CA4"/>
    <w:rsid w:val="00B70904"/>
    <w:rsid w:val="00D203F7"/>
    <w:rsid w:val="00F1556C"/>
    <w:rsid w:val="00F21741"/>
    <w:rsid w:val="00F634AD"/>
    <w:rsid w:val="00F977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auto"/>
    </w:rPr>
  </w:style>
  <w:style w:type="paragraph" w:customStyle="1" w:styleId="B1412998BD7844E3B252E7D8C4357212">
    <w:name w:val="B1412998BD7844E3B252E7D8C4357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katteministeriet">
      <a:dk1>
        <a:sysClr val="windowText" lastClr="000000"/>
      </a:dk1>
      <a:lt1>
        <a:sysClr val="window" lastClr="FFFFFF"/>
      </a:lt1>
      <a:dk2>
        <a:srgbClr val="7D7D7D"/>
      </a:dk2>
      <a:lt2>
        <a:srgbClr val="FAF9F9"/>
      </a:lt2>
      <a:accent1>
        <a:srgbClr val="14143C"/>
      </a:accent1>
      <a:accent2>
        <a:srgbClr val="72728A"/>
      </a:accent2>
      <a:accent3>
        <a:srgbClr val="D1C5C3"/>
      </a:accent3>
      <a:accent4>
        <a:srgbClr val="E3DCDB"/>
      </a:accent4>
      <a:accent5>
        <a:srgbClr val="B1DACA"/>
      </a:accent5>
      <a:accent6>
        <a:srgbClr val="D0E9D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9446c663f00146b9a30445df5873d9c5</Template>
  <TotalTime>0</TotalTime>
  <Pages>1</Pages>
  <Words>4520</Words>
  <Characters>27574</Characters>
  <Application>Microsoft Office Word</Application>
  <DocSecurity>0</DocSecurity>
  <Lines>229</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2020-10-07T08:36:00Z</dcterms:created>
  <dcterms:modified xsi:type="dcterms:W3CDTF">2020-10-07T09:20:00Z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y fmtid="{D5CDD505-2E9C-101B-9397-08002B2CF9AE}" pid="3" name="command">
    <vt:lpwstr>&amp;file_key=22887900</vt:lpwstr>
  </property>
  <property fmtid="{D5CDD505-2E9C-101B-9397-08002B2CF9AE}" pid="4" name="title">
    <vt:lpwstr/>
  </property>
  <property fmtid="{D5CDD505-2E9C-101B-9397-08002B2CF9AE}" pid="5" name="path">
    <vt:lpwstr>C:\Users\w20714\AppData\Local\Temp\2\Scanjour\Captia\SJ20161109091318678.DOCX</vt:lpwstr>
  </property>
</Properties>
</file>