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Borders>
          <w:bottom w:val="single" w:sz="4" w:space="0" w:color="auto"/>
        </w:tblBorders>
        <w:tblLayout w:type="fixed"/>
        <w:tblCellMar>
          <w:left w:w="0" w:type="dxa"/>
          <w:right w:w="0" w:type="dxa"/>
        </w:tblCellMar>
        <w:tblLook w:val="01E0" w:firstRow="1" w:lastRow="1" w:firstColumn="1" w:lastColumn="1" w:noHBand="0" w:noVBand="0"/>
      </w:tblPr>
      <w:tblGrid>
        <w:gridCol w:w="6804"/>
        <w:gridCol w:w="2552"/>
      </w:tblGrid>
      <w:tr w:rsidR="00021E8C" w:rsidRPr="003C5F8D" w14:paraId="296A311D" w14:textId="77777777" w:rsidTr="001701A9">
        <w:trPr>
          <w:cantSplit/>
          <w:trHeight w:val="2500"/>
        </w:trPr>
        <w:tc>
          <w:tcPr>
            <w:tcW w:w="6804" w:type="dxa"/>
          </w:tcPr>
          <w:p w14:paraId="425DC50C" w14:textId="77777777" w:rsidR="00CF614F" w:rsidRPr="003C5F8D" w:rsidRDefault="00CF614F" w:rsidP="009F15D2">
            <w:pPr>
              <w:rPr>
                <w:sz w:val="20"/>
              </w:rPr>
            </w:pPr>
          </w:p>
        </w:tc>
        <w:tc>
          <w:tcPr>
            <w:tcW w:w="2552" w:type="dxa"/>
          </w:tcPr>
          <w:p w14:paraId="225D44D6" w14:textId="77777777" w:rsidR="00CF614F" w:rsidRPr="003C5F8D" w:rsidRDefault="00CF614F" w:rsidP="009F15D2">
            <w:pPr>
              <w:rPr>
                <w:sz w:val="20"/>
              </w:rPr>
            </w:pPr>
          </w:p>
          <w:p w14:paraId="6F2699A9" w14:textId="77777777" w:rsidR="00CF614F" w:rsidRPr="003C5F8D" w:rsidRDefault="00CF614F" w:rsidP="009F15D2">
            <w:pPr>
              <w:rPr>
                <w:sz w:val="20"/>
              </w:rPr>
            </w:pPr>
          </w:p>
          <w:p w14:paraId="36E1D305" w14:textId="77777777" w:rsidR="00CF614F" w:rsidRPr="003C5F8D" w:rsidRDefault="00CF614F" w:rsidP="00D5355F">
            <w:pPr>
              <w:ind w:firstLine="1304"/>
              <w:rPr>
                <w:sz w:val="20"/>
              </w:rPr>
            </w:pPr>
          </w:p>
          <w:p w14:paraId="10692C94" w14:textId="77777777" w:rsidR="00CF614F" w:rsidRPr="003C5F8D" w:rsidRDefault="00CF614F" w:rsidP="009F15D2">
            <w:pPr>
              <w:rPr>
                <w:sz w:val="20"/>
              </w:rPr>
            </w:pPr>
          </w:p>
          <w:p w14:paraId="2DDFE15D" w14:textId="77777777" w:rsidR="005271D6" w:rsidRPr="003C5F8D" w:rsidRDefault="005271D6" w:rsidP="009F15D2">
            <w:pPr>
              <w:rPr>
                <w:sz w:val="20"/>
              </w:rPr>
            </w:pPr>
          </w:p>
          <w:p w14:paraId="00D57E16" w14:textId="77777777" w:rsidR="008C0C0C" w:rsidRPr="003C5F8D" w:rsidRDefault="008C0C0C" w:rsidP="009F15D2">
            <w:pPr>
              <w:rPr>
                <w:sz w:val="20"/>
              </w:rPr>
            </w:pPr>
          </w:p>
          <w:p w14:paraId="1952C88B" w14:textId="77777777" w:rsidR="008C0C0C" w:rsidRPr="003C5F8D" w:rsidRDefault="008C0C0C" w:rsidP="009F15D2">
            <w:pPr>
              <w:rPr>
                <w:sz w:val="20"/>
              </w:rPr>
            </w:pPr>
          </w:p>
          <w:p w14:paraId="17E438F8" w14:textId="77777777" w:rsidR="008C0C0C" w:rsidRPr="003C5F8D" w:rsidRDefault="008C0C0C" w:rsidP="009F15D2">
            <w:pPr>
              <w:rPr>
                <w:sz w:val="20"/>
              </w:rPr>
            </w:pPr>
          </w:p>
        </w:tc>
      </w:tr>
      <w:tr w:rsidR="00021E8C" w:rsidRPr="00864C18" w14:paraId="4C744AA7" w14:textId="77777777" w:rsidTr="001701A9">
        <w:trPr>
          <w:cantSplit/>
          <w:trHeight w:val="504"/>
        </w:trPr>
        <w:tc>
          <w:tcPr>
            <w:tcW w:w="6804" w:type="dxa"/>
          </w:tcPr>
          <w:p w14:paraId="69EAEB67" w14:textId="09D415D0" w:rsidR="00595821" w:rsidRPr="00864C18" w:rsidRDefault="00595821" w:rsidP="009F15D2">
            <w:pPr>
              <w:rPr>
                <w:rFonts w:cs="Arial"/>
                <w:b/>
                <w:bCs/>
                <w:sz w:val="20"/>
              </w:rPr>
            </w:pPr>
            <w:r w:rsidRPr="00864C18">
              <w:rPr>
                <w:rFonts w:cs="Arial"/>
                <w:b/>
                <w:bCs/>
                <w:sz w:val="20"/>
              </w:rPr>
              <w:t xml:space="preserve">Notat om høringssvar fra ekstern høring over udkast til </w:t>
            </w:r>
            <w:r w:rsidR="00B772E9" w:rsidRPr="00864C18">
              <w:rPr>
                <w:rFonts w:cs="Arial"/>
                <w:b/>
                <w:bCs/>
                <w:sz w:val="20"/>
              </w:rPr>
              <w:t>bekendtgørelse om kontrol og administrative sanktioner for visse tilskudsordninger under Den Europæiske Unions fælles landbrugspolitik</w:t>
            </w:r>
          </w:p>
          <w:p w14:paraId="7455CA02" w14:textId="77777777" w:rsidR="00541D1B" w:rsidRPr="00864C18" w:rsidRDefault="00541D1B" w:rsidP="009F15D2">
            <w:pPr>
              <w:rPr>
                <w:sz w:val="20"/>
              </w:rPr>
            </w:pPr>
          </w:p>
        </w:tc>
        <w:tc>
          <w:tcPr>
            <w:tcW w:w="2552" w:type="dxa"/>
          </w:tcPr>
          <w:p w14:paraId="1A33B35A" w14:textId="77777777" w:rsidR="00541D1B" w:rsidRPr="00864C18" w:rsidRDefault="00541D1B" w:rsidP="009F15D2">
            <w:pPr>
              <w:rPr>
                <w:sz w:val="20"/>
              </w:rPr>
            </w:pPr>
          </w:p>
        </w:tc>
      </w:tr>
    </w:tbl>
    <w:p w14:paraId="2460C309" w14:textId="6F0DE39F" w:rsidR="00595821" w:rsidRPr="00864C18" w:rsidRDefault="00595821" w:rsidP="009F15D2">
      <w:pPr>
        <w:rPr>
          <w:sz w:val="20"/>
        </w:rPr>
      </w:pPr>
      <w:r w:rsidRPr="00864C18">
        <w:rPr>
          <w:sz w:val="20"/>
        </w:rPr>
        <w:t xml:space="preserve">Udkast af til </w:t>
      </w:r>
      <w:r w:rsidR="00B772E9" w:rsidRPr="00864C18">
        <w:rPr>
          <w:sz w:val="20"/>
        </w:rPr>
        <w:t xml:space="preserve">bekendtgørelse om kontrol og administrative sanktioner for visse tilskudsordninger under Den Europæiske Unions fælles landbrugspolitik </w:t>
      </w:r>
      <w:r w:rsidRPr="00864C18">
        <w:rPr>
          <w:sz w:val="20"/>
        </w:rPr>
        <w:t xml:space="preserve">har været i ekstern høring med høringsfrist den </w:t>
      </w:r>
      <w:r w:rsidR="00B772E9" w:rsidRPr="00864C18">
        <w:rPr>
          <w:sz w:val="20"/>
        </w:rPr>
        <w:t>22</w:t>
      </w:r>
      <w:r w:rsidR="001650CB" w:rsidRPr="00864C18">
        <w:rPr>
          <w:sz w:val="20"/>
        </w:rPr>
        <w:t>.</w:t>
      </w:r>
      <w:r w:rsidR="00B772E9" w:rsidRPr="00864C18">
        <w:rPr>
          <w:sz w:val="20"/>
        </w:rPr>
        <w:t xml:space="preserve"> november 2023</w:t>
      </w:r>
      <w:r w:rsidRPr="00864C18">
        <w:rPr>
          <w:sz w:val="20"/>
        </w:rPr>
        <w:t>. Dette notat omhandler høringssvar, der ikke stammer fra ministerier eller myndigheder under ministerierne</w:t>
      </w:r>
      <w:r w:rsidR="00B21588" w:rsidRPr="00864C18">
        <w:rPr>
          <w:sz w:val="20"/>
        </w:rPr>
        <w:t>.</w:t>
      </w:r>
      <w:r w:rsidR="001650CB" w:rsidRPr="00864C18">
        <w:rPr>
          <w:sz w:val="20"/>
        </w:rPr>
        <w:t xml:space="preserve"> Høringssvar fra private organisationer, der blot kvitterer for høringen</w:t>
      </w:r>
      <w:r w:rsidR="00412F05" w:rsidRPr="00864C18">
        <w:rPr>
          <w:sz w:val="20"/>
        </w:rPr>
        <w:t>,</w:t>
      </w:r>
      <w:r w:rsidR="001650CB" w:rsidRPr="00864C18">
        <w:rPr>
          <w:sz w:val="20"/>
        </w:rPr>
        <w:t xml:space="preserve"> e</w:t>
      </w:r>
      <w:r w:rsidR="00412F05" w:rsidRPr="00864C18">
        <w:rPr>
          <w:sz w:val="20"/>
        </w:rPr>
        <w:t>r</w:t>
      </w:r>
      <w:r w:rsidR="001650CB" w:rsidRPr="00864C18">
        <w:rPr>
          <w:sz w:val="20"/>
        </w:rPr>
        <w:t xml:space="preserve"> heller ikke medtaget.</w:t>
      </w:r>
      <w:r w:rsidRPr="00864C18">
        <w:rPr>
          <w:sz w:val="20"/>
        </w:rPr>
        <w:t xml:space="preserve"> </w:t>
      </w:r>
    </w:p>
    <w:p w14:paraId="2F26E5FF" w14:textId="77777777" w:rsidR="00595821" w:rsidRPr="00864C18" w:rsidRDefault="00595821" w:rsidP="009F15D2">
      <w:pPr>
        <w:rPr>
          <w:sz w:val="20"/>
        </w:rPr>
      </w:pPr>
    </w:p>
    <w:p w14:paraId="0252242F" w14:textId="77777777" w:rsidR="00595821" w:rsidRPr="00864C18" w:rsidRDefault="00595821" w:rsidP="009F15D2">
      <w:pPr>
        <w:rPr>
          <w:sz w:val="20"/>
        </w:rPr>
      </w:pPr>
      <w:r w:rsidRPr="00864C18">
        <w:rPr>
          <w:sz w:val="20"/>
        </w:rPr>
        <w:t>Der er modtaget høringssvar fra:</w:t>
      </w:r>
    </w:p>
    <w:p w14:paraId="10C4F6F8" w14:textId="1D409C74" w:rsidR="00595821" w:rsidRPr="00864C18" w:rsidRDefault="00595821" w:rsidP="009F15D2">
      <w:pPr>
        <w:rPr>
          <w:sz w:val="20"/>
        </w:rPr>
      </w:pPr>
      <w:r w:rsidRPr="00864C18">
        <w:rPr>
          <w:sz w:val="20"/>
        </w:rPr>
        <w:t>Landbrug &amp; Fødevarer</w:t>
      </w:r>
      <w:r w:rsidR="0029791E" w:rsidRPr="00864C18">
        <w:rPr>
          <w:sz w:val="20"/>
        </w:rPr>
        <w:t xml:space="preserve"> </w:t>
      </w:r>
    </w:p>
    <w:p w14:paraId="52BEDDB7" w14:textId="77777777" w:rsidR="009F15D2" w:rsidRPr="00864C18" w:rsidRDefault="009F15D2" w:rsidP="009F15D2">
      <w:pPr>
        <w:rPr>
          <w:sz w:val="20"/>
        </w:rPr>
      </w:pPr>
    </w:p>
    <w:tbl>
      <w:tblPr>
        <w:tblStyle w:val="Tabel-Gitter10"/>
        <w:tblW w:w="0" w:type="auto"/>
        <w:tblLook w:val="04A0" w:firstRow="1" w:lastRow="0" w:firstColumn="1" w:lastColumn="0" w:noHBand="0" w:noVBand="1"/>
      </w:tblPr>
      <w:tblGrid>
        <w:gridCol w:w="4672"/>
        <w:gridCol w:w="4673"/>
      </w:tblGrid>
      <w:tr w:rsidR="00595821" w:rsidRPr="00864C18" w14:paraId="712E2379" w14:textId="77777777" w:rsidTr="00595821">
        <w:tc>
          <w:tcPr>
            <w:tcW w:w="4672" w:type="dxa"/>
          </w:tcPr>
          <w:p w14:paraId="6F433F03" w14:textId="77777777" w:rsidR="00595821" w:rsidRPr="00864C18" w:rsidRDefault="00595821" w:rsidP="009F15D2">
            <w:pPr>
              <w:rPr>
                <w:b/>
                <w:sz w:val="20"/>
              </w:rPr>
            </w:pPr>
            <w:r w:rsidRPr="00864C18">
              <w:rPr>
                <w:b/>
                <w:sz w:val="20"/>
              </w:rPr>
              <w:t>Høringssvar</w:t>
            </w:r>
          </w:p>
        </w:tc>
        <w:tc>
          <w:tcPr>
            <w:tcW w:w="4673" w:type="dxa"/>
          </w:tcPr>
          <w:p w14:paraId="01D55BC4" w14:textId="77777777" w:rsidR="00595821" w:rsidRPr="00864C18" w:rsidRDefault="00595821" w:rsidP="009F15D2">
            <w:pPr>
              <w:rPr>
                <w:b/>
                <w:sz w:val="20"/>
              </w:rPr>
            </w:pPr>
            <w:r w:rsidRPr="00864C18">
              <w:rPr>
                <w:b/>
                <w:sz w:val="20"/>
              </w:rPr>
              <w:t>Opfølgning</w:t>
            </w:r>
          </w:p>
        </w:tc>
      </w:tr>
      <w:tr w:rsidR="00595821" w:rsidRPr="00864C18" w14:paraId="1F5678F2" w14:textId="77777777" w:rsidTr="00595821">
        <w:tc>
          <w:tcPr>
            <w:tcW w:w="9345" w:type="dxa"/>
            <w:gridSpan w:val="2"/>
          </w:tcPr>
          <w:p w14:paraId="1213DEC9" w14:textId="77777777" w:rsidR="00595821" w:rsidRPr="00864C18" w:rsidRDefault="00595821" w:rsidP="009F15D2">
            <w:pPr>
              <w:rPr>
                <w:sz w:val="20"/>
              </w:rPr>
            </w:pPr>
            <w:r w:rsidRPr="00864C18">
              <w:rPr>
                <w:b/>
                <w:sz w:val="20"/>
              </w:rPr>
              <w:t>Landbrug &amp; Fødevarer</w:t>
            </w:r>
          </w:p>
        </w:tc>
      </w:tr>
      <w:tr w:rsidR="00B772E9" w:rsidRPr="00864C18" w14:paraId="5349926A" w14:textId="77777777" w:rsidTr="00595821">
        <w:tc>
          <w:tcPr>
            <w:tcW w:w="4672" w:type="dxa"/>
          </w:tcPr>
          <w:p w14:paraId="4995E19D" w14:textId="77777777" w:rsidR="00B772E9" w:rsidRPr="00864C18" w:rsidRDefault="00B772E9" w:rsidP="009F15D2">
            <w:pPr>
              <w:rPr>
                <w:b/>
                <w:sz w:val="20"/>
              </w:rPr>
            </w:pPr>
            <w:r w:rsidRPr="00864C18">
              <w:rPr>
                <w:b/>
                <w:sz w:val="20"/>
              </w:rPr>
              <w:t>1.1.</w:t>
            </w:r>
          </w:p>
          <w:p w14:paraId="749C30B6" w14:textId="77777777" w:rsidR="00B772E9" w:rsidRPr="00864C18" w:rsidRDefault="00B772E9" w:rsidP="009F15D2">
            <w:pPr>
              <w:rPr>
                <w:b/>
                <w:sz w:val="20"/>
              </w:rPr>
            </w:pPr>
            <w:r w:rsidRPr="00864C18">
              <w:rPr>
                <w:b/>
                <w:sz w:val="20"/>
              </w:rPr>
              <w:t>§2 – Definitioner</w:t>
            </w:r>
          </w:p>
          <w:p w14:paraId="4A26156C" w14:textId="0B9ABF89" w:rsidR="00B772E9" w:rsidRPr="00864C18" w:rsidRDefault="00B772E9" w:rsidP="009F15D2">
            <w:pPr>
              <w:rPr>
                <w:sz w:val="20"/>
              </w:rPr>
            </w:pPr>
            <w:r w:rsidRPr="00864C18">
              <w:rPr>
                <w:sz w:val="20"/>
              </w:rPr>
              <w:t>Der ønskes indsat en klarere definition af ”Kriterier” og ”Forpligtigelser”. Hvis der kan nævnes eksempler, vil det være fint. På nuværende tidspunkt er det uklart, hvad begreberne præcist dækker over.</w:t>
            </w:r>
          </w:p>
          <w:p w14:paraId="4AB2928E" w14:textId="77777777" w:rsidR="00B772E9" w:rsidRPr="00864C18" w:rsidRDefault="00B772E9" w:rsidP="009F15D2">
            <w:pPr>
              <w:rPr>
                <w:sz w:val="20"/>
              </w:rPr>
            </w:pPr>
          </w:p>
          <w:p w14:paraId="4934ED1B" w14:textId="3210A953" w:rsidR="00B772E9" w:rsidRPr="00864C18" w:rsidRDefault="00B772E9" w:rsidP="009F15D2">
            <w:pPr>
              <w:rPr>
                <w:b/>
                <w:sz w:val="20"/>
              </w:rPr>
            </w:pPr>
            <w:r w:rsidRPr="00864C18">
              <w:rPr>
                <w:sz w:val="20"/>
              </w:rPr>
              <w:t>Herudover ønskes der indsat definition på ”Tilskudskategori”.</w:t>
            </w:r>
          </w:p>
        </w:tc>
        <w:tc>
          <w:tcPr>
            <w:tcW w:w="4673" w:type="dxa"/>
          </w:tcPr>
          <w:p w14:paraId="4FDE96D5" w14:textId="77777777" w:rsidR="009F15D2" w:rsidRPr="00864C18" w:rsidRDefault="009F15D2" w:rsidP="009F15D2">
            <w:pPr>
              <w:rPr>
                <w:i/>
                <w:sz w:val="20"/>
              </w:rPr>
            </w:pPr>
          </w:p>
          <w:p w14:paraId="1E0560B9" w14:textId="03259A91" w:rsidR="009F15D2" w:rsidRPr="00864C18" w:rsidRDefault="006905F5" w:rsidP="009F15D2">
            <w:pPr>
              <w:rPr>
                <w:i/>
                <w:sz w:val="20"/>
              </w:rPr>
            </w:pPr>
            <w:r>
              <w:rPr>
                <w:i/>
                <w:sz w:val="20"/>
              </w:rPr>
              <w:t>Bemærkningerne g</w:t>
            </w:r>
            <w:r w:rsidR="009F15D2" w:rsidRPr="00864C18">
              <w:rPr>
                <w:i/>
                <w:sz w:val="20"/>
              </w:rPr>
              <w:t>iver anledning til</w:t>
            </w:r>
            <w:r w:rsidR="004353B0" w:rsidRPr="00864C18">
              <w:rPr>
                <w:i/>
                <w:sz w:val="20"/>
              </w:rPr>
              <w:t xml:space="preserve"> enkelte </w:t>
            </w:r>
            <w:r w:rsidR="009F15D2" w:rsidRPr="00864C18">
              <w:rPr>
                <w:i/>
                <w:sz w:val="20"/>
              </w:rPr>
              <w:t>ændringer i bekendtgørelsen.</w:t>
            </w:r>
          </w:p>
          <w:p w14:paraId="05D0EF22" w14:textId="67965B40" w:rsidR="009F15D2" w:rsidRPr="00864C18" w:rsidRDefault="00CC01C5" w:rsidP="00CC01C5">
            <w:pPr>
              <w:tabs>
                <w:tab w:val="left" w:pos="2842"/>
              </w:tabs>
              <w:rPr>
                <w:i/>
                <w:sz w:val="20"/>
              </w:rPr>
            </w:pPr>
            <w:r>
              <w:rPr>
                <w:i/>
                <w:sz w:val="20"/>
              </w:rPr>
              <w:tab/>
            </w:r>
          </w:p>
          <w:p w14:paraId="472A61CA" w14:textId="4CB39107" w:rsidR="007B62FF" w:rsidRPr="00864C18" w:rsidRDefault="007B62FF" w:rsidP="009F15D2">
            <w:pPr>
              <w:rPr>
                <w:sz w:val="20"/>
              </w:rPr>
            </w:pPr>
            <w:r w:rsidRPr="00864C18">
              <w:rPr>
                <w:sz w:val="20"/>
              </w:rPr>
              <w:t xml:space="preserve">Begreberne </w:t>
            </w:r>
            <w:r w:rsidR="00B10473" w:rsidRPr="00864C18">
              <w:rPr>
                <w:sz w:val="20"/>
              </w:rPr>
              <w:t>”</w:t>
            </w:r>
            <w:r w:rsidRPr="00864C18">
              <w:rPr>
                <w:sz w:val="20"/>
              </w:rPr>
              <w:t>kriterier</w:t>
            </w:r>
            <w:r w:rsidR="00B10473" w:rsidRPr="00864C18">
              <w:rPr>
                <w:sz w:val="20"/>
              </w:rPr>
              <w:t>”</w:t>
            </w:r>
            <w:r w:rsidRPr="00864C18">
              <w:rPr>
                <w:sz w:val="20"/>
              </w:rPr>
              <w:t xml:space="preserve"> og </w:t>
            </w:r>
            <w:r w:rsidR="00B10473" w:rsidRPr="00864C18">
              <w:rPr>
                <w:sz w:val="20"/>
              </w:rPr>
              <w:t>”</w:t>
            </w:r>
            <w:r w:rsidRPr="00864C18">
              <w:rPr>
                <w:sz w:val="20"/>
              </w:rPr>
              <w:t>forpligtelser</w:t>
            </w:r>
            <w:r w:rsidR="00B10473" w:rsidRPr="00864C18">
              <w:rPr>
                <w:sz w:val="20"/>
              </w:rPr>
              <w:t>”</w:t>
            </w:r>
            <w:r w:rsidRPr="00864C18">
              <w:rPr>
                <w:sz w:val="20"/>
              </w:rPr>
              <w:t xml:space="preserve"> er defineret </w:t>
            </w:r>
            <w:r w:rsidR="009F15D2" w:rsidRPr="00864C18">
              <w:rPr>
                <w:sz w:val="20"/>
              </w:rPr>
              <w:t>konkret</w:t>
            </w:r>
            <w:r w:rsidRPr="00864C18">
              <w:rPr>
                <w:sz w:val="20"/>
              </w:rPr>
              <w:t xml:space="preserve"> for hver </w:t>
            </w:r>
            <w:r w:rsidR="009F15D2" w:rsidRPr="00864C18">
              <w:rPr>
                <w:sz w:val="20"/>
              </w:rPr>
              <w:t>tilskuds</w:t>
            </w:r>
            <w:r w:rsidRPr="00864C18">
              <w:rPr>
                <w:sz w:val="20"/>
              </w:rPr>
              <w:t xml:space="preserve">ordning i ordningsbekendtgørelserne og de tilhørende vejledninger.  </w:t>
            </w:r>
          </w:p>
          <w:p w14:paraId="2FB7CEE1" w14:textId="77777777" w:rsidR="009F15D2" w:rsidRPr="00864C18" w:rsidRDefault="009F15D2" w:rsidP="009F15D2">
            <w:pPr>
              <w:rPr>
                <w:sz w:val="20"/>
              </w:rPr>
            </w:pPr>
          </w:p>
          <w:p w14:paraId="3FF6576D" w14:textId="51BDAFA8" w:rsidR="007B62FF" w:rsidRPr="00864C18" w:rsidRDefault="007B62FF" w:rsidP="009F15D2">
            <w:pPr>
              <w:rPr>
                <w:sz w:val="20"/>
              </w:rPr>
            </w:pPr>
            <w:r w:rsidRPr="00864C18">
              <w:rPr>
                <w:sz w:val="20"/>
              </w:rPr>
              <w:t>Landbrugsstyrelsen undersøger, om de overordnede definitioner i denne bekendtgørelse kan forbedres,</w:t>
            </w:r>
            <w:r w:rsidR="001C426A" w:rsidRPr="00864C18">
              <w:rPr>
                <w:sz w:val="20"/>
              </w:rPr>
              <w:t xml:space="preserve"> eventuelt med en henvisning til </w:t>
            </w:r>
            <w:r w:rsidRPr="00864C18">
              <w:rPr>
                <w:sz w:val="20"/>
              </w:rPr>
              <w:t>ordningsbekendtgørelserne.</w:t>
            </w:r>
          </w:p>
          <w:p w14:paraId="6884D0A7" w14:textId="77777777" w:rsidR="007B62FF" w:rsidRPr="00864C18" w:rsidRDefault="007B62FF" w:rsidP="009F15D2">
            <w:pPr>
              <w:rPr>
                <w:sz w:val="20"/>
              </w:rPr>
            </w:pPr>
          </w:p>
          <w:p w14:paraId="76488557" w14:textId="339A4E0C" w:rsidR="009F15D2" w:rsidRPr="00864C18" w:rsidRDefault="007B62FF" w:rsidP="009F15D2">
            <w:pPr>
              <w:rPr>
                <w:sz w:val="20"/>
              </w:rPr>
            </w:pPr>
            <w:r w:rsidRPr="00864C18">
              <w:rPr>
                <w:sz w:val="20"/>
              </w:rPr>
              <w:t xml:space="preserve">Landbrugsstyrelsen </w:t>
            </w:r>
            <w:r w:rsidR="009F15D2" w:rsidRPr="00864C18">
              <w:rPr>
                <w:sz w:val="20"/>
              </w:rPr>
              <w:t>ind</w:t>
            </w:r>
            <w:r w:rsidRPr="00864C18">
              <w:rPr>
                <w:sz w:val="20"/>
              </w:rPr>
              <w:t xml:space="preserve">sætter </w:t>
            </w:r>
            <w:r w:rsidR="009F15D2" w:rsidRPr="00864C18">
              <w:rPr>
                <w:sz w:val="20"/>
              </w:rPr>
              <w:t>følgende</w:t>
            </w:r>
            <w:r w:rsidRPr="00864C18">
              <w:rPr>
                <w:sz w:val="20"/>
              </w:rPr>
              <w:t xml:space="preserve"> definition</w:t>
            </w:r>
            <w:r w:rsidR="009F15D2" w:rsidRPr="00864C18">
              <w:rPr>
                <w:sz w:val="20"/>
              </w:rPr>
              <w:t>:</w:t>
            </w:r>
          </w:p>
          <w:p w14:paraId="41B0EE1D" w14:textId="77777777" w:rsidR="004353B0" w:rsidRPr="00864C18" w:rsidRDefault="004353B0" w:rsidP="009F15D2">
            <w:pPr>
              <w:rPr>
                <w:sz w:val="20"/>
              </w:rPr>
            </w:pPr>
          </w:p>
          <w:p w14:paraId="6FF012F9" w14:textId="712BAD0A" w:rsidR="00B772E9" w:rsidRPr="00864C18" w:rsidRDefault="009F15D2" w:rsidP="009F15D2">
            <w:pPr>
              <w:rPr>
                <w:sz w:val="20"/>
              </w:rPr>
            </w:pPr>
            <w:r w:rsidRPr="00864C18">
              <w:rPr>
                <w:sz w:val="20"/>
              </w:rPr>
              <w:t>T</w:t>
            </w:r>
            <w:r w:rsidR="007B62FF" w:rsidRPr="00864C18">
              <w:rPr>
                <w:sz w:val="20"/>
              </w:rPr>
              <w:t xml:space="preserve">ilskudskategori: </w:t>
            </w:r>
            <w:r w:rsidR="004353B0" w:rsidRPr="00864C18">
              <w:rPr>
                <w:sz w:val="20"/>
              </w:rPr>
              <w:t>En d</w:t>
            </w:r>
            <w:r w:rsidR="0060110F" w:rsidRPr="00864C18">
              <w:rPr>
                <w:sz w:val="20"/>
              </w:rPr>
              <w:t xml:space="preserve">el af </w:t>
            </w:r>
            <w:r w:rsidRPr="00864C18">
              <w:rPr>
                <w:sz w:val="20"/>
              </w:rPr>
              <w:t xml:space="preserve">en </w:t>
            </w:r>
            <w:r w:rsidR="003A3F67" w:rsidRPr="00864C18">
              <w:rPr>
                <w:sz w:val="20"/>
              </w:rPr>
              <w:t xml:space="preserve">tilskudsordning med </w:t>
            </w:r>
            <w:r w:rsidR="00B10473" w:rsidRPr="00864C18">
              <w:rPr>
                <w:sz w:val="20"/>
              </w:rPr>
              <w:t xml:space="preserve">egne </w:t>
            </w:r>
            <w:r w:rsidR="007B62FF" w:rsidRPr="00864C18">
              <w:rPr>
                <w:sz w:val="20"/>
              </w:rPr>
              <w:t xml:space="preserve">tilskudsbetingelser og </w:t>
            </w:r>
            <w:r w:rsidR="00B10473" w:rsidRPr="00864C18">
              <w:rPr>
                <w:sz w:val="20"/>
              </w:rPr>
              <w:t xml:space="preserve">egen </w:t>
            </w:r>
            <w:r w:rsidR="007B62FF" w:rsidRPr="00864C18">
              <w:rPr>
                <w:sz w:val="20"/>
              </w:rPr>
              <w:t>tilskudssats.</w:t>
            </w:r>
          </w:p>
          <w:p w14:paraId="0E7901DF" w14:textId="14327CF2" w:rsidR="009F15D2" w:rsidRPr="00864C18" w:rsidRDefault="009F15D2" w:rsidP="009F15D2">
            <w:pPr>
              <w:rPr>
                <w:sz w:val="20"/>
                <w:u w:val="single"/>
              </w:rPr>
            </w:pPr>
          </w:p>
        </w:tc>
      </w:tr>
      <w:tr w:rsidR="00B772E9" w:rsidRPr="00864C18" w14:paraId="717F5290" w14:textId="77777777" w:rsidTr="00595821">
        <w:tc>
          <w:tcPr>
            <w:tcW w:w="4672" w:type="dxa"/>
          </w:tcPr>
          <w:p w14:paraId="78A9443E" w14:textId="5C4FB941" w:rsidR="00B772E9" w:rsidRPr="00864C18" w:rsidRDefault="00B772E9" w:rsidP="009F15D2">
            <w:pPr>
              <w:rPr>
                <w:b/>
                <w:sz w:val="20"/>
              </w:rPr>
            </w:pPr>
            <w:r w:rsidRPr="00864C18">
              <w:rPr>
                <w:b/>
                <w:sz w:val="20"/>
              </w:rPr>
              <w:t>1.2.</w:t>
            </w:r>
          </w:p>
          <w:p w14:paraId="10ABFCC8" w14:textId="52601FDF" w:rsidR="00B772E9" w:rsidRPr="00864C18" w:rsidRDefault="00B772E9" w:rsidP="009F15D2">
            <w:pPr>
              <w:rPr>
                <w:b/>
                <w:sz w:val="20"/>
              </w:rPr>
            </w:pPr>
            <w:r w:rsidRPr="00864C18">
              <w:rPr>
                <w:b/>
                <w:bCs/>
                <w:sz w:val="20"/>
              </w:rPr>
              <w:t xml:space="preserve">§ 3 – Satellitkontrol og georefererede billeder </w:t>
            </w:r>
          </w:p>
          <w:p w14:paraId="28F190FC" w14:textId="77777777" w:rsidR="004353B0" w:rsidRPr="00864C18" w:rsidRDefault="00B772E9" w:rsidP="009F15D2">
            <w:pPr>
              <w:rPr>
                <w:sz w:val="20"/>
              </w:rPr>
            </w:pPr>
            <w:r w:rsidRPr="00864C18">
              <w:rPr>
                <w:sz w:val="20"/>
              </w:rPr>
              <w:t xml:space="preserve">Det fremgår ikke af bekendtgørelsen under hvilke støtteordninger, der anvendes satellitkontrol. </w:t>
            </w:r>
            <w:r w:rsidRPr="00864C18">
              <w:rPr>
                <w:sz w:val="20"/>
              </w:rPr>
              <w:lastRenderedPageBreak/>
              <w:t xml:space="preserve">Landbrug &amp; Fødevarer mener, at dette bør tilføjes i bekendtgørelsen. </w:t>
            </w:r>
          </w:p>
          <w:p w14:paraId="6C8D4339" w14:textId="77777777" w:rsidR="004353B0" w:rsidRPr="00864C18" w:rsidRDefault="004353B0" w:rsidP="009F15D2">
            <w:pPr>
              <w:rPr>
                <w:sz w:val="20"/>
              </w:rPr>
            </w:pPr>
          </w:p>
          <w:p w14:paraId="310D3AAE" w14:textId="0258C0CC" w:rsidR="00B772E9" w:rsidRPr="00864C18" w:rsidRDefault="00B772E9" w:rsidP="009F15D2">
            <w:pPr>
              <w:rPr>
                <w:sz w:val="20"/>
              </w:rPr>
            </w:pPr>
            <w:r w:rsidRPr="00864C18">
              <w:rPr>
                <w:sz w:val="20"/>
              </w:rPr>
              <w:t xml:space="preserve">Landbrug &amp; Fødevarer mener, at indretningen af sanktionssystemet for en støtteordning bør afspejle, om ordningen bliver kontrolleret fysisk eller per satellit. Sanktionsniveauet bør være væsentligt lavere, når en ordning kontrolleres med satellit, da der er tale om en 100 pct. kontrol. Derfor er der ikke behov for, at sanktionerne skal have en præventiv effekt på samme måde, som når der er tale om en fysisk stikprøvekontrol. </w:t>
            </w:r>
          </w:p>
          <w:p w14:paraId="21E8F28E" w14:textId="77777777" w:rsidR="004353B0" w:rsidRPr="00864C18" w:rsidRDefault="004353B0" w:rsidP="009F15D2">
            <w:pPr>
              <w:rPr>
                <w:sz w:val="20"/>
              </w:rPr>
            </w:pPr>
          </w:p>
          <w:p w14:paraId="2640E297" w14:textId="77777777" w:rsidR="004353B0" w:rsidRPr="00864C18" w:rsidRDefault="00B772E9" w:rsidP="009F15D2">
            <w:pPr>
              <w:rPr>
                <w:sz w:val="20"/>
              </w:rPr>
            </w:pPr>
            <w:r w:rsidRPr="00864C18">
              <w:rPr>
                <w:sz w:val="20"/>
              </w:rPr>
              <w:t xml:space="preserve">Idet det ikke fremgår af </w:t>
            </w:r>
            <w:r w:rsidR="004353B0" w:rsidRPr="00864C18">
              <w:rPr>
                <w:sz w:val="20"/>
              </w:rPr>
              <w:t>b</w:t>
            </w:r>
            <w:r w:rsidRPr="00864C18">
              <w:rPr>
                <w:sz w:val="20"/>
              </w:rPr>
              <w:t>ekendtgørelses</w:t>
            </w:r>
            <w:r w:rsidR="004353B0" w:rsidRPr="00864C18">
              <w:rPr>
                <w:sz w:val="20"/>
              </w:rPr>
              <w:t>-</w:t>
            </w:r>
            <w:r w:rsidRPr="00864C18">
              <w:rPr>
                <w:sz w:val="20"/>
              </w:rPr>
              <w:t>teksten, hvordan de forskellige ordninger kontrolleres, er det ikke muligt at forholde sig til, om sanktionssystemet afspejler kontrol</w:t>
            </w:r>
            <w:r w:rsidR="004353B0" w:rsidRPr="00864C18">
              <w:rPr>
                <w:sz w:val="20"/>
              </w:rPr>
              <w:t>-</w:t>
            </w:r>
            <w:r w:rsidRPr="00864C18">
              <w:rPr>
                <w:sz w:val="20"/>
              </w:rPr>
              <w:t xml:space="preserve">formen. </w:t>
            </w:r>
          </w:p>
          <w:p w14:paraId="78AD2470" w14:textId="77777777" w:rsidR="004353B0" w:rsidRPr="00864C18" w:rsidRDefault="004353B0" w:rsidP="009F15D2">
            <w:pPr>
              <w:rPr>
                <w:sz w:val="20"/>
              </w:rPr>
            </w:pPr>
          </w:p>
          <w:p w14:paraId="24516B01" w14:textId="177182A1" w:rsidR="00B772E9" w:rsidRPr="00864C18" w:rsidRDefault="00B772E9" w:rsidP="009F15D2">
            <w:pPr>
              <w:rPr>
                <w:sz w:val="20"/>
              </w:rPr>
            </w:pPr>
            <w:r w:rsidRPr="00864C18">
              <w:rPr>
                <w:sz w:val="20"/>
              </w:rPr>
              <w:t>2023 var første år, hvor der i sommerperioden blev gennemført en arealanvendelseskontrol med satellit. Ud fra det første år, har det været muligt at drage nogle erfaringer, som det er vigtigt at tage ved lære af til kontrollen i 2024. Det drejer sig, om følgende:</w:t>
            </w:r>
          </w:p>
          <w:p w14:paraId="73A00734" w14:textId="77777777" w:rsidR="00355263" w:rsidRPr="00864C18" w:rsidRDefault="00355263" w:rsidP="009F15D2">
            <w:pPr>
              <w:rPr>
                <w:sz w:val="20"/>
              </w:rPr>
            </w:pPr>
          </w:p>
          <w:p w14:paraId="25BE0CEE" w14:textId="588035FF" w:rsidR="00B772E9" w:rsidRPr="00864C18" w:rsidRDefault="004353B0" w:rsidP="009F15D2">
            <w:pPr>
              <w:rPr>
                <w:sz w:val="20"/>
              </w:rPr>
            </w:pPr>
            <w:r w:rsidRPr="00864C18">
              <w:rPr>
                <w:sz w:val="20"/>
              </w:rPr>
              <w:t xml:space="preserve">• </w:t>
            </w:r>
            <w:r w:rsidR="00B772E9" w:rsidRPr="00864C18">
              <w:rPr>
                <w:sz w:val="20"/>
              </w:rPr>
              <w:t>Høringsperiode:</w:t>
            </w:r>
          </w:p>
          <w:p w14:paraId="0EC0BC92" w14:textId="3992AED5" w:rsidR="00B772E9" w:rsidRPr="00864C18" w:rsidRDefault="00B772E9" w:rsidP="009F15D2">
            <w:pPr>
              <w:rPr>
                <w:sz w:val="20"/>
              </w:rPr>
            </w:pPr>
            <w:r w:rsidRPr="00864C18">
              <w:rPr>
                <w:sz w:val="20"/>
              </w:rPr>
              <w:t>Høringsperioden lå i år på et meget uhensigtsmæssigt tidspunkt midt i den periode, hvor mange</w:t>
            </w:r>
            <w:r w:rsidR="00A16E28" w:rsidRPr="00864C18">
              <w:rPr>
                <w:sz w:val="20"/>
              </w:rPr>
              <w:t xml:space="preserve"> </w:t>
            </w:r>
            <w:r w:rsidRPr="00864C18">
              <w:rPr>
                <w:sz w:val="20"/>
              </w:rPr>
              <w:t>holder sommerferie. Det er meget vigtigt, at høringsperioden kommer til at ligge tidligere i 2024.</w:t>
            </w:r>
          </w:p>
          <w:p w14:paraId="6B842558" w14:textId="77777777" w:rsidR="00B772E9" w:rsidRPr="00864C18" w:rsidRDefault="00B772E9" w:rsidP="009F15D2">
            <w:pPr>
              <w:rPr>
                <w:sz w:val="20"/>
              </w:rPr>
            </w:pPr>
          </w:p>
          <w:p w14:paraId="7A82E84A" w14:textId="77777777" w:rsidR="00A853B7" w:rsidRPr="00864C18" w:rsidRDefault="00A853B7" w:rsidP="009F15D2">
            <w:pPr>
              <w:rPr>
                <w:sz w:val="20"/>
              </w:rPr>
            </w:pPr>
          </w:p>
          <w:p w14:paraId="756A13CE" w14:textId="77777777" w:rsidR="00A853B7" w:rsidRPr="00864C18" w:rsidRDefault="00A853B7" w:rsidP="009F15D2">
            <w:pPr>
              <w:rPr>
                <w:sz w:val="20"/>
              </w:rPr>
            </w:pPr>
          </w:p>
          <w:p w14:paraId="271E0559" w14:textId="77777777" w:rsidR="00A853B7" w:rsidRPr="00864C18" w:rsidRDefault="00A853B7" w:rsidP="009F15D2">
            <w:pPr>
              <w:rPr>
                <w:sz w:val="20"/>
              </w:rPr>
            </w:pPr>
          </w:p>
          <w:p w14:paraId="70F9FDAA" w14:textId="77777777" w:rsidR="00A853B7" w:rsidRPr="00864C18" w:rsidRDefault="00A853B7" w:rsidP="009F15D2">
            <w:pPr>
              <w:rPr>
                <w:sz w:val="20"/>
              </w:rPr>
            </w:pPr>
          </w:p>
          <w:p w14:paraId="34CDAD91" w14:textId="77777777" w:rsidR="00A853B7" w:rsidRPr="00864C18" w:rsidRDefault="00A853B7" w:rsidP="009F15D2">
            <w:pPr>
              <w:rPr>
                <w:sz w:val="20"/>
              </w:rPr>
            </w:pPr>
          </w:p>
          <w:p w14:paraId="130EDD39" w14:textId="41856056" w:rsidR="00B772E9" w:rsidRPr="00864C18" w:rsidRDefault="00B772E9" w:rsidP="009F15D2">
            <w:pPr>
              <w:rPr>
                <w:sz w:val="20"/>
              </w:rPr>
            </w:pPr>
            <w:r w:rsidRPr="00864C18">
              <w:rPr>
                <w:sz w:val="20"/>
              </w:rPr>
              <w:t>• Ændring af afgrødekoder:</w:t>
            </w:r>
          </w:p>
          <w:p w14:paraId="6AA61553" w14:textId="786B634E" w:rsidR="00B772E9" w:rsidRPr="00864C18" w:rsidRDefault="00B772E9" w:rsidP="009F15D2">
            <w:pPr>
              <w:rPr>
                <w:sz w:val="20"/>
              </w:rPr>
            </w:pPr>
            <w:r w:rsidRPr="00864C18">
              <w:rPr>
                <w:sz w:val="20"/>
              </w:rPr>
              <w:t>Det har været en stor udfordring for ansøgerne, at det ikke har været muligt at ændre afgrødekoder</w:t>
            </w:r>
            <w:r w:rsidR="00A853B7" w:rsidRPr="00864C18">
              <w:rPr>
                <w:sz w:val="20"/>
              </w:rPr>
              <w:t xml:space="preserve"> </w:t>
            </w:r>
            <w:r w:rsidRPr="00864C18">
              <w:rPr>
                <w:sz w:val="20"/>
              </w:rPr>
              <w:t>i fællesskemaet efter ændringsfristen (på nær ved at indsende en bemærkning til fællesskemaet).</w:t>
            </w:r>
          </w:p>
          <w:p w14:paraId="008CF543" w14:textId="77777777" w:rsidR="00B772E9" w:rsidRPr="00864C18" w:rsidRDefault="00B772E9" w:rsidP="009F15D2">
            <w:pPr>
              <w:rPr>
                <w:sz w:val="20"/>
              </w:rPr>
            </w:pPr>
            <w:r w:rsidRPr="00864C18">
              <w:rPr>
                <w:sz w:val="20"/>
              </w:rPr>
              <w:t>Der kan i en række tilfælde være behov for at ændre afgrødekoder. F.eks. i tilfælde, hvor</w:t>
            </w:r>
          </w:p>
          <w:p w14:paraId="0D311F3D" w14:textId="10394CDE" w:rsidR="00B772E9" w:rsidRPr="00864C18" w:rsidRDefault="00B772E9" w:rsidP="009F15D2">
            <w:pPr>
              <w:rPr>
                <w:sz w:val="20"/>
              </w:rPr>
            </w:pPr>
            <w:r w:rsidRPr="00864C18">
              <w:rPr>
                <w:sz w:val="20"/>
              </w:rPr>
              <w:t>satellitkontrollen ikke</w:t>
            </w:r>
            <w:r w:rsidR="00A853B7" w:rsidRPr="00864C18">
              <w:rPr>
                <w:sz w:val="20"/>
              </w:rPr>
              <w:t xml:space="preserve"> </w:t>
            </w:r>
            <w:r w:rsidRPr="00864C18">
              <w:rPr>
                <w:sz w:val="20"/>
              </w:rPr>
              <w:t xml:space="preserve">har fanget en forkert registreret mark. Herudover, kan der være behov, hvis der ændres i den planlagte dyrkningspraksis efter ændringsfristen – det kunne f.eks. være, om det er muligt at etablere græsudlæg i en majsmark. Det er vigtigt, at det er muligt for </w:t>
            </w:r>
            <w:r w:rsidRPr="00864C18">
              <w:rPr>
                <w:sz w:val="20"/>
              </w:rPr>
              <w:lastRenderedPageBreak/>
              <w:t>ansøgeren at sikre, at alle marker er registeret korrekt, da det kan få betydning for opfyldelsen af GLM-krav og støttebetingelser i efterfølgende år.</w:t>
            </w:r>
          </w:p>
          <w:p w14:paraId="3AEB6C77" w14:textId="74ACE021" w:rsidR="00B772E9" w:rsidRPr="00864C18" w:rsidRDefault="00B772E9" w:rsidP="009F15D2">
            <w:pPr>
              <w:rPr>
                <w:sz w:val="20"/>
              </w:rPr>
            </w:pPr>
          </w:p>
          <w:p w14:paraId="30882F2B" w14:textId="77777777" w:rsidR="00B772E9" w:rsidRPr="00864C18" w:rsidRDefault="00B772E9" w:rsidP="009F15D2">
            <w:pPr>
              <w:rPr>
                <w:sz w:val="20"/>
              </w:rPr>
            </w:pPr>
            <w:r w:rsidRPr="00864C18">
              <w:rPr>
                <w:sz w:val="20"/>
              </w:rPr>
              <w:t>• Afgørelser i forbindelse med satellitkontrollen:</w:t>
            </w:r>
          </w:p>
          <w:p w14:paraId="083305C1" w14:textId="0E43B678" w:rsidR="00B772E9" w:rsidRPr="00864C18" w:rsidRDefault="00B772E9" w:rsidP="009F15D2">
            <w:pPr>
              <w:rPr>
                <w:sz w:val="20"/>
              </w:rPr>
            </w:pPr>
            <w:r w:rsidRPr="00864C18">
              <w:rPr>
                <w:sz w:val="20"/>
              </w:rPr>
              <w:t>Det er vigtigt, at der er klarhed over, hvilke afgrøder der er godkendt på de enkelte marker</w:t>
            </w:r>
            <w:r w:rsidR="00A853B7" w:rsidRPr="00864C18">
              <w:rPr>
                <w:sz w:val="20"/>
              </w:rPr>
              <w:t xml:space="preserve"> </w:t>
            </w:r>
            <w:r w:rsidRPr="00864C18">
              <w:rPr>
                <w:sz w:val="20"/>
              </w:rPr>
              <w:t>allersenest 1. oktober og også gerne før. Det er ligeledes vigtigt, at denne information er let og</w:t>
            </w:r>
            <w:r w:rsidR="00A853B7" w:rsidRPr="00864C18">
              <w:rPr>
                <w:sz w:val="20"/>
              </w:rPr>
              <w:t xml:space="preserve"> </w:t>
            </w:r>
            <w:r w:rsidRPr="00864C18">
              <w:rPr>
                <w:sz w:val="20"/>
              </w:rPr>
              <w:t>tydeligt tilgængelig for ansøgeren. Det skyldes, at informationen bruges i forbindelse med</w:t>
            </w:r>
            <w:r w:rsidR="00A853B7" w:rsidRPr="00864C18">
              <w:rPr>
                <w:sz w:val="20"/>
              </w:rPr>
              <w:t xml:space="preserve"> </w:t>
            </w:r>
            <w:r w:rsidRPr="00864C18">
              <w:rPr>
                <w:sz w:val="20"/>
              </w:rPr>
              <w:t>indsendelse af GKEA-skemaet senest den 10. september, og at ansøgeren fra 1. oktober begynder</w:t>
            </w:r>
          </w:p>
          <w:p w14:paraId="1142000D" w14:textId="77777777" w:rsidR="002D4827" w:rsidRPr="00864C18" w:rsidRDefault="00B772E9" w:rsidP="009F15D2">
            <w:pPr>
              <w:rPr>
                <w:sz w:val="20"/>
              </w:rPr>
            </w:pPr>
            <w:r w:rsidRPr="00864C18">
              <w:rPr>
                <w:sz w:val="20"/>
              </w:rPr>
              <w:t>at lave gødningsregnskab. Det er derfor meget uhensigtsmæssigt, hvis afgørelserne om, hvilken</w:t>
            </w:r>
            <w:r w:rsidR="002D4827" w:rsidRPr="00864C18">
              <w:rPr>
                <w:sz w:val="20"/>
              </w:rPr>
              <w:t xml:space="preserve"> </w:t>
            </w:r>
            <w:r w:rsidRPr="00864C18">
              <w:rPr>
                <w:sz w:val="20"/>
              </w:rPr>
              <w:t xml:space="preserve">afgrøde, der er godkendt på arealet, først kommer i december eller senere. </w:t>
            </w:r>
          </w:p>
          <w:p w14:paraId="6377FD37" w14:textId="77777777" w:rsidR="002D4827" w:rsidRPr="00864C18" w:rsidRDefault="002D4827" w:rsidP="009F15D2">
            <w:pPr>
              <w:rPr>
                <w:sz w:val="20"/>
              </w:rPr>
            </w:pPr>
          </w:p>
          <w:p w14:paraId="5DAB9282" w14:textId="2C08AA3F" w:rsidR="00B772E9" w:rsidRPr="00864C18" w:rsidRDefault="00B772E9" w:rsidP="009F15D2">
            <w:pPr>
              <w:rPr>
                <w:sz w:val="20"/>
              </w:rPr>
            </w:pPr>
            <w:r w:rsidRPr="00864C18">
              <w:rPr>
                <w:sz w:val="20"/>
              </w:rPr>
              <w:t>I yderste konsekvens,</w:t>
            </w:r>
            <w:r w:rsidR="002D4827" w:rsidRPr="00864C18">
              <w:rPr>
                <w:sz w:val="20"/>
              </w:rPr>
              <w:t xml:space="preserve"> </w:t>
            </w:r>
            <w:r w:rsidRPr="00864C18">
              <w:rPr>
                <w:sz w:val="20"/>
              </w:rPr>
              <w:t>kan dette medføre en utilsigtet overgødskningssag.</w:t>
            </w:r>
          </w:p>
          <w:p w14:paraId="32B1E3C8" w14:textId="6D7C3E67" w:rsidR="00D831CD" w:rsidRPr="00864C18" w:rsidRDefault="00D831CD" w:rsidP="009F15D2">
            <w:pPr>
              <w:rPr>
                <w:sz w:val="20"/>
              </w:rPr>
            </w:pPr>
          </w:p>
          <w:p w14:paraId="5272F1F3" w14:textId="1EB8CCEC" w:rsidR="00D831CD" w:rsidRPr="00864C18" w:rsidRDefault="00D831CD" w:rsidP="009F15D2">
            <w:pPr>
              <w:rPr>
                <w:sz w:val="20"/>
              </w:rPr>
            </w:pPr>
          </w:p>
          <w:p w14:paraId="329A44D0" w14:textId="634EB98D" w:rsidR="00D831CD" w:rsidRPr="00864C18" w:rsidRDefault="00D831CD" w:rsidP="009F15D2">
            <w:pPr>
              <w:rPr>
                <w:sz w:val="20"/>
              </w:rPr>
            </w:pPr>
          </w:p>
          <w:p w14:paraId="5E3135D4" w14:textId="20EAFD87" w:rsidR="00D831CD" w:rsidRPr="00864C18" w:rsidRDefault="00D831CD" w:rsidP="009F15D2">
            <w:pPr>
              <w:rPr>
                <w:sz w:val="20"/>
              </w:rPr>
            </w:pPr>
          </w:p>
          <w:p w14:paraId="720CF304" w14:textId="0D3A0804" w:rsidR="00D831CD" w:rsidRPr="00864C18" w:rsidRDefault="00D831CD" w:rsidP="009F15D2">
            <w:pPr>
              <w:rPr>
                <w:sz w:val="20"/>
              </w:rPr>
            </w:pPr>
          </w:p>
          <w:p w14:paraId="06523D8D" w14:textId="77777777" w:rsidR="002D4827" w:rsidRPr="00864C18" w:rsidRDefault="002D4827" w:rsidP="009F15D2">
            <w:pPr>
              <w:rPr>
                <w:sz w:val="20"/>
              </w:rPr>
            </w:pPr>
          </w:p>
          <w:p w14:paraId="1A2072D9" w14:textId="1243914A" w:rsidR="00B772E9" w:rsidRPr="00864C18" w:rsidRDefault="00B772E9" w:rsidP="009F15D2">
            <w:pPr>
              <w:rPr>
                <w:sz w:val="20"/>
              </w:rPr>
            </w:pPr>
            <w:r w:rsidRPr="00864C18">
              <w:rPr>
                <w:sz w:val="20"/>
              </w:rPr>
              <w:t>• Hvornår skal der tages billeder med appen:</w:t>
            </w:r>
          </w:p>
          <w:p w14:paraId="6B27730A" w14:textId="3368064C" w:rsidR="00B772E9" w:rsidRPr="00864C18" w:rsidRDefault="00B772E9" w:rsidP="009F15D2">
            <w:pPr>
              <w:rPr>
                <w:sz w:val="20"/>
              </w:rPr>
            </w:pPr>
            <w:r w:rsidRPr="00864C18">
              <w:rPr>
                <w:sz w:val="20"/>
              </w:rPr>
              <w:t>Det skal sikres, at der ikke stilles krav om indsendelse af georefererede billeder i tilfælde, hvor et billede ikke tilfører yderligere information og værdi. Det gælder f.eks. for et areal, der er</w:t>
            </w:r>
            <w:r w:rsidR="002D4827" w:rsidRPr="00864C18">
              <w:rPr>
                <w:sz w:val="20"/>
              </w:rPr>
              <w:t xml:space="preserve"> </w:t>
            </w:r>
            <w:proofErr w:type="spellStart"/>
            <w:r w:rsidRPr="00864C18">
              <w:rPr>
                <w:sz w:val="20"/>
              </w:rPr>
              <w:t>omklassificeret</w:t>
            </w:r>
            <w:proofErr w:type="spellEnd"/>
            <w:r w:rsidRPr="00864C18">
              <w:rPr>
                <w:sz w:val="20"/>
              </w:rPr>
              <w:t xml:space="preserve"> til græs, men med en forkert græs-afgrødekode. I den forbindelse kan det også</w:t>
            </w:r>
            <w:r w:rsidR="002D4827" w:rsidRPr="00864C18">
              <w:rPr>
                <w:sz w:val="20"/>
              </w:rPr>
              <w:t xml:space="preserve"> </w:t>
            </w:r>
            <w:r w:rsidRPr="00864C18">
              <w:rPr>
                <w:sz w:val="20"/>
              </w:rPr>
              <w:t>være udfordrende at dokumentere hovedafgrøden på et areal med f.eks. korn med græsudlæg, der</w:t>
            </w:r>
            <w:r w:rsidR="002D4827" w:rsidRPr="00864C18">
              <w:rPr>
                <w:sz w:val="20"/>
              </w:rPr>
              <w:t xml:space="preserve"> </w:t>
            </w:r>
            <w:r w:rsidRPr="00864C18">
              <w:rPr>
                <w:sz w:val="20"/>
              </w:rPr>
              <w:t>høstes som grønkorn, da marken typisk vil være høstet første gang længe før høringsperioden.</w:t>
            </w:r>
          </w:p>
          <w:p w14:paraId="1D518764" w14:textId="38C66C0C" w:rsidR="00B772E9" w:rsidRPr="00864C18" w:rsidRDefault="00B772E9" w:rsidP="009F15D2">
            <w:pPr>
              <w:rPr>
                <w:sz w:val="20"/>
              </w:rPr>
            </w:pPr>
          </w:p>
          <w:p w14:paraId="2F2BEB6A" w14:textId="42F3204B" w:rsidR="002D4827" w:rsidRPr="00864C18" w:rsidRDefault="002D4827" w:rsidP="009F15D2">
            <w:pPr>
              <w:rPr>
                <w:sz w:val="20"/>
              </w:rPr>
            </w:pPr>
          </w:p>
          <w:p w14:paraId="042AAE79" w14:textId="77777777" w:rsidR="002D4827" w:rsidRPr="00864C18" w:rsidRDefault="002D4827" w:rsidP="009F15D2">
            <w:pPr>
              <w:rPr>
                <w:sz w:val="20"/>
              </w:rPr>
            </w:pPr>
          </w:p>
          <w:p w14:paraId="637549AE" w14:textId="77777777" w:rsidR="00B772E9" w:rsidRPr="00864C18" w:rsidRDefault="00B772E9" w:rsidP="009F15D2">
            <w:pPr>
              <w:rPr>
                <w:sz w:val="20"/>
              </w:rPr>
            </w:pPr>
            <w:r w:rsidRPr="00864C18">
              <w:rPr>
                <w:sz w:val="20"/>
              </w:rPr>
              <w:t>• Grøntsagsafgrøder:</w:t>
            </w:r>
          </w:p>
          <w:p w14:paraId="61D0AA40" w14:textId="2E7AA005" w:rsidR="00B772E9" w:rsidRPr="00864C18" w:rsidRDefault="00B772E9" w:rsidP="009F15D2">
            <w:pPr>
              <w:rPr>
                <w:sz w:val="20"/>
              </w:rPr>
            </w:pPr>
            <w:r w:rsidRPr="00864C18">
              <w:rPr>
                <w:sz w:val="20"/>
              </w:rPr>
              <w:t>Desuden har ansøgere, der sår nye afgrøder gennem hele vækstsæsonen oplevet udfordringer</w:t>
            </w:r>
            <w:r w:rsidR="002D4827" w:rsidRPr="00864C18">
              <w:rPr>
                <w:sz w:val="20"/>
              </w:rPr>
              <w:t xml:space="preserve"> </w:t>
            </w:r>
            <w:r w:rsidRPr="00864C18">
              <w:rPr>
                <w:sz w:val="20"/>
              </w:rPr>
              <w:t>med satellitkontrollen. Det kan fx være marker, hvor der dyrkes salat, og hvor marken også tilsås</w:t>
            </w:r>
            <w:r w:rsidR="002D4827" w:rsidRPr="00864C18">
              <w:rPr>
                <w:sz w:val="20"/>
              </w:rPr>
              <w:t xml:space="preserve"> </w:t>
            </w:r>
            <w:r w:rsidRPr="00864C18">
              <w:rPr>
                <w:sz w:val="20"/>
              </w:rPr>
              <w:t xml:space="preserve">efter 25. juli. Her har ansøgere oplevet, at satellitkontrollen ikke har accepteret, at afgrøden på marken var salat, selvom dette reelt var hovedafgrøden. Det er nødvendigt, at der findes </w:t>
            </w:r>
            <w:r w:rsidRPr="00864C18">
              <w:rPr>
                <w:sz w:val="20"/>
              </w:rPr>
              <w:lastRenderedPageBreak/>
              <w:t>en løsning på denne udfordring. Det kan både give udfordringer i forhold til opfyldelse af kravet om</w:t>
            </w:r>
            <w:r w:rsidR="002D4827" w:rsidRPr="00864C18">
              <w:rPr>
                <w:sz w:val="20"/>
              </w:rPr>
              <w:t xml:space="preserve"> </w:t>
            </w:r>
            <w:r w:rsidRPr="00864C18">
              <w:rPr>
                <w:sz w:val="20"/>
              </w:rPr>
              <w:t>afgrøderotation samt udfordringer i forhold til udfyldelsen af gødningskvote-efterafgrøde skemaet og, hvis det er en økolog, også for økologi-skemaet. Det er her vigtigt, at der tildeles en gødningskvote, der reelt svarer til det, der dyrkes på marken.</w:t>
            </w:r>
          </w:p>
          <w:p w14:paraId="13FA84FC" w14:textId="12FEC7F0" w:rsidR="00B772E9" w:rsidRPr="00864C18" w:rsidRDefault="00B772E9" w:rsidP="009F15D2">
            <w:pPr>
              <w:rPr>
                <w:sz w:val="20"/>
              </w:rPr>
            </w:pPr>
          </w:p>
          <w:p w14:paraId="534909F8" w14:textId="77777777" w:rsidR="002D4827" w:rsidRPr="00864C18" w:rsidRDefault="002D4827" w:rsidP="009F15D2">
            <w:pPr>
              <w:rPr>
                <w:sz w:val="20"/>
              </w:rPr>
            </w:pPr>
          </w:p>
          <w:p w14:paraId="716BCDBE" w14:textId="77777777" w:rsidR="003A2071" w:rsidRDefault="003A2071" w:rsidP="009F15D2">
            <w:pPr>
              <w:rPr>
                <w:sz w:val="20"/>
              </w:rPr>
            </w:pPr>
          </w:p>
          <w:p w14:paraId="1D203B09" w14:textId="386E1015" w:rsidR="00B772E9" w:rsidRPr="00864C18" w:rsidRDefault="00B772E9" w:rsidP="009F15D2">
            <w:pPr>
              <w:rPr>
                <w:sz w:val="20"/>
              </w:rPr>
            </w:pPr>
            <w:r w:rsidRPr="00864C18">
              <w:rPr>
                <w:sz w:val="20"/>
              </w:rPr>
              <w:t>• Obligatorisk digital kommunikation:</w:t>
            </w:r>
          </w:p>
          <w:p w14:paraId="78857D51" w14:textId="77777777" w:rsidR="00B772E9" w:rsidRPr="00864C18" w:rsidRDefault="00B772E9" w:rsidP="009F15D2">
            <w:pPr>
              <w:rPr>
                <w:sz w:val="20"/>
              </w:rPr>
            </w:pPr>
            <w:r w:rsidRPr="00864C18">
              <w:rPr>
                <w:sz w:val="20"/>
              </w:rPr>
              <w:t>I den obligatoriske digitale kommunikation kræves det, at svar på høring som følge af</w:t>
            </w:r>
          </w:p>
          <w:p w14:paraId="31285276" w14:textId="7840418E" w:rsidR="00B772E9" w:rsidRPr="00864C18" w:rsidRDefault="00B772E9" w:rsidP="009F15D2">
            <w:pPr>
              <w:rPr>
                <w:sz w:val="20"/>
              </w:rPr>
            </w:pPr>
            <w:r w:rsidRPr="00864C18">
              <w:rPr>
                <w:sz w:val="20"/>
              </w:rPr>
              <w:t>satellitkontrollen sker ved indsendelse af billeder via Landbrugsstyrelsens app. Det står dog ikke</w:t>
            </w:r>
            <w:r w:rsidR="002D4827" w:rsidRPr="00864C18">
              <w:rPr>
                <w:sz w:val="20"/>
              </w:rPr>
              <w:t xml:space="preserve"> </w:t>
            </w:r>
            <w:r w:rsidRPr="00864C18">
              <w:rPr>
                <w:sz w:val="20"/>
              </w:rPr>
              <w:t>beskrevet i bekendtgørelsen, hvad ansøger skal gøre såfremt appen ikke virker, enten som følge af</w:t>
            </w:r>
            <w:r w:rsidR="002D4827" w:rsidRPr="00864C18">
              <w:rPr>
                <w:sz w:val="20"/>
              </w:rPr>
              <w:t xml:space="preserve"> </w:t>
            </w:r>
            <w:r w:rsidRPr="00864C18">
              <w:rPr>
                <w:sz w:val="20"/>
              </w:rPr>
              <w:t>IT-problemer hos Landbrugsstyrelsen eller at appen ikke virker hos ansøger. Dette bør beskrives</w:t>
            </w:r>
          </w:p>
          <w:p w14:paraId="72F04345" w14:textId="2D79DDF7" w:rsidR="00B772E9" w:rsidRPr="00864C18" w:rsidRDefault="00B772E9" w:rsidP="009F15D2">
            <w:pPr>
              <w:rPr>
                <w:sz w:val="20"/>
              </w:rPr>
            </w:pPr>
            <w:r w:rsidRPr="00864C18">
              <w:rPr>
                <w:sz w:val="20"/>
              </w:rPr>
              <w:t>udførligt i vejledningen. Som eksempel fremgår det i skrivende stund af drift</w:t>
            </w:r>
            <w:r w:rsidR="007F7575">
              <w:rPr>
                <w:sz w:val="20"/>
              </w:rPr>
              <w:t>s</w:t>
            </w:r>
            <w:r w:rsidRPr="00864C18">
              <w:rPr>
                <w:sz w:val="20"/>
              </w:rPr>
              <w:t>status, at appen ikke</w:t>
            </w:r>
          </w:p>
          <w:p w14:paraId="2A830D76" w14:textId="77777777" w:rsidR="00B772E9" w:rsidRPr="00864C18" w:rsidRDefault="00B772E9" w:rsidP="009F15D2">
            <w:pPr>
              <w:rPr>
                <w:sz w:val="20"/>
              </w:rPr>
            </w:pPr>
            <w:r w:rsidRPr="00864C18">
              <w:rPr>
                <w:sz w:val="20"/>
              </w:rPr>
              <w:t>har virket siden 1. november og, at der pt. ikke er en tidshorisont for en løsning.</w:t>
            </w:r>
          </w:p>
          <w:p w14:paraId="52242BF8" w14:textId="77777777" w:rsidR="00B772E9" w:rsidRPr="00864C18" w:rsidRDefault="00B772E9" w:rsidP="009F15D2">
            <w:pPr>
              <w:rPr>
                <w:sz w:val="20"/>
              </w:rPr>
            </w:pPr>
          </w:p>
          <w:p w14:paraId="02F6E884" w14:textId="00A84322" w:rsidR="00B772E9" w:rsidRPr="00864C18" w:rsidRDefault="00B772E9" w:rsidP="009F15D2">
            <w:pPr>
              <w:rPr>
                <w:sz w:val="20"/>
              </w:rPr>
            </w:pPr>
            <w:r w:rsidRPr="00864C18">
              <w:rPr>
                <w:sz w:val="20"/>
              </w:rPr>
              <w:t>• Kontrol af slåningsbrak:</w:t>
            </w:r>
          </w:p>
          <w:p w14:paraId="2C51B2D9" w14:textId="171590D6" w:rsidR="00B772E9" w:rsidRPr="00864C18" w:rsidRDefault="00B772E9" w:rsidP="009F15D2">
            <w:pPr>
              <w:rPr>
                <w:sz w:val="20"/>
              </w:rPr>
            </w:pPr>
            <w:r w:rsidRPr="00864C18">
              <w:rPr>
                <w:sz w:val="20"/>
              </w:rPr>
              <w:t>Det er i udgangspunktet positivt, at Landbrugsstyrelsen fremadrettet kun har én afgrødekode for</w:t>
            </w:r>
            <w:r w:rsidR="002D4827" w:rsidRPr="00864C18">
              <w:rPr>
                <w:sz w:val="20"/>
              </w:rPr>
              <w:t xml:space="preserve"> </w:t>
            </w:r>
            <w:r w:rsidRPr="00864C18">
              <w:rPr>
                <w:sz w:val="20"/>
              </w:rPr>
              <w:t>slåningsbrak, uanset om der udføres forårs- eller sommerslåning. Det er dog uklart, hvordan</w:t>
            </w:r>
            <w:r w:rsidR="002D4827" w:rsidRPr="00864C18">
              <w:rPr>
                <w:sz w:val="20"/>
              </w:rPr>
              <w:t xml:space="preserve"> </w:t>
            </w:r>
            <w:r w:rsidRPr="00864C18">
              <w:rPr>
                <w:sz w:val="20"/>
              </w:rPr>
              <w:t>slåning fremadrettet vil blive kontrolleret. Hvis forårsslåning fremover vil være omfattet af den</w:t>
            </w:r>
          </w:p>
          <w:p w14:paraId="7C693B9A" w14:textId="4B55DA5E" w:rsidR="00B772E9" w:rsidRPr="00864C18" w:rsidRDefault="00B772E9" w:rsidP="009F15D2">
            <w:pPr>
              <w:rPr>
                <w:sz w:val="20"/>
              </w:rPr>
            </w:pPr>
            <w:r w:rsidRPr="00864C18">
              <w:rPr>
                <w:sz w:val="20"/>
              </w:rPr>
              <w:t>satellitbaserede kontrol, er det vigtigt, at forårsslåning tydeligt kan detekteres af denne. Man bør således undgå en situation, hvor landmænd, der ønsker at anvende forårsslåning, efterfølgende vil skulle dokumentere dette via georefererede biller, hvis aktiviteten ikke er blevet detekteret i satellitkontrollen.</w:t>
            </w:r>
          </w:p>
          <w:p w14:paraId="37A7194C" w14:textId="77777777" w:rsidR="00654F84" w:rsidRPr="00864C18" w:rsidRDefault="00654F84" w:rsidP="009F15D2">
            <w:pPr>
              <w:rPr>
                <w:sz w:val="20"/>
              </w:rPr>
            </w:pPr>
          </w:p>
          <w:p w14:paraId="6C207A74" w14:textId="77777777" w:rsidR="00B772E9" w:rsidRPr="00864C18" w:rsidRDefault="00B772E9" w:rsidP="009F15D2">
            <w:pPr>
              <w:rPr>
                <w:sz w:val="20"/>
              </w:rPr>
            </w:pPr>
            <w:r w:rsidRPr="00864C18">
              <w:rPr>
                <w:sz w:val="20"/>
              </w:rPr>
              <w:t>Generelt er der rigtig mange landmænd, som ikke forstår, hvorfor det overhovedet er nødvendigt at</w:t>
            </w:r>
          </w:p>
          <w:p w14:paraId="3506A98E" w14:textId="77777777" w:rsidR="00B772E9" w:rsidRPr="00864C18" w:rsidRDefault="00B772E9" w:rsidP="009F15D2">
            <w:pPr>
              <w:rPr>
                <w:sz w:val="20"/>
              </w:rPr>
            </w:pPr>
            <w:r w:rsidRPr="00864C18">
              <w:rPr>
                <w:sz w:val="20"/>
              </w:rPr>
              <w:t>skulle gennemføre en årlig landbrugsaktivitet på brakarealerne, da landbrugsaktiviteten medfører</w:t>
            </w:r>
          </w:p>
          <w:p w14:paraId="294C6D96" w14:textId="77777777" w:rsidR="00B772E9" w:rsidRPr="00864C18" w:rsidRDefault="00B772E9" w:rsidP="009F15D2">
            <w:pPr>
              <w:rPr>
                <w:sz w:val="20"/>
              </w:rPr>
            </w:pPr>
            <w:r w:rsidRPr="00864C18">
              <w:rPr>
                <w:sz w:val="20"/>
              </w:rPr>
              <w:t>øgede omkostninger og ofte skader mere end den gavner i forhold til biodiversiteten. Det vil derfor</w:t>
            </w:r>
          </w:p>
          <w:p w14:paraId="7414CE02" w14:textId="77777777" w:rsidR="00B772E9" w:rsidRPr="00864C18" w:rsidRDefault="00B772E9" w:rsidP="009F15D2">
            <w:pPr>
              <w:rPr>
                <w:sz w:val="20"/>
              </w:rPr>
            </w:pPr>
            <w:r w:rsidRPr="00864C18">
              <w:rPr>
                <w:sz w:val="20"/>
              </w:rPr>
              <w:t>være hensigtsmæssigt, hvis mulighederne for at anvende småbiotoper uden landbrugsaktivitet</w:t>
            </w:r>
          </w:p>
          <w:p w14:paraId="5D301D9C" w14:textId="77777777" w:rsidR="00B772E9" w:rsidRPr="00864C18" w:rsidRDefault="00B772E9" w:rsidP="009F15D2">
            <w:pPr>
              <w:rPr>
                <w:sz w:val="20"/>
              </w:rPr>
            </w:pPr>
            <w:r w:rsidRPr="00864C18">
              <w:rPr>
                <w:sz w:val="20"/>
              </w:rPr>
              <w:lastRenderedPageBreak/>
              <w:t>udvides betydeligt, ved at reducere kravene til omfang m.v. Derudover bør det genovervejes, om</w:t>
            </w:r>
          </w:p>
          <w:p w14:paraId="19ECBF51" w14:textId="77777777" w:rsidR="00B772E9" w:rsidRPr="00864C18" w:rsidRDefault="00B772E9" w:rsidP="009F15D2">
            <w:pPr>
              <w:rPr>
                <w:sz w:val="20"/>
              </w:rPr>
            </w:pPr>
            <w:r w:rsidRPr="00864C18">
              <w:rPr>
                <w:sz w:val="20"/>
              </w:rPr>
              <w:t>der kan findes en administrativt enkel model for et 2-årigt aktivitetskrav på slåningsbrak.</w:t>
            </w:r>
          </w:p>
          <w:p w14:paraId="7D7E5753" w14:textId="4B679BDA" w:rsidR="00B772E9" w:rsidRPr="00864C18" w:rsidRDefault="00B772E9" w:rsidP="009F15D2">
            <w:pPr>
              <w:rPr>
                <w:sz w:val="20"/>
              </w:rPr>
            </w:pPr>
          </w:p>
        </w:tc>
        <w:tc>
          <w:tcPr>
            <w:tcW w:w="4673" w:type="dxa"/>
          </w:tcPr>
          <w:p w14:paraId="65605EC0" w14:textId="77777777" w:rsidR="009F15D2" w:rsidRPr="00864C18" w:rsidRDefault="009F15D2" w:rsidP="009F15D2">
            <w:pPr>
              <w:rPr>
                <w:i/>
                <w:sz w:val="20"/>
              </w:rPr>
            </w:pPr>
          </w:p>
          <w:p w14:paraId="5AD695DA" w14:textId="7CBD489A" w:rsidR="00654F84" w:rsidRDefault="006905F5" w:rsidP="009F15D2">
            <w:pPr>
              <w:rPr>
                <w:i/>
                <w:sz w:val="20"/>
              </w:rPr>
            </w:pPr>
            <w:r>
              <w:rPr>
                <w:i/>
                <w:sz w:val="20"/>
              </w:rPr>
              <w:t>Bemærkningerne g</w:t>
            </w:r>
            <w:r w:rsidR="00654F84" w:rsidRPr="00864C18">
              <w:rPr>
                <w:i/>
                <w:sz w:val="20"/>
              </w:rPr>
              <w:t xml:space="preserve">iver </w:t>
            </w:r>
            <w:r w:rsidR="009F15D2" w:rsidRPr="00864C18">
              <w:rPr>
                <w:i/>
                <w:sz w:val="20"/>
              </w:rPr>
              <w:t>ikke</w:t>
            </w:r>
            <w:r w:rsidR="00654F84" w:rsidRPr="00864C18">
              <w:rPr>
                <w:i/>
                <w:sz w:val="20"/>
              </w:rPr>
              <w:t xml:space="preserve"> anledning til </w:t>
            </w:r>
            <w:r w:rsidR="009F15D2" w:rsidRPr="00864C18">
              <w:rPr>
                <w:i/>
                <w:sz w:val="20"/>
              </w:rPr>
              <w:t>ændringer i bekendtgørelsen.</w:t>
            </w:r>
          </w:p>
          <w:p w14:paraId="509205D2" w14:textId="77777777" w:rsidR="006905F5" w:rsidRPr="00864C18" w:rsidRDefault="006905F5" w:rsidP="009F15D2">
            <w:pPr>
              <w:rPr>
                <w:i/>
                <w:sz w:val="20"/>
              </w:rPr>
            </w:pPr>
          </w:p>
          <w:p w14:paraId="087E867F" w14:textId="64986495" w:rsidR="004353B0" w:rsidRPr="00864C18" w:rsidRDefault="00654F84" w:rsidP="004353B0">
            <w:pPr>
              <w:rPr>
                <w:sz w:val="20"/>
              </w:rPr>
            </w:pPr>
            <w:r w:rsidRPr="00864C18">
              <w:rPr>
                <w:sz w:val="20"/>
              </w:rPr>
              <w:lastRenderedPageBreak/>
              <w:t xml:space="preserve">Bekendtgørelsen om kontrol og administrative sanktioner sætter de overordnede rammer for kontrol og administrative sanktioner. </w:t>
            </w:r>
            <w:r w:rsidR="004353B0" w:rsidRPr="00864C18">
              <w:rPr>
                <w:sz w:val="20"/>
              </w:rPr>
              <w:t xml:space="preserve"> Sanktionssystemet gælder generelt og afhænger ikke af kontrolformen.</w:t>
            </w:r>
          </w:p>
          <w:p w14:paraId="2527E093" w14:textId="57F9702C" w:rsidR="00654F84" w:rsidRPr="00864C18" w:rsidRDefault="00654F84" w:rsidP="009F15D2">
            <w:pPr>
              <w:rPr>
                <w:sz w:val="20"/>
              </w:rPr>
            </w:pPr>
            <w:r w:rsidRPr="00864C18">
              <w:rPr>
                <w:sz w:val="20"/>
              </w:rPr>
              <w:t>Hvordan de enkelte ordninger kontrolleres, fremgår af ordningsbekendtgørelsern</w:t>
            </w:r>
            <w:r w:rsidR="004353B0" w:rsidRPr="00864C18">
              <w:rPr>
                <w:sz w:val="20"/>
              </w:rPr>
              <w:t xml:space="preserve">e </w:t>
            </w:r>
            <w:r w:rsidRPr="00864C18">
              <w:rPr>
                <w:sz w:val="20"/>
              </w:rPr>
              <w:t>og de tilhørende vejledninger.</w:t>
            </w:r>
          </w:p>
          <w:p w14:paraId="3DB79690" w14:textId="77777777" w:rsidR="00355263" w:rsidRPr="00864C18" w:rsidRDefault="00355263" w:rsidP="009F15D2">
            <w:pPr>
              <w:rPr>
                <w:sz w:val="20"/>
              </w:rPr>
            </w:pPr>
          </w:p>
          <w:p w14:paraId="0630AB29" w14:textId="5FF325EB" w:rsidR="00355263" w:rsidRPr="00864C18" w:rsidRDefault="004353B0" w:rsidP="009F15D2">
            <w:pPr>
              <w:rPr>
                <w:sz w:val="20"/>
              </w:rPr>
            </w:pPr>
            <w:r w:rsidRPr="00864C18">
              <w:rPr>
                <w:sz w:val="20"/>
              </w:rPr>
              <w:t>Under satellitbaseret kontrol er det muligt at undgå sanktion</w:t>
            </w:r>
            <w:r w:rsidR="00355263" w:rsidRPr="00864C18">
              <w:rPr>
                <w:sz w:val="20"/>
              </w:rPr>
              <w:t xml:space="preserve">, hvis ansøgeren i forbindelse med en høring trækker marken ud ansøgningen eller dokumenterer, at marken er tilskudsberettiget.  </w:t>
            </w:r>
          </w:p>
          <w:p w14:paraId="14230802" w14:textId="77777777" w:rsidR="00355263" w:rsidRPr="00864C18" w:rsidRDefault="00355263" w:rsidP="009F15D2">
            <w:pPr>
              <w:rPr>
                <w:sz w:val="20"/>
              </w:rPr>
            </w:pPr>
          </w:p>
          <w:p w14:paraId="1EF6EC7A" w14:textId="77A2AD8F" w:rsidR="00355263" w:rsidRPr="00864C18" w:rsidRDefault="00355263" w:rsidP="009F15D2">
            <w:pPr>
              <w:rPr>
                <w:sz w:val="20"/>
              </w:rPr>
            </w:pPr>
            <w:r w:rsidRPr="00864C18">
              <w:rPr>
                <w:sz w:val="20"/>
              </w:rPr>
              <w:t xml:space="preserve">Landbrugsstyrelsen vil </w:t>
            </w:r>
            <w:r w:rsidR="004353B0" w:rsidRPr="00864C18">
              <w:rPr>
                <w:sz w:val="20"/>
              </w:rPr>
              <w:t>overveje</w:t>
            </w:r>
            <w:r w:rsidRPr="00864C18">
              <w:rPr>
                <w:sz w:val="20"/>
              </w:rPr>
              <w:t xml:space="preserve">, om </w:t>
            </w:r>
            <w:r w:rsidR="000C2014">
              <w:rPr>
                <w:sz w:val="20"/>
              </w:rPr>
              <w:t xml:space="preserve">et areal </w:t>
            </w:r>
            <w:r w:rsidR="00C916EB">
              <w:rPr>
                <w:sz w:val="20"/>
              </w:rPr>
              <w:t xml:space="preserve">i fremtiden </w:t>
            </w:r>
            <w:r w:rsidR="000C2014">
              <w:rPr>
                <w:sz w:val="20"/>
              </w:rPr>
              <w:t>kan blive underkendt uden sanktion,</w:t>
            </w:r>
            <w:r w:rsidRPr="00864C18">
              <w:rPr>
                <w:sz w:val="20"/>
              </w:rPr>
              <w:t xml:space="preserve"> hvis ansøgeren ikke svarer på en høring efter satellitbaseret kontrol</w:t>
            </w:r>
            <w:r w:rsidR="000C2014">
              <w:rPr>
                <w:sz w:val="20"/>
              </w:rPr>
              <w:t xml:space="preserve">. </w:t>
            </w:r>
          </w:p>
          <w:p w14:paraId="3C1541B6" w14:textId="1686A67B" w:rsidR="008A1350" w:rsidRPr="00864C18" w:rsidRDefault="008A1350" w:rsidP="009F15D2">
            <w:pPr>
              <w:rPr>
                <w:sz w:val="20"/>
              </w:rPr>
            </w:pPr>
          </w:p>
          <w:p w14:paraId="5F7CDE75" w14:textId="77777777" w:rsidR="004353B0" w:rsidRPr="00864C18" w:rsidRDefault="004353B0" w:rsidP="009F15D2">
            <w:pPr>
              <w:rPr>
                <w:sz w:val="20"/>
              </w:rPr>
            </w:pPr>
          </w:p>
          <w:p w14:paraId="366B80C1" w14:textId="77777777" w:rsidR="004353B0" w:rsidRPr="00864C18" w:rsidRDefault="004353B0" w:rsidP="009F15D2">
            <w:pPr>
              <w:rPr>
                <w:sz w:val="20"/>
              </w:rPr>
            </w:pPr>
          </w:p>
          <w:p w14:paraId="4306947C" w14:textId="77777777" w:rsidR="004353B0" w:rsidRPr="00864C18" w:rsidRDefault="004353B0" w:rsidP="009F15D2">
            <w:pPr>
              <w:rPr>
                <w:sz w:val="20"/>
              </w:rPr>
            </w:pPr>
          </w:p>
          <w:p w14:paraId="0927EB73" w14:textId="77777777" w:rsidR="004353B0" w:rsidRPr="00864C18" w:rsidRDefault="004353B0" w:rsidP="009F15D2">
            <w:pPr>
              <w:rPr>
                <w:sz w:val="20"/>
              </w:rPr>
            </w:pPr>
          </w:p>
          <w:p w14:paraId="63277237" w14:textId="77777777" w:rsidR="004353B0" w:rsidRPr="00864C18" w:rsidRDefault="004353B0" w:rsidP="009F15D2">
            <w:pPr>
              <w:rPr>
                <w:sz w:val="20"/>
              </w:rPr>
            </w:pPr>
          </w:p>
          <w:p w14:paraId="0EEA42E0" w14:textId="77777777" w:rsidR="004353B0" w:rsidRPr="00864C18" w:rsidRDefault="004353B0" w:rsidP="009F15D2">
            <w:pPr>
              <w:rPr>
                <w:sz w:val="20"/>
              </w:rPr>
            </w:pPr>
          </w:p>
          <w:p w14:paraId="4F5A5015" w14:textId="6914AF1D" w:rsidR="00B772E9" w:rsidRPr="00864C18" w:rsidRDefault="008A1350" w:rsidP="009F15D2">
            <w:pPr>
              <w:rPr>
                <w:sz w:val="20"/>
              </w:rPr>
            </w:pPr>
            <w:r w:rsidRPr="00864C18">
              <w:rPr>
                <w:sz w:val="20"/>
              </w:rPr>
              <w:t xml:space="preserve">Det er af hensyn til landbrugernes retssikkerhed, at høringerne skal finde sted, mens afgrøderne stadig er på marken. Da der er indført krav om afgrøderotation over en flerårig periode (GLM7), kan afgrødebestemmelsen få betydning for tilskuddene i de efterfølgende år. Landbrugsstyrelsen vil informere landbrugerne grundigt om vigtigheden af at indberette afgrøderne korrekt, så </w:t>
            </w:r>
            <w:r w:rsidR="00D35426">
              <w:rPr>
                <w:sz w:val="20"/>
              </w:rPr>
              <w:t xml:space="preserve">antallet af </w:t>
            </w:r>
            <w:r w:rsidRPr="00864C18">
              <w:rPr>
                <w:sz w:val="20"/>
              </w:rPr>
              <w:t xml:space="preserve">høringer </w:t>
            </w:r>
            <w:r w:rsidR="00A23BE1">
              <w:rPr>
                <w:sz w:val="20"/>
              </w:rPr>
              <w:t>reduceres</w:t>
            </w:r>
            <w:r w:rsidRPr="00864C18">
              <w:rPr>
                <w:sz w:val="20"/>
              </w:rPr>
              <w:t>.</w:t>
            </w:r>
          </w:p>
          <w:p w14:paraId="01154DD9" w14:textId="77777777" w:rsidR="004353B0" w:rsidRPr="00864C18" w:rsidRDefault="004353B0" w:rsidP="009F15D2">
            <w:pPr>
              <w:rPr>
                <w:sz w:val="20"/>
              </w:rPr>
            </w:pPr>
          </w:p>
          <w:p w14:paraId="5416349B" w14:textId="77777777" w:rsidR="006905F5" w:rsidRDefault="006905F5" w:rsidP="009F15D2">
            <w:pPr>
              <w:rPr>
                <w:sz w:val="20"/>
              </w:rPr>
            </w:pPr>
          </w:p>
          <w:p w14:paraId="0AEF7957" w14:textId="77777777" w:rsidR="006905F5" w:rsidRDefault="006905F5" w:rsidP="009F15D2">
            <w:pPr>
              <w:rPr>
                <w:sz w:val="20"/>
              </w:rPr>
            </w:pPr>
          </w:p>
          <w:p w14:paraId="1A6AD8BE" w14:textId="200EA3FF" w:rsidR="008A1350" w:rsidRPr="00864C18" w:rsidRDefault="00D75FB6" w:rsidP="009F15D2">
            <w:pPr>
              <w:rPr>
                <w:sz w:val="20"/>
              </w:rPr>
            </w:pPr>
            <w:r w:rsidRPr="00864C18">
              <w:rPr>
                <w:sz w:val="20"/>
              </w:rPr>
              <w:t>K</w:t>
            </w:r>
            <w:r w:rsidR="008A1350" w:rsidRPr="00864C18">
              <w:rPr>
                <w:sz w:val="20"/>
              </w:rPr>
              <w:t xml:space="preserve">valiteten af </w:t>
            </w:r>
            <w:r w:rsidRPr="00864C18">
              <w:rPr>
                <w:sz w:val="20"/>
              </w:rPr>
              <w:t xml:space="preserve">både </w:t>
            </w:r>
            <w:r w:rsidR="008A1350" w:rsidRPr="00864C18">
              <w:rPr>
                <w:sz w:val="20"/>
              </w:rPr>
              <w:t xml:space="preserve">den satellitbaserede kontrol </w:t>
            </w:r>
            <w:r w:rsidRPr="00864C18">
              <w:rPr>
                <w:sz w:val="20"/>
              </w:rPr>
              <w:t xml:space="preserve">og kontrollen på stedet </w:t>
            </w:r>
            <w:r w:rsidR="008A1350" w:rsidRPr="00864C18">
              <w:rPr>
                <w:sz w:val="20"/>
              </w:rPr>
              <w:t xml:space="preserve">afhænger af, at Landbrugsstyrelsen </w:t>
            </w:r>
            <w:r w:rsidRPr="00864C18">
              <w:rPr>
                <w:sz w:val="20"/>
              </w:rPr>
              <w:t xml:space="preserve">kender </w:t>
            </w:r>
            <w:r w:rsidR="00766829" w:rsidRPr="00864C18">
              <w:rPr>
                <w:sz w:val="20"/>
              </w:rPr>
              <w:t xml:space="preserve">afgrøderne på markerne. </w:t>
            </w:r>
            <w:r w:rsidR="008A1350" w:rsidRPr="00864C18">
              <w:rPr>
                <w:sz w:val="20"/>
              </w:rPr>
              <w:t>Det skal desuden være muligt efter ændringsfristen at sagsbehandle de ordninger og krav, hvor afgrøderne har betydning for tilskuddet, herunder</w:t>
            </w:r>
            <w:r w:rsidRPr="00864C18">
              <w:rPr>
                <w:sz w:val="20"/>
              </w:rPr>
              <w:t xml:space="preserve"> </w:t>
            </w:r>
            <w:r w:rsidR="00C7103D" w:rsidRPr="00864C18">
              <w:rPr>
                <w:sz w:val="20"/>
              </w:rPr>
              <w:t>såvel bioordninger som GLM-krav.</w:t>
            </w:r>
            <w:r w:rsidR="00766829" w:rsidRPr="00864C18">
              <w:rPr>
                <w:sz w:val="20"/>
              </w:rPr>
              <w:t xml:space="preserve"> Derfor er der et krav om, at de korrekte afgrødekoder skal være oplyst til Landbrugsstyrelsen senest ved ændringsfristen for fællesskemaet. </w:t>
            </w:r>
          </w:p>
          <w:p w14:paraId="5E9F2129" w14:textId="77777777" w:rsidR="008A1350" w:rsidRPr="00864C18" w:rsidRDefault="008A1350" w:rsidP="009F15D2">
            <w:pPr>
              <w:rPr>
                <w:sz w:val="20"/>
              </w:rPr>
            </w:pPr>
          </w:p>
          <w:p w14:paraId="29337FE9" w14:textId="77777777" w:rsidR="008A1350" w:rsidRPr="00864C18" w:rsidRDefault="008A1350" w:rsidP="009F15D2">
            <w:pPr>
              <w:rPr>
                <w:sz w:val="20"/>
              </w:rPr>
            </w:pPr>
          </w:p>
          <w:p w14:paraId="15F6A095" w14:textId="77777777" w:rsidR="002D4827" w:rsidRPr="00864C18" w:rsidRDefault="002D4827" w:rsidP="009F15D2">
            <w:pPr>
              <w:rPr>
                <w:sz w:val="20"/>
              </w:rPr>
            </w:pPr>
          </w:p>
          <w:p w14:paraId="5F5D17F1" w14:textId="77777777" w:rsidR="002D4827" w:rsidRPr="00864C18" w:rsidRDefault="002D4827" w:rsidP="009F15D2">
            <w:pPr>
              <w:rPr>
                <w:sz w:val="20"/>
              </w:rPr>
            </w:pPr>
          </w:p>
          <w:p w14:paraId="04D24A4C" w14:textId="77777777" w:rsidR="002D4827" w:rsidRPr="00864C18" w:rsidRDefault="002D4827" w:rsidP="009F15D2">
            <w:pPr>
              <w:rPr>
                <w:sz w:val="20"/>
              </w:rPr>
            </w:pPr>
          </w:p>
          <w:p w14:paraId="43AE2D0C" w14:textId="77777777" w:rsidR="002D4827" w:rsidRPr="00864C18" w:rsidRDefault="002D4827" w:rsidP="009F15D2">
            <w:pPr>
              <w:rPr>
                <w:sz w:val="20"/>
              </w:rPr>
            </w:pPr>
          </w:p>
          <w:p w14:paraId="2D2B75DD" w14:textId="44F68096" w:rsidR="00D831CD" w:rsidRPr="00864C18" w:rsidRDefault="00D831CD" w:rsidP="009F15D2">
            <w:pPr>
              <w:rPr>
                <w:sz w:val="20"/>
              </w:rPr>
            </w:pPr>
            <w:r w:rsidRPr="00864C18">
              <w:rPr>
                <w:sz w:val="20"/>
              </w:rPr>
              <w:t>Helt generelt kan afgørelser ikke meddeles ansøgeren</w:t>
            </w:r>
            <w:r w:rsidR="005544A8">
              <w:rPr>
                <w:sz w:val="20"/>
              </w:rPr>
              <w:t>,</w:t>
            </w:r>
            <w:r w:rsidRPr="00864C18">
              <w:rPr>
                <w:sz w:val="20"/>
              </w:rPr>
              <w:t xml:space="preserve"> før hele sagen er færdigsagsbehandlet, da flere forhold kan have betydning for fastlæggelse af afgrødekode og den endelige afgørelse. </w:t>
            </w:r>
          </w:p>
          <w:p w14:paraId="77556A96" w14:textId="36E93E03" w:rsidR="00D831CD" w:rsidRPr="00864C18" w:rsidRDefault="00D831CD" w:rsidP="009F15D2">
            <w:pPr>
              <w:rPr>
                <w:sz w:val="20"/>
              </w:rPr>
            </w:pPr>
            <w:r w:rsidRPr="00864C18">
              <w:rPr>
                <w:sz w:val="20"/>
              </w:rPr>
              <w:t>Det fremgår af høringsbrevet ved den satellitbaserede kontrol hvilken afgrødekode, der er identificeret, og at denne afgrødekode anvendes til den videre sagsbehandling</w:t>
            </w:r>
            <w:r w:rsidR="005544A8">
              <w:rPr>
                <w:sz w:val="20"/>
              </w:rPr>
              <w:t>,</w:t>
            </w:r>
            <w:r w:rsidRPr="00864C18">
              <w:rPr>
                <w:sz w:val="20"/>
              </w:rPr>
              <w:t xml:space="preserve"> såfremt ansøger ikke tilbageviser den ved sit høringssvar.</w:t>
            </w:r>
            <w:r w:rsidRPr="00864C18">
              <w:rPr>
                <w:sz w:val="20"/>
              </w:rPr>
              <w:br/>
              <w:t>Endvidere er det for nuværende ikke teknisk muligt at udstille for ansøgeren, hvilken afgrødekode sagsbehandlingen af ansøgningen tager afsæt i efter forløbet ved den satellitbaserede kontrol.</w:t>
            </w:r>
            <w:r w:rsidRPr="00864C18">
              <w:rPr>
                <w:sz w:val="20"/>
              </w:rPr>
              <w:br/>
            </w:r>
          </w:p>
          <w:p w14:paraId="22E6EB63" w14:textId="77777777" w:rsidR="00D831CD" w:rsidRPr="00864C18" w:rsidRDefault="00D831CD" w:rsidP="009F15D2">
            <w:pPr>
              <w:rPr>
                <w:sz w:val="20"/>
              </w:rPr>
            </w:pPr>
            <w:r w:rsidRPr="00864C18">
              <w:rPr>
                <w:sz w:val="20"/>
              </w:rPr>
              <w:t xml:space="preserve">Det bemærkes, at fristen for indsendelse af gødningsregnskab er 31. marts i efterfølgende kalenderår, hvor mere end 9 ud 10 fællesskemasager er afgjort og meddelt ansøgeren.    </w:t>
            </w:r>
          </w:p>
          <w:p w14:paraId="45361136" w14:textId="1C0FF143" w:rsidR="008A1350" w:rsidRPr="00864C18" w:rsidRDefault="008A1350" w:rsidP="009F15D2">
            <w:pPr>
              <w:rPr>
                <w:sz w:val="20"/>
              </w:rPr>
            </w:pPr>
          </w:p>
          <w:p w14:paraId="2AA7632B" w14:textId="77777777" w:rsidR="002D4827" w:rsidRPr="00864C18" w:rsidRDefault="002D4827" w:rsidP="009F15D2">
            <w:pPr>
              <w:rPr>
                <w:sz w:val="20"/>
              </w:rPr>
            </w:pPr>
          </w:p>
          <w:p w14:paraId="48DB37F7" w14:textId="77777777" w:rsidR="006905F5" w:rsidRDefault="006905F5" w:rsidP="009F15D2">
            <w:pPr>
              <w:rPr>
                <w:sz w:val="20"/>
              </w:rPr>
            </w:pPr>
          </w:p>
          <w:p w14:paraId="14EBDC0F" w14:textId="4BCD2DC1" w:rsidR="0052166D" w:rsidRPr="00864C18" w:rsidRDefault="00A23BE1" w:rsidP="009F15D2">
            <w:pPr>
              <w:rPr>
                <w:sz w:val="20"/>
              </w:rPr>
            </w:pPr>
            <w:r>
              <w:rPr>
                <w:sz w:val="20"/>
              </w:rPr>
              <w:t>Den satellitbaserede kontrol af arealanvendelsesmonitoreringen</w:t>
            </w:r>
            <w:r w:rsidR="0052166D" w:rsidRPr="00864C18">
              <w:rPr>
                <w:sz w:val="20"/>
              </w:rPr>
              <w:t xml:space="preserve"> undersøger, om den indberettede afgrøde er i overensstemmelse med den afgrødekategori, som er konstateret ud fra analysen af satellitdata. Det vil ikke forekomme, at vi hører på afvigelser mellem forskellige afgrødekoder inden for græskategorien. </w:t>
            </w:r>
          </w:p>
          <w:p w14:paraId="3765F81A" w14:textId="77777777" w:rsidR="0052166D" w:rsidRPr="00864C18" w:rsidRDefault="0052166D" w:rsidP="009F15D2">
            <w:pPr>
              <w:rPr>
                <w:sz w:val="20"/>
              </w:rPr>
            </w:pPr>
          </w:p>
          <w:p w14:paraId="3A62A1F7" w14:textId="77777777" w:rsidR="002D4827" w:rsidRPr="00864C18" w:rsidRDefault="002D4827" w:rsidP="009F15D2">
            <w:pPr>
              <w:rPr>
                <w:sz w:val="20"/>
              </w:rPr>
            </w:pPr>
          </w:p>
          <w:p w14:paraId="2B75180A" w14:textId="77777777" w:rsidR="002D4827" w:rsidRPr="00864C18" w:rsidRDefault="002D4827" w:rsidP="009F15D2">
            <w:pPr>
              <w:rPr>
                <w:sz w:val="20"/>
              </w:rPr>
            </w:pPr>
          </w:p>
          <w:p w14:paraId="0719C454" w14:textId="77777777" w:rsidR="002D4827" w:rsidRPr="00864C18" w:rsidRDefault="002D4827" w:rsidP="009F15D2">
            <w:pPr>
              <w:rPr>
                <w:sz w:val="20"/>
              </w:rPr>
            </w:pPr>
          </w:p>
          <w:p w14:paraId="0710A301" w14:textId="77777777" w:rsidR="002D4827" w:rsidRPr="00864C18" w:rsidRDefault="002D4827" w:rsidP="009F15D2">
            <w:pPr>
              <w:rPr>
                <w:sz w:val="20"/>
              </w:rPr>
            </w:pPr>
          </w:p>
          <w:p w14:paraId="4846F2D7" w14:textId="77777777" w:rsidR="002D4827" w:rsidRPr="00864C18" w:rsidRDefault="002D4827" w:rsidP="009F15D2">
            <w:pPr>
              <w:rPr>
                <w:sz w:val="20"/>
              </w:rPr>
            </w:pPr>
          </w:p>
          <w:p w14:paraId="59E00FC6" w14:textId="77777777" w:rsidR="002D4827" w:rsidRPr="00864C18" w:rsidRDefault="002D4827" w:rsidP="009F15D2">
            <w:pPr>
              <w:rPr>
                <w:sz w:val="20"/>
              </w:rPr>
            </w:pPr>
          </w:p>
          <w:p w14:paraId="5DEBD051" w14:textId="2CFCC4B2" w:rsidR="0052166D" w:rsidRPr="00864C18" w:rsidRDefault="0052166D" w:rsidP="009F15D2">
            <w:pPr>
              <w:rPr>
                <w:sz w:val="20"/>
              </w:rPr>
            </w:pPr>
            <w:r w:rsidRPr="00864C18">
              <w:rPr>
                <w:sz w:val="20"/>
              </w:rPr>
              <w:t xml:space="preserve">Det vil ikke være muligt for </w:t>
            </w:r>
            <w:r w:rsidR="002D4827" w:rsidRPr="00864C18">
              <w:rPr>
                <w:sz w:val="20"/>
              </w:rPr>
              <w:t>L</w:t>
            </w:r>
            <w:r w:rsidRPr="00864C18">
              <w:rPr>
                <w:sz w:val="20"/>
              </w:rPr>
              <w:t xml:space="preserve">andbrugsstyrelsen på forhånd at afgøre, om en afgrøde kan dokumenteres med georefererede billeder. Hvis et billede ikke tilfører yderligere information og værdi, afgør vi sagen ud fra ansøgerens bemærkninger og den dokumentation, </w:t>
            </w:r>
            <w:r w:rsidR="000D7126">
              <w:rPr>
                <w:sz w:val="20"/>
              </w:rPr>
              <w:t>der foreligger</w:t>
            </w:r>
            <w:r w:rsidRPr="00864C18">
              <w:rPr>
                <w:sz w:val="20"/>
              </w:rPr>
              <w:t xml:space="preserve">. </w:t>
            </w:r>
          </w:p>
          <w:p w14:paraId="2ED4025C" w14:textId="77777777" w:rsidR="0052166D" w:rsidRPr="00864C18" w:rsidRDefault="0052166D" w:rsidP="009F15D2">
            <w:pPr>
              <w:rPr>
                <w:sz w:val="20"/>
              </w:rPr>
            </w:pPr>
            <w:r w:rsidRPr="00864C18">
              <w:rPr>
                <w:sz w:val="20"/>
              </w:rPr>
              <w:lastRenderedPageBreak/>
              <w:t xml:space="preserve">Det vil ikke kunne undgås, at analyserne af satellitbilleder i enkelte tilfælde kan give forkerte resultater på grund af særlige forhold. Vi arbejder løbende på at forbedre analyserne således, at sådanne fejl begrænses til et minimum. Det er af hensyn til ansøgernes retssikkerhed, at ansøgerne skal høres om potentielle uregelmæssigheder, før der træffes afgørelse. Det sikrer, at ansøgerne ikke får de udfordringer, som Landbrug &amp; Fødevarer peger på. </w:t>
            </w:r>
          </w:p>
          <w:p w14:paraId="7E945F44" w14:textId="77777777" w:rsidR="008A1350" w:rsidRPr="00864C18" w:rsidRDefault="008A1350" w:rsidP="009F15D2">
            <w:pPr>
              <w:rPr>
                <w:sz w:val="20"/>
              </w:rPr>
            </w:pPr>
          </w:p>
          <w:p w14:paraId="605B0165" w14:textId="77777777" w:rsidR="0052166D" w:rsidRPr="00864C18" w:rsidRDefault="0052166D" w:rsidP="009F15D2">
            <w:pPr>
              <w:rPr>
                <w:sz w:val="20"/>
              </w:rPr>
            </w:pPr>
            <w:r w:rsidRPr="00864C18">
              <w:rPr>
                <w:sz w:val="20"/>
              </w:rPr>
              <w:t xml:space="preserve">Landbrugsstyrelsen informerer om, hvordan ansøgerne skal forholde sig i tilfælde af tekniske problemer med appen under driftsstatus og i nyheder på hjemmesiden. Det forekommer ikke hensigtsmæssigt at beskrive dette på forhånd i en vejledning, eftersom de informationer og den vejledning, som ansøgerne har brug for, afhænger af, hvad fejlen skyldes i den konkrete situation. </w:t>
            </w:r>
          </w:p>
          <w:p w14:paraId="395E927C" w14:textId="1961198F" w:rsidR="008A1350" w:rsidRDefault="008A1350" w:rsidP="009F15D2">
            <w:pPr>
              <w:rPr>
                <w:sz w:val="20"/>
              </w:rPr>
            </w:pPr>
          </w:p>
          <w:p w14:paraId="3D1E51A0" w14:textId="6B833FB4" w:rsidR="00A23BE1" w:rsidRPr="00864C18" w:rsidRDefault="00A23BE1" w:rsidP="009F15D2">
            <w:pPr>
              <w:rPr>
                <w:sz w:val="20"/>
              </w:rPr>
            </w:pPr>
            <w:r>
              <w:rPr>
                <w:sz w:val="20"/>
              </w:rPr>
              <w:t>Fejlmeldinger af Landbrugsstyrelsens app følger somme procedure som fejlmeldinger af styrelsens øvrige IT-systemer.</w:t>
            </w:r>
          </w:p>
          <w:p w14:paraId="670D3B45" w14:textId="77777777" w:rsidR="008A1350" w:rsidRPr="00864C18" w:rsidRDefault="008A1350" w:rsidP="009F15D2">
            <w:pPr>
              <w:rPr>
                <w:sz w:val="20"/>
              </w:rPr>
            </w:pPr>
          </w:p>
          <w:p w14:paraId="00B00C2F" w14:textId="78129EB4" w:rsidR="0052166D" w:rsidRPr="00864C18" w:rsidRDefault="0052166D" w:rsidP="009F15D2">
            <w:pPr>
              <w:rPr>
                <w:sz w:val="20"/>
              </w:rPr>
            </w:pPr>
            <w:r w:rsidRPr="00864C18">
              <w:rPr>
                <w:sz w:val="20"/>
              </w:rPr>
              <w:t xml:space="preserve">Forårsslåning kontrolleres med satellitbaseret kontrol. Det er kun i de situationer, hvor der er en høj sikkerhed for, at en mark ikke er slået, at der skal sendes dokumentation via appen.  I disse situationer bliver ansøgernes retssikkerhed tilgodeset, idet de får mulighed for at sende dokumentation og bemærkninger ind, inden der træffes afgørelse. </w:t>
            </w:r>
          </w:p>
          <w:p w14:paraId="0C5B06AB" w14:textId="77777777" w:rsidR="008A1350" w:rsidRPr="00864C18" w:rsidRDefault="008A1350" w:rsidP="009F15D2">
            <w:pPr>
              <w:rPr>
                <w:sz w:val="20"/>
              </w:rPr>
            </w:pPr>
          </w:p>
          <w:p w14:paraId="09BD76F5" w14:textId="77777777" w:rsidR="008A1350" w:rsidRPr="00864C18" w:rsidRDefault="008A1350" w:rsidP="009F15D2">
            <w:pPr>
              <w:rPr>
                <w:sz w:val="20"/>
              </w:rPr>
            </w:pPr>
          </w:p>
          <w:p w14:paraId="5F4A23E6" w14:textId="77777777" w:rsidR="008A1350" w:rsidRPr="00864C18" w:rsidRDefault="008A1350" w:rsidP="009F15D2">
            <w:pPr>
              <w:rPr>
                <w:sz w:val="20"/>
              </w:rPr>
            </w:pPr>
          </w:p>
          <w:p w14:paraId="4EBBB1FA" w14:textId="11A7B5DD" w:rsidR="00513B56" w:rsidRPr="00864C18" w:rsidRDefault="00513B56" w:rsidP="009F15D2">
            <w:pPr>
              <w:rPr>
                <w:sz w:val="20"/>
              </w:rPr>
            </w:pPr>
          </w:p>
          <w:p w14:paraId="69F8A44B" w14:textId="02C3B641" w:rsidR="00513B56" w:rsidRPr="00864C18" w:rsidRDefault="00513B56" w:rsidP="009F15D2">
            <w:pPr>
              <w:rPr>
                <w:sz w:val="20"/>
              </w:rPr>
            </w:pPr>
          </w:p>
          <w:p w14:paraId="29338965" w14:textId="392AC0DC" w:rsidR="00513B56" w:rsidRPr="00864C18" w:rsidRDefault="00513B56" w:rsidP="009F15D2">
            <w:pPr>
              <w:rPr>
                <w:sz w:val="20"/>
              </w:rPr>
            </w:pPr>
          </w:p>
          <w:p w14:paraId="42B8D66A" w14:textId="77777777" w:rsidR="00654F84" w:rsidRPr="00864C18" w:rsidRDefault="00654F84" w:rsidP="009F15D2">
            <w:pPr>
              <w:rPr>
                <w:i/>
                <w:sz w:val="20"/>
              </w:rPr>
            </w:pPr>
          </w:p>
          <w:p w14:paraId="3C4E3178" w14:textId="77777777" w:rsidR="00654F84" w:rsidRPr="00864C18" w:rsidRDefault="00654F84" w:rsidP="009F15D2">
            <w:pPr>
              <w:rPr>
                <w:i/>
                <w:sz w:val="20"/>
              </w:rPr>
            </w:pPr>
          </w:p>
          <w:p w14:paraId="35DA86AF" w14:textId="77777777" w:rsidR="003A2071" w:rsidRDefault="003A2071" w:rsidP="009F15D2">
            <w:pPr>
              <w:rPr>
                <w:sz w:val="20"/>
              </w:rPr>
            </w:pPr>
          </w:p>
          <w:p w14:paraId="15D272A1" w14:textId="4FC0E33D" w:rsidR="00654F84" w:rsidRPr="00864C18" w:rsidRDefault="00654F84" w:rsidP="009F15D2">
            <w:pPr>
              <w:rPr>
                <w:sz w:val="20"/>
              </w:rPr>
            </w:pPr>
            <w:r w:rsidRPr="00864C18">
              <w:rPr>
                <w:sz w:val="20"/>
              </w:rPr>
              <w:t>Landbrugsstyrelsen noterer sig, at Landbrug &amp; Fødevarer er positive overfor ændringen vedr. én afgrødekode for slåningsbrak.</w:t>
            </w:r>
          </w:p>
          <w:p w14:paraId="45845591" w14:textId="77777777" w:rsidR="00654F84" w:rsidRPr="00864C18" w:rsidRDefault="00654F84" w:rsidP="009F15D2">
            <w:pPr>
              <w:rPr>
                <w:sz w:val="20"/>
              </w:rPr>
            </w:pPr>
          </w:p>
          <w:p w14:paraId="5F0F6DDD" w14:textId="00D375AB" w:rsidR="00513B56" w:rsidRPr="00864C18" w:rsidRDefault="00654F84" w:rsidP="009F15D2">
            <w:pPr>
              <w:rPr>
                <w:sz w:val="20"/>
              </w:rPr>
            </w:pPr>
            <w:r w:rsidRPr="00864C18">
              <w:rPr>
                <w:sz w:val="20"/>
              </w:rPr>
              <w:t xml:space="preserve">Krav om slåning af brakarealer er fastsat i overensstemmelse med EU-reglerne, hvor der skal ske en årlig landbrugsaktivitet for at sikre, at der ikke sker opvækst af træer og buske, så arealerne let kan indgå i driften igen.  Hvis der skal gælde et </w:t>
            </w:r>
            <w:proofErr w:type="spellStart"/>
            <w:r w:rsidRPr="00864C18">
              <w:rPr>
                <w:sz w:val="20"/>
              </w:rPr>
              <w:lastRenderedPageBreak/>
              <w:t>to-årigt</w:t>
            </w:r>
            <w:proofErr w:type="spellEnd"/>
            <w:r w:rsidRPr="00864C18">
              <w:rPr>
                <w:sz w:val="20"/>
              </w:rPr>
              <w:t xml:space="preserve"> aktivitetskrav, vil det kunne medføre en større population, der skal udtages til en fysisk arealkontrol end tilfældet er i dag, da der vil være en større usikkerhed forbundet for en effektiv kontrol af slåningskravet via monitorering hvorvidt et brakareal er afslået indenfor en 2-årig aktivitetsperiode.</w:t>
            </w:r>
          </w:p>
          <w:p w14:paraId="62E77ACA" w14:textId="71DE0611" w:rsidR="00513B56" w:rsidRPr="00864C18" w:rsidRDefault="00513B56" w:rsidP="009F15D2">
            <w:pPr>
              <w:rPr>
                <w:sz w:val="20"/>
              </w:rPr>
            </w:pPr>
          </w:p>
        </w:tc>
      </w:tr>
      <w:tr w:rsidR="00B772E9" w:rsidRPr="00864C18" w14:paraId="6612EA14" w14:textId="77777777" w:rsidTr="00595821">
        <w:tc>
          <w:tcPr>
            <w:tcW w:w="4672" w:type="dxa"/>
          </w:tcPr>
          <w:p w14:paraId="1A61B726" w14:textId="77777777" w:rsidR="00B772E9" w:rsidRPr="00864C18" w:rsidRDefault="00B772E9" w:rsidP="009F15D2">
            <w:pPr>
              <w:rPr>
                <w:b/>
                <w:sz w:val="20"/>
              </w:rPr>
            </w:pPr>
            <w:r w:rsidRPr="00864C18">
              <w:rPr>
                <w:b/>
                <w:sz w:val="20"/>
              </w:rPr>
              <w:lastRenderedPageBreak/>
              <w:t>1.3</w:t>
            </w:r>
          </w:p>
          <w:p w14:paraId="280FEF84" w14:textId="24065ECF" w:rsidR="00B772E9" w:rsidRPr="00864C18" w:rsidRDefault="00B772E9" w:rsidP="009F15D2">
            <w:pPr>
              <w:rPr>
                <w:b/>
                <w:sz w:val="20"/>
              </w:rPr>
            </w:pPr>
            <w:r w:rsidRPr="00864C18">
              <w:rPr>
                <w:b/>
                <w:sz w:val="20"/>
              </w:rPr>
              <w:t>§</w:t>
            </w:r>
            <w:r w:rsidR="00A14476" w:rsidRPr="00864C18">
              <w:rPr>
                <w:b/>
                <w:sz w:val="20"/>
              </w:rPr>
              <w:t xml:space="preserve"> </w:t>
            </w:r>
            <w:r w:rsidRPr="00864C18">
              <w:rPr>
                <w:b/>
                <w:sz w:val="20"/>
              </w:rPr>
              <w:t>3, stk. 4 – vedr. krav til billeddokumentation</w:t>
            </w:r>
          </w:p>
          <w:p w14:paraId="4176D88E" w14:textId="560ABC49" w:rsidR="00B772E9" w:rsidRPr="00864C18" w:rsidRDefault="00B772E9" w:rsidP="009F15D2">
            <w:pPr>
              <w:rPr>
                <w:sz w:val="20"/>
              </w:rPr>
            </w:pPr>
            <w:r w:rsidRPr="00864C18">
              <w:rPr>
                <w:sz w:val="20"/>
              </w:rPr>
              <w:t>Det står fortsat ikke klart for Landbrug &amp; Fødevarer, hvordan Landbrugsstyrelsen kan undlade at</w:t>
            </w:r>
            <w:r w:rsidR="00A14476" w:rsidRPr="00864C18">
              <w:rPr>
                <w:sz w:val="20"/>
              </w:rPr>
              <w:t xml:space="preserve"> </w:t>
            </w:r>
            <w:r w:rsidRPr="00864C18">
              <w:rPr>
                <w:sz w:val="20"/>
              </w:rPr>
              <w:t>nuancere bestemmelserne vedrørende anvendelse af styrelsens app i lyset af en afgørelse fra</w:t>
            </w:r>
            <w:r w:rsidR="00A14476" w:rsidRPr="00864C18">
              <w:rPr>
                <w:sz w:val="20"/>
              </w:rPr>
              <w:t xml:space="preserve"> </w:t>
            </w:r>
            <w:r w:rsidRPr="00864C18">
              <w:rPr>
                <w:sz w:val="20"/>
              </w:rPr>
              <w:t>Miljø- og Fødevareklagenævnet (22/07759), hvor det er Landbrug &amp; Fødevarers opfattelse, at det</w:t>
            </w:r>
            <w:r w:rsidR="006905F5">
              <w:rPr>
                <w:sz w:val="20"/>
              </w:rPr>
              <w:t xml:space="preserve"> </w:t>
            </w:r>
            <w:r w:rsidRPr="00864C18">
              <w:rPr>
                <w:sz w:val="20"/>
              </w:rPr>
              <w:t>blev slået fast, at Landbrugsstyrelsen i sager om aktivitetskravsopfyldelse, ikke kan afvise eller</w:t>
            </w:r>
            <w:r w:rsidR="00A14476" w:rsidRPr="00864C18">
              <w:rPr>
                <w:sz w:val="20"/>
              </w:rPr>
              <w:t xml:space="preserve"> </w:t>
            </w:r>
            <w:r w:rsidRPr="00864C18">
              <w:rPr>
                <w:sz w:val="20"/>
              </w:rPr>
              <w:t>undlade at lægge vægt på anden form for relevant dokumentation ved blot at henvise til, at</w:t>
            </w:r>
            <w:r w:rsidR="00A14476" w:rsidRPr="00864C18">
              <w:rPr>
                <w:sz w:val="20"/>
              </w:rPr>
              <w:t xml:space="preserve"> </w:t>
            </w:r>
            <w:r w:rsidRPr="00864C18">
              <w:rPr>
                <w:sz w:val="20"/>
              </w:rPr>
              <w:t>billedmaterialet ikke er indsendt digitalt som foreskrevet af styrelsen indenfor</w:t>
            </w:r>
            <w:r w:rsidR="006905F5">
              <w:rPr>
                <w:sz w:val="20"/>
              </w:rPr>
              <w:t xml:space="preserve"> </w:t>
            </w:r>
            <w:r w:rsidRPr="00864C18">
              <w:rPr>
                <w:sz w:val="20"/>
              </w:rPr>
              <w:t>høringsperioden og ved brug af styrelsens app.</w:t>
            </w:r>
          </w:p>
          <w:p w14:paraId="665DE941" w14:textId="6EA89225" w:rsidR="00B772E9" w:rsidRPr="00864C18" w:rsidRDefault="00B772E9" w:rsidP="009F15D2">
            <w:pPr>
              <w:rPr>
                <w:sz w:val="20"/>
              </w:rPr>
            </w:pPr>
            <w:r w:rsidRPr="00864C18">
              <w:rPr>
                <w:sz w:val="20"/>
              </w:rPr>
              <w:t>Landbrug &amp; Fødevarer kan anerkende, at digital indsendelse af billeddokumentation ved</w:t>
            </w:r>
            <w:r w:rsidR="00A14476" w:rsidRPr="00864C18">
              <w:rPr>
                <w:sz w:val="20"/>
              </w:rPr>
              <w:t xml:space="preserve"> </w:t>
            </w:r>
            <w:r w:rsidRPr="00864C18">
              <w:rPr>
                <w:sz w:val="20"/>
              </w:rPr>
              <w:t>brug af appen fortsat er opfordringen, men det er for os nødvendigt at nuancere dette</w:t>
            </w:r>
            <w:r w:rsidR="00A14476" w:rsidRPr="00864C18">
              <w:rPr>
                <w:sz w:val="20"/>
              </w:rPr>
              <w:t xml:space="preserve"> </w:t>
            </w:r>
            <w:r w:rsidRPr="00864C18">
              <w:rPr>
                <w:sz w:val="20"/>
              </w:rPr>
              <w:t>udgangspunkt i tråd med ovennævnte afgørelse om monitoreringskontrol fra Miljø- og</w:t>
            </w:r>
            <w:r w:rsidR="00A14476" w:rsidRPr="00864C18">
              <w:rPr>
                <w:sz w:val="20"/>
              </w:rPr>
              <w:t xml:space="preserve"> </w:t>
            </w:r>
            <w:r w:rsidRPr="00864C18">
              <w:rPr>
                <w:sz w:val="20"/>
              </w:rPr>
              <w:t>Fødevareklagenævnet. Således er retsstillingen efter vores opfattelse som følger:</w:t>
            </w:r>
          </w:p>
          <w:p w14:paraId="53FB8DED" w14:textId="77777777" w:rsidR="003C5F8D" w:rsidRPr="00864C18" w:rsidRDefault="003C5F8D" w:rsidP="009F15D2">
            <w:pPr>
              <w:rPr>
                <w:sz w:val="20"/>
              </w:rPr>
            </w:pPr>
          </w:p>
          <w:p w14:paraId="3BCA43CC" w14:textId="77777777" w:rsidR="00B772E9" w:rsidRPr="00864C18" w:rsidRDefault="00B772E9" w:rsidP="009F15D2">
            <w:pPr>
              <w:rPr>
                <w:sz w:val="20"/>
              </w:rPr>
            </w:pPr>
            <w:r w:rsidRPr="00864C18">
              <w:rPr>
                <w:sz w:val="20"/>
              </w:rPr>
              <w:t>• En landbruger, der ikke når indsendelse via appen inden for tidsfristen, eller blot</w:t>
            </w:r>
          </w:p>
          <w:p w14:paraId="5997B323" w14:textId="77777777" w:rsidR="00B772E9" w:rsidRPr="00864C18" w:rsidRDefault="00B772E9" w:rsidP="009F15D2">
            <w:pPr>
              <w:rPr>
                <w:sz w:val="20"/>
              </w:rPr>
            </w:pPr>
            <w:r w:rsidRPr="00864C18">
              <w:rPr>
                <w:sz w:val="20"/>
              </w:rPr>
              <w:t>ønsker at supplere allerede indsendt materiale, skal have mulighed for at indsende</w:t>
            </w:r>
          </w:p>
          <w:p w14:paraId="2BC0313D" w14:textId="77777777" w:rsidR="00B772E9" w:rsidRPr="00864C18" w:rsidRDefault="00B772E9" w:rsidP="009F15D2">
            <w:pPr>
              <w:rPr>
                <w:sz w:val="20"/>
              </w:rPr>
            </w:pPr>
            <w:r w:rsidRPr="00864C18">
              <w:rPr>
                <w:sz w:val="20"/>
              </w:rPr>
              <w:t>andre relevante fotos, luftfotos og kort. Det faktum, at høringsfristen, angivet af</w:t>
            </w:r>
          </w:p>
          <w:p w14:paraId="00D4C791" w14:textId="2311BBFE" w:rsidR="00B772E9" w:rsidRPr="00864C18" w:rsidRDefault="00B772E9" w:rsidP="009F15D2">
            <w:pPr>
              <w:rPr>
                <w:sz w:val="20"/>
              </w:rPr>
            </w:pPr>
            <w:r w:rsidRPr="00864C18">
              <w:rPr>
                <w:sz w:val="20"/>
              </w:rPr>
              <w:t>Landbrugsstyrelsen, er overskredet, kan ikke i sig selv afskære landbruger fra at søge kravets</w:t>
            </w:r>
            <w:r w:rsidR="00A14476" w:rsidRPr="00864C18">
              <w:rPr>
                <w:sz w:val="20"/>
              </w:rPr>
              <w:t xml:space="preserve"> </w:t>
            </w:r>
            <w:r w:rsidRPr="00864C18">
              <w:rPr>
                <w:sz w:val="20"/>
              </w:rPr>
              <w:t>opfyldelse dokumenteret efterfølgende.</w:t>
            </w:r>
          </w:p>
          <w:p w14:paraId="342F2D00" w14:textId="1448792B" w:rsidR="00B772E9" w:rsidRPr="00864C18" w:rsidRDefault="00B772E9" w:rsidP="009F15D2">
            <w:pPr>
              <w:rPr>
                <w:sz w:val="20"/>
              </w:rPr>
            </w:pPr>
            <w:r w:rsidRPr="00864C18">
              <w:rPr>
                <w:sz w:val="20"/>
              </w:rPr>
              <w:t>Landbrug &amp; Fødevarer har overfor Landbrugsstyrelsen gennem flere år stået fast på, at der skal</w:t>
            </w:r>
            <w:r w:rsidR="00A14476" w:rsidRPr="00864C18">
              <w:rPr>
                <w:sz w:val="20"/>
              </w:rPr>
              <w:t xml:space="preserve"> </w:t>
            </w:r>
            <w:r w:rsidRPr="00864C18">
              <w:rPr>
                <w:sz w:val="20"/>
              </w:rPr>
              <w:t>være tilstrækkeligt fleksible indsigelsesmuligheder i forbindelse med monitoreringskontrollen, hvis</w:t>
            </w:r>
            <w:r w:rsidR="00A14476" w:rsidRPr="00864C18">
              <w:rPr>
                <w:sz w:val="20"/>
              </w:rPr>
              <w:t xml:space="preserve"> </w:t>
            </w:r>
            <w:r w:rsidRPr="00864C18">
              <w:rPr>
                <w:sz w:val="20"/>
              </w:rPr>
              <w:t>man som støttemodtager er uenig. De fagprofessionelle skøn, helhedssyn og fornuftsbetragtninger</w:t>
            </w:r>
          </w:p>
          <w:p w14:paraId="2BB4D472" w14:textId="1E9710AC" w:rsidR="00B772E9" w:rsidRPr="00864C18" w:rsidRDefault="00B772E9" w:rsidP="009F15D2">
            <w:pPr>
              <w:rPr>
                <w:sz w:val="20"/>
              </w:rPr>
            </w:pPr>
            <w:r w:rsidRPr="00864C18">
              <w:rPr>
                <w:sz w:val="20"/>
              </w:rPr>
              <w:lastRenderedPageBreak/>
              <w:t>går tabt i den satellitbaserede kontrol, og det er derfor ekstra vigtigt, at Landbrugsstyrelsen enten</w:t>
            </w:r>
            <w:r w:rsidR="00A14476" w:rsidRPr="00864C18">
              <w:rPr>
                <w:sz w:val="20"/>
              </w:rPr>
              <w:t xml:space="preserve"> </w:t>
            </w:r>
            <w:r w:rsidRPr="00864C18">
              <w:rPr>
                <w:sz w:val="20"/>
              </w:rPr>
              <w:t>følger op med et fysisk kontrolbesøg eller i hvert fald får inddraget alt, hvad der i de enkelte</w:t>
            </w:r>
            <w:r w:rsidR="00A14476" w:rsidRPr="00864C18">
              <w:rPr>
                <w:sz w:val="20"/>
              </w:rPr>
              <w:t xml:space="preserve"> </w:t>
            </w:r>
            <w:r w:rsidRPr="00864C18">
              <w:rPr>
                <w:sz w:val="20"/>
              </w:rPr>
              <w:t>atypiske sager måtte være af modtaget og tilgængelig relevant information.</w:t>
            </w:r>
          </w:p>
          <w:p w14:paraId="392C5BB1" w14:textId="07F78FAA" w:rsidR="00B772E9" w:rsidRPr="00864C18" w:rsidRDefault="00B772E9" w:rsidP="009F15D2">
            <w:pPr>
              <w:rPr>
                <w:sz w:val="20"/>
              </w:rPr>
            </w:pPr>
            <w:r w:rsidRPr="00864C18">
              <w:rPr>
                <w:sz w:val="20"/>
              </w:rPr>
              <w:t>Det er Landbrugsstyrelsens ansvar, at sagen er oplyst tilstrækkeligt til, at der kan træffes en korrekt</w:t>
            </w:r>
            <w:r w:rsidR="00A14476" w:rsidRPr="00864C18">
              <w:rPr>
                <w:sz w:val="20"/>
              </w:rPr>
              <w:t xml:space="preserve"> </w:t>
            </w:r>
            <w:r w:rsidRPr="00864C18">
              <w:rPr>
                <w:sz w:val="20"/>
              </w:rPr>
              <w:t>afgørelse i overensstemmelse med officialprincippet og Miljø- og Fødevareklagenævnet har i</w:t>
            </w:r>
            <w:r w:rsidR="00A14476" w:rsidRPr="00864C18">
              <w:rPr>
                <w:sz w:val="20"/>
              </w:rPr>
              <w:t xml:space="preserve"> </w:t>
            </w:r>
            <w:r w:rsidRPr="00864C18">
              <w:rPr>
                <w:sz w:val="20"/>
              </w:rPr>
              <w:t>ovennævnte sag bekræftet, at Landbrugsstyrelsen ikke kan begrænse landbrugeres bevisførelse til</w:t>
            </w:r>
          </w:p>
          <w:p w14:paraId="6C240EA2" w14:textId="77777777" w:rsidR="00B772E9" w:rsidRPr="00864C18" w:rsidRDefault="00B772E9" w:rsidP="009F15D2">
            <w:pPr>
              <w:rPr>
                <w:sz w:val="20"/>
              </w:rPr>
            </w:pPr>
            <w:r w:rsidRPr="00864C18">
              <w:rPr>
                <w:sz w:val="20"/>
              </w:rPr>
              <w:t>alene at kunne anvende Landbrugsstyrelsens app.</w:t>
            </w:r>
          </w:p>
          <w:p w14:paraId="66499521" w14:textId="1E743BBA" w:rsidR="00A14476" w:rsidRPr="00864C18" w:rsidRDefault="00A14476" w:rsidP="009F15D2">
            <w:pPr>
              <w:rPr>
                <w:sz w:val="20"/>
              </w:rPr>
            </w:pPr>
          </w:p>
        </w:tc>
        <w:tc>
          <w:tcPr>
            <w:tcW w:w="4673" w:type="dxa"/>
          </w:tcPr>
          <w:p w14:paraId="2FEB045B" w14:textId="79B18142" w:rsidR="008A1350" w:rsidRPr="00864C18" w:rsidRDefault="008A1350" w:rsidP="009F15D2">
            <w:pPr>
              <w:rPr>
                <w:i/>
                <w:sz w:val="20"/>
                <w:u w:val="single"/>
              </w:rPr>
            </w:pPr>
          </w:p>
          <w:p w14:paraId="1CFEDB58" w14:textId="77777777" w:rsidR="006905F5" w:rsidRDefault="006905F5" w:rsidP="006905F5">
            <w:pPr>
              <w:rPr>
                <w:i/>
                <w:sz w:val="20"/>
              </w:rPr>
            </w:pPr>
            <w:r>
              <w:rPr>
                <w:i/>
                <w:sz w:val="20"/>
              </w:rPr>
              <w:t>Bemærkningerne g</w:t>
            </w:r>
            <w:r w:rsidRPr="00864C18">
              <w:rPr>
                <w:i/>
                <w:sz w:val="20"/>
              </w:rPr>
              <w:t>iver ikke anledning til ændringer i bekendtgørelsen.</w:t>
            </w:r>
          </w:p>
          <w:p w14:paraId="532B307D" w14:textId="77777777" w:rsidR="008A1350" w:rsidRPr="00864C18" w:rsidRDefault="008A1350" w:rsidP="009F15D2">
            <w:pPr>
              <w:rPr>
                <w:sz w:val="20"/>
              </w:rPr>
            </w:pPr>
          </w:p>
          <w:p w14:paraId="3AF0089F" w14:textId="77777777" w:rsidR="008A1350" w:rsidRPr="00864C18" w:rsidRDefault="008A1350" w:rsidP="009F15D2">
            <w:pPr>
              <w:rPr>
                <w:sz w:val="20"/>
              </w:rPr>
            </w:pPr>
            <w:r w:rsidRPr="00864C18">
              <w:rPr>
                <w:sz w:val="20"/>
              </w:rPr>
              <w:t xml:space="preserve">Landbrugsstyrelsen er opmærksom på Miljø- og Fødevareklagenævnets afgørelse i sag 22/07759. Styrelsen gør opmærksom på, at det retsgrundlag, der lå til grund for afgørelsen, ikke finder anvendelse for den nye CAP-periode. </w:t>
            </w:r>
          </w:p>
          <w:p w14:paraId="2587941B" w14:textId="77777777" w:rsidR="008A1350" w:rsidRPr="00864C18" w:rsidRDefault="008A1350" w:rsidP="009F15D2">
            <w:pPr>
              <w:rPr>
                <w:sz w:val="20"/>
              </w:rPr>
            </w:pPr>
          </w:p>
          <w:p w14:paraId="5D498934" w14:textId="77777777" w:rsidR="008A1350" w:rsidRPr="00864C18" w:rsidRDefault="008A1350" w:rsidP="009F15D2">
            <w:pPr>
              <w:rPr>
                <w:sz w:val="20"/>
              </w:rPr>
            </w:pPr>
            <w:r w:rsidRPr="00864C18">
              <w:rPr>
                <w:sz w:val="20"/>
              </w:rPr>
              <w:t>Bestemmelsen i § 19 i lov nr. 1590 af 28/12/2022 om administration af den fælles landbrugspolitik m.v. udgør hjemmel for fastlæggelse af obligatorisk anvendelse af Landbrugsstyrelsens app ved afgivelse af høringssvar i forbindelse med satellitbaseret kontrol. Dette er konkret udmøntet i §§ 3 og 24 i bekendtgørelse om kontrol og administrative sanktioner for visse tilskudsordninger under Den Europæiske Unions fælles landbrugspolitik.</w:t>
            </w:r>
          </w:p>
          <w:p w14:paraId="69216EF9" w14:textId="77777777" w:rsidR="008A1350" w:rsidRPr="00864C18" w:rsidRDefault="008A1350" w:rsidP="009F15D2">
            <w:pPr>
              <w:rPr>
                <w:sz w:val="20"/>
              </w:rPr>
            </w:pPr>
          </w:p>
          <w:p w14:paraId="42AB338E" w14:textId="7D5F4883" w:rsidR="008A1350" w:rsidRPr="00864C18" w:rsidRDefault="008A1350" w:rsidP="009F15D2">
            <w:pPr>
              <w:rPr>
                <w:sz w:val="20"/>
              </w:rPr>
            </w:pPr>
            <w:r w:rsidRPr="00864C18">
              <w:rPr>
                <w:sz w:val="20"/>
              </w:rPr>
              <w:t xml:space="preserve">Landbrugsstyrelsen har således tilvejebragt det fornødne retsgrundlag for anvendelse af appen. Det bliver i henhold til § 24 obligatorisk for ansøger at indsende billeddokumentation med appen ved satellitbaseret kontrol, hvorimod supplerede materiale kan indsendes via Tast Selv. Bestemmelsen i § 24, stk. 2, angiver, at ansøgers indsendelse af </w:t>
            </w:r>
            <w:r w:rsidRPr="00864C18">
              <w:rPr>
                <w:sz w:val="20"/>
                <w:u w:val="single"/>
              </w:rPr>
              <w:t>billeddokumentation</w:t>
            </w:r>
            <w:r w:rsidRPr="00864C18">
              <w:rPr>
                <w:sz w:val="20"/>
              </w:rPr>
              <w:t xml:space="preserve"> alene kan ske ved indsendelse af georefererede fotos, der dokumenterer et areals tilskudsberettigelse. Hermed gives ansøger den største sikkerhed for, at billederne er af en kvalitet, der bevisligt kan fastlægge tid, sted og retning for billederne, og dermed lægges til grund for Landbrugsstyrelsens afgørelse.</w:t>
            </w:r>
          </w:p>
          <w:p w14:paraId="3CE5940C" w14:textId="77777777" w:rsidR="008A1350" w:rsidRPr="00864C18" w:rsidRDefault="008A1350" w:rsidP="009F15D2">
            <w:pPr>
              <w:rPr>
                <w:sz w:val="20"/>
              </w:rPr>
            </w:pPr>
          </w:p>
          <w:p w14:paraId="5A691C32" w14:textId="5300C132" w:rsidR="00B772E9" w:rsidRPr="00864C18" w:rsidRDefault="008A1350" w:rsidP="009F15D2">
            <w:pPr>
              <w:rPr>
                <w:sz w:val="20"/>
              </w:rPr>
            </w:pPr>
            <w:r w:rsidRPr="00864C18">
              <w:rPr>
                <w:sz w:val="20"/>
              </w:rPr>
              <w:t xml:space="preserve">Indsender ansøger alene billeder taget på anden vis eller øvrigt materiale, vil dette efter omstændighederne indgå i sagens oplysning i overensstemmelse </w:t>
            </w:r>
            <w:r w:rsidRPr="00864C18">
              <w:rPr>
                <w:rStyle w:val="ParadigmeKommentar"/>
                <w:color w:val="auto"/>
              </w:rPr>
              <w:t xml:space="preserve">med det forvaltningsretlige officialprincip. Landbrugsstyrelsens afgørelse </w:t>
            </w:r>
            <w:r w:rsidRPr="00864C18">
              <w:rPr>
                <w:rStyle w:val="ParadigmeKommentar"/>
                <w:color w:val="auto"/>
              </w:rPr>
              <w:lastRenderedPageBreak/>
              <w:t>af, hvorvidt arealet er tilskudsberettiget, vil herefter bero på en konkret vurdering, hvor det kan være tvivlsomt – og på ansøgers risiko – om billedernes kvalitet i tilstrækkelig grad er egnet til bevisligt at fastlægge tid, sted og retning for billederne, og dermed tjene som dokumentation for arealets tilskudsberettigelse.</w:t>
            </w:r>
          </w:p>
        </w:tc>
      </w:tr>
      <w:tr w:rsidR="00B772E9" w:rsidRPr="00864C18" w14:paraId="3528DAB7" w14:textId="77777777" w:rsidTr="00595821">
        <w:tc>
          <w:tcPr>
            <w:tcW w:w="4672" w:type="dxa"/>
          </w:tcPr>
          <w:p w14:paraId="5410FAB8" w14:textId="77777777" w:rsidR="00B772E9" w:rsidRPr="00864C18" w:rsidRDefault="00B772E9" w:rsidP="009F15D2">
            <w:pPr>
              <w:rPr>
                <w:b/>
                <w:sz w:val="20"/>
              </w:rPr>
            </w:pPr>
            <w:r w:rsidRPr="00864C18">
              <w:rPr>
                <w:b/>
                <w:sz w:val="20"/>
              </w:rPr>
              <w:lastRenderedPageBreak/>
              <w:t>1.4</w:t>
            </w:r>
          </w:p>
          <w:p w14:paraId="684C06F7" w14:textId="77777777" w:rsidR="00B772E9" w:rsidRPr="00864C18" w:rsidRDefault="00B772E9" w:rsidP="009F15D2">
            <w:pPr>
              <w:rPr>
                <w:b/>
                <w:sz w:val="20"/>
              </w:rPr>
            </w:pPr>
            <w:r w:rsidRPr="00864C18">
              <w:rPr>
                <w:b/>
                <w:sz w:val="20"/>
              </w:rPr>
              <w:t>§ 4 og § 5 – kontrolbesøg på bedriften</w:t>
            </w:r>
          </w:p>
          <w:p w14:paraId="47B42EEF" w14:textId="77777777" w:rsidR="00B772E9" w:rsidRPr="00864C18" w:rsidRDefault="00B772E9" w:rsidP="009F15D2">
            <w:pPr>
              <w:rPr>
                <w:sz w:val="20"/>
              </w:rPr>
            </w:pPr>
            <w:r w:rsidRPr="00864C18">
              <w:rPr>
                <w:sz w:val="20"/>
              </w:rPr>
              <w:t>Fra Landbrugsstyrelsen var der oprindeligt fokus på at sikre en helheds- og formålsfokuseret</w:t>
            </w:r>
          </w:p>
          <w:p w14:paraId="5C7DA8E6" w14:textId="30A744E2" w:rsidR="00B772E9" w:rsidRPr="00864C18" w:rsidRDefault="00B772E9" w:rsidP="009F15D2">
            <w:pPr>
              <w:rPr>
                <w:sz w:val="20"/>
              </w:rPr>
            </w:pPr>
            <w:r w:rsidRPr="00864C18">
              <w:rPr>
                <w:sz w:val="20"/>
              </w:rPr>
              <w:t xml:space="preserve">tilgang i kontrol- og sanktionering. Oprindeligt var der fra styrelsens side fokus på tre </w:t>
            </w:r>
            <w:r w:rsidR="00E20097">
              <w:rPr>
                <w:sz w:val="20"/>
              </w:rPr>
              <w:t>o</w:t>
            </w:r>
            <w:r w:rsidRPr="00864C18">
              <w:rPr>
                <w:sz w:val="20"/>
              </w:rPr>
              <w:t>verordnede</w:t>
            </w:r>
            <w:r w:rsidR="00E20097">
              <w:rPr>
                <w:sz w:val="20"/>
              </w:rPr>
              <w:t xml:space="preserve"> </w:t>
            </w:r>
            <w:r w:rsidRPr="00864C18">
              <w:rPr>
                <w:sz w:val="20"/>
              </w:rPr>
              <w:t>mål: overskuelighed, ensartethed og oplevelsen af retfærdighed.</w:t>
            </w:r>
          </w:p>
          <w:p w14:paraId="5BC56528" w14:textId="77777777" w:rsidR="00B772E9" w:rsidRPr="00864C18" w:rsidRDefault="00B772E9" w:rsidP="009F15D2">
            <w:pPr>
              <w:rPr>
                <w:sz w:val="20"/>
              </w:rPr>
            </w:pPr>
            <w:r w:rsidRPr="00864C18">
              <w:rPr>
                <w:sz w:val="20"/>
              </w:rPr>
              <w:t>Landbrug &amp; Fødevarer forstår overordnet set ikke, hvordan de ”videre rammer” og fleksibiliteten</w:t>
            </w:r>
          </w:p>
          <w:p w14:paraId="3EC6950F" w14:textId="77777777" w:rsidR="00B772E9" w:rsidRPr="00864C18" w:rsidRDefault="00B772E9" w:rsidP="009F15D2">
            <w:pPr>
              <w:rPr>
                <w:sz w:val="20"/>
              </w:rPr>
            </w:pPr>
            <w:r w:rsidRPr="00864C18">
              <w:rPr>
                <w:sz w:val="20"/>
              </w:rPr>
              <w:t>overladt til medlemsstaterne i CAP-reformen, til udformning af kontrol og sanktionssystemet,</w:t>
            </w:r>
          </w:p>
          <w:p w14:paraId="3EEB1268" w14:textId="2AC4EF06" w:rsidR="00B772E9" w:rsidRPr="00864C18" w:rsidRDefault="00B772E9" w:rsidP="009F15D2">
            <w:pPr>
              <w:rPr>
                <w:sz w:val="20"/>
              </w:rPr>
            </w:pPr>
            <w:r w:rsidRPr="00864C18">
              <w:rPr>
                <w:sz w:val="20"/>
              </w:rPr>
              <w:t>anvendes af Landbrugsstyrelsen og efterlyser i den forbindelse en henvisning til ministeriets fælles</w:t>
            </w:r>
            <w:r w:rsidR="003C5F8D" w:rsidRPr="00864C18">
              <w:rPr>
                <w:sz w:val="20"/>
              </w:rPr>
              <w:t xml:space="preserve"> </w:t>
            </w:r>
            <w:r w:rsidRPr="00864C18">
              <w:rPr>
                <w:sz w:val="20"/>
              </w:rPr>
              <w:t>kontrolstrategi fra 2017, der har fokus på en dialogsøgende og helhedsorienteret kontrol.</w:t>
            </w:r>
          </w:p>
          <w:p w14:paraId="63EDAB5B" w14:textId="25300A47" w:rsidR="00B772E9" w:rsidRPr="00864C18" w:rsidRDefault="00B772E9" w:rsidP="009F15D2">
            <w:pPr>
              <w:rPr>
                <w:sz w:val="20"/>
              </w:rPr>
            </w:pPr>
            <w:r w:rsidRPr="00864C18">
              <w:rPr>
                <w:sz w:val="20"/>
              </w:rPr>
              <w:t>Det er i det hele taget væsentligt at Landbrugsstyrelsen har fokus på landbrugeres retssikkerhed i</w:t>
            </w:r>
            <w:r w:rsidR="003C5F8D" w:rsidRPr="00864C18">
              <w:rPr>
                <w:sz w:val="20"/>
              </w:rPr>
              <w:t xml:space="preserve"> </w:t>
            </w:r>
            <w:r w:rsidRPr="00864C18">
              <w:rPr>
                <w:sz w:val="20"/>
              </w:rPr>
              <w:t>forbindelse med kontrol. Landbrug &amp; Fødevarer lægger herunder vægt på, at det i forbindelse med</w:t>
            </w:r>
            <w:r w:rsidR="003C5F8D" w:rsidRPr="00864C18">
              <w:rPr>
                <w:sz w:val="20"/>
              </w:rPr>
              <w:t xml:space="preserve"> </w:t>
            </w:r>
            <w:r w:rsidRPr="00864C18">
              <w:rPr>
                <w:sz w:val="20"/>
              </w:rPr>
              <w:t>ethvert kontrolbesøg sikres, at der sker varsling, når dette ikke forstyrrer formålet med kontrollen.</w:t>
            </w:r>
          </w:p>
          <w:p w14:paraId="0C52FE30" w14:textId="77777777" w:rsidR="003C5F8D" w:rsidRPr="00864C18" w:rsidRDefault="003C5F8D" w:rsidP="009F15D2">
            <w:pPr>
              <w:rPr>
                <w:sz w:val="20"/>
              </w:rPr>
            </w:pPr>
          </w:p>
          <w:p w14:paraId="68AB2333" w14:textId="3F070B8D" w:rsidR="00B772E9" w:rsidRPr="00864C18" w:rsidRDefault="00B772E9" w:rsidP="009F15D2">
            <w:pPr>
              <w:rPr>
                <w:sz w:val="20"/>
              </w:rPr>
            </w:pPr>
            <w:r w:rsidRPr="00864C18">
              <w:rPr>
                <w:sz w:val="20"/>
              </w:rPr>
              <w:t>Det er ligeledes vigtigt for retssikkerheden, at der forud for adgangen til kontrol foretages en</w:t>
            </w:r>
          </w:p>
          <w:p w14:paraId="087259A3" w14:textId="77777777" w:rsidR="00B772E9" w:rsidRPr="00864C18" w:rsidRDefault="00B772E9" w:rsidP="009F15D2">
            <w:pPr>
              <w:rPr>
                <w:sz w:val="20"/>
              </w:rPr>
            </w:pPr>
            <w:r w:rsidRPr="00864C18">
              <w:rPr>
                <w:sz w:val="20"/>
              </w:rPr>
              <w:t>relevant og proportionel afvejning af hensynet til formålet med kontrollen og besætningsejerens</w:t>
            </w:r>
          </w:p>
          <w:p w14:paraId="6D290CC2" w14:textId="66E57C0B" w:rsidR="00B772E9" w:rsidRPr="00864C18" w:rsidRDefault="00B772E9" w:rsidP="009F15D2">
            <w:pPr>
              <w:rPr>
                <w:sz w:val="20"/>
              </w:rPr>
            </w:pPr>
            <w:r w:rsidRPr="00864C18">
              <w:rPr>
                <w:sz w:val="20"/>
              </w:rPr>
              <w:t>udtrykte ønske om at have en repræsentant/bisidder til stede. Det er vores opfattelse, at der skal</w:t>
            </w:r>
            <w:r w:rsidR="003C5F8D" w:rsidRPr="00864C18">
              <w:rPr>
                <w:sz w:val="20"/>
              </w:rPr>
              <w:t xml:space="preserve"> </w:t>
            </w:r>
            <w:r w:rsidRPr="00864C18">
              <w:rPr>
                <w:sz w:val="20"/>
              </w:rPr>
              <w:t>tungtvejende grunde til for, at myndigheden kan trodse et ønske om tilstedeværelse af en</w:t>
            </w:r>
          </w:p>
          <w:p w14:paraId="5ADB5893" w14:textId="77777777" w:rsidR="00B772E9" w:rsidRPr="00864C18" w:rsidRDefault="00B772E9" w:rsidP="009F15D2">
            <w:pPr>
              <w:rPr>
                <w:sz w:val="20"/>
              </w:rPr>
            </w:pPr>
            <w:r w:rsidRPr="00864C18">
              <w:rPr>
                <w:sz w:val="20"/>
              </w:rPr>
              <w:t>repræsentant/bisidder i enhver konkret kontrolsituation.</w:t>
            </w:r>
          </w:p>
          <w:p w14:paraId="2BE1E109" w14:textId="77777777" w:rsidR="00B772E9" w:rsidRPr="00864C18" w:rsidRDefault="00B772E9" w:rsidP="009F15D2">
            <w:pPr>
              <w:rPr>
                <w:sz w:val="20"/>
              </w:rPr>
            </w:pPr>
            <w:r w:rsidRPr="00864C18">
              <w:rPr>
                <w:sz w:val="20"/>
              </w:rPr>
              <w:lastRenderedPageBreak/>
              <w:t xml:space="preserve">Forudsigelighed og </w:t>
            </w:r>
            <w:proofErr w:type="spellStart"/>
            <w:r w:rsidRPr="00864C18">
              <w:rPr>
                <w:sz w:val="20"/>
              </w:rPr>
              <w:t>indrettelseshensyn</w:t>
            </w:r>
            <w:proofErr w:type="spellEnd"/>
            <w:r w:rsidRPr="00864C18">
              <w:rPr>
                <w:sz w:val="20"/>
              </w:rPr>
              <w:t xml:space="preserve"> er desuden også væsentlige faktorer for landbrugerens</w:t>
            </w:r>
          </w:p>
          <w:p w14:paraId="1A361AB1" w14:textId="789068D8" w:rsidR="00B772E9" w:rsidRPr="00864C18" w:rsidRDefault="00B772E9" w:rsidP="009F15D2">
            <w:pPr>
              <w:rPr>
                <w:sz w:val="20"/>
              </w:rPr>
            </w:pPr>
            <w:r w:rsidRPr="00864C18">
              <w:rPr>
                <w:sz w:val="20"/>
              </w:rPr>
              <w:t xml:space="preserve">retssikkerhed. En stigning i antallet af skønsprægede afgørelser er derfor et </w:t>
            </w:r>
            <w:proofErr w:type="spellStart"/>
            <w:r w:rsidRPr="00864C18">
              <w:rPr>
                <w:sz w:val="20"/>
              </w:rPr>
              <w:t>obs</w:t>
            </w:r>
            <w:proofErr w:type="spellEnd"/>
            <w:r w:rsidRPr="00864C18">
              <w:rPr>
                <w:sz w:val="20"/>
              </w:rPr>
              <w:t>-punkt for os, da</w:t>
            </w:r>
            <w:r w:rsidR="003C5F8D" w:rsidRPr="00864C18">
              <w:rPr>
                <w:sz w:val="20"/>
              </w:rPr>
              <w:t xml:space="preserve"> </w:t>
            </w:r>
            <w:r w:rsidRPr="00864C18">
              <w:rPr>
                <w:sz w:val="20"/>
              </w:rPr>
              <w:t>det er centralt for os, at der fortsat er en ensartethed i udførelsen af kontrol og fastsættelse af</w:t>
            </w:r>
            <w:r w:rsidR="003C5F8D" w:rsidRPr="00864C18">
              <w:rPr>
                <w:sz w:val="20"/>
              </w:rPr>
              <w:t xml:space="preserve"> </w:t>
            </w:r>
            <w:r w:rsidRPr="00864C18">
              <w:rPr>
                <w:sz w:val="20"/>
              </w:rPr>
              <w:t>støttereduktion eller sanktion. Derfor vil vi igen benytte lejligheden til at understrege vigtigheden af</w:t>
            </w:r>
            <w:r w:rsidR="003C5F8D" w:rsidRPr="00864C18">
              <w:rPr>
                <w:sz w:val="20"/>
              </w:rPr>
              <w:t xml:space="preserve"> </w:t>
            </w:r>
            <w:r w:rsidRPr="00864C18">
              <w:rPr>
                <w:sz w:val="20"/>
              </w:rPr>
              <w:t>klare vejledninger og retningslinjer fra styrelsen til både landmænd og kontrollører.</w:t>
            </w:r>
          </w:p>
          <w:p w14:paraId="28AAC9C0" w14:textId="77777777" w:rsidR="00B772E9" w:rsidRPr="00864C18" w:rsidRDefault="00B772E9" w:rsidP="009F15D2">
            <w:pPr>
              <w:rPr>
                <w:sz w:val="20"/>
              </w:rPr>
            </w:pPr>
            <w:r w:rsidRPr="00864C18">
              <w:rPr>
                <w:sz w:val="20"/>
              </w:rPr>
              <w:t>På baggrund af ovenstående, vil Landbrug &amp; Fødevarer gerne anmode om en evaluering med</w:t>
            </w:r>
          </w:p>
          <w:p w14:paraId="3B0A8F3C" w14:textId="77777777" w:rsidR="00B772E9" w:rsidRPr="00864C18" w:rsidRDefault="00B772E9" w:rsidP="009F15D2">
            <w:pPr>
              <w:rPr>
                <w:sz w:val="20"/>
              </w:rPr>
            </w:pPr>
            <w:r w:rsidRPr="00864C18">
              <w:rPr>
                <w:sz w:val="20"/>
              </w:rPr>
              <w:t>udgangspunkt i resultaterne fra det nye kontrol og sanktionssystem. Formålet med en sådan</w:t>
            </w:r>
          </w:p>
          <w:p w14:paraId="1F25CB63" w14:textId="77777777" w:rsidR="00B772E9" w:rsidRPr="00864C18" w:rsidRDefault="00B772E9" w:rsidP="009F15D2">
            <w:pPr>
              <w:rPr>
                <w:sz w:val="20"/>
              </w:rPr>
            </w:pPr>
            <w:r w:rsidRPr="00864C18">
              <w:rPr>
                <w:sz w:val="20"/>
              </w:rPr>
              <w:t>evaluering skal være at afdække, hvorvidt det nye kontrol- og sanktionssystem har resulteret i flere</w:t>
            </w:r>
          </w:p>
          <w:p w14:paraId="07F85F99" w14:textId="77777777" w:rsidR="00B772E9" w:rsidRPr="00864C18" w:rsidRDefault="00B772E9" w:rsidP="009F15D2">
            <w:pPr>
              <w:rPr>
                <w:sz w:val="20"/>
              </w:rPr>
            </w:pPr>
            <w:r w:rsidRPr="00864C18">
              <w:rPr>
                <w:sz w:val="20"/>
              </w:rPr>
              <w:t>eller færre overtrædelser og efterfølgende støttereduktioner og sanktioner.</w:t>
            </w:r>
          </w:p>
          <w:p w14:paraId="38E216D9" w14:textId="418DAAD0" w:rsidR="00B772E9" w:rsidRPr="00864C18" w:rsidRDefault="00B772E9" w:rsidP="009F15D2">
            <w:pPr>
              <w:rPr>
                <w:b/>
                <w:sz w:val="20"/>
              </w:rPr>
            </w:pPr>
          </w:p>
        </w:tc>
        <w:tc>
          <w:tcPr>
            <w:tcW w:w="4673" w:type="dxa"/>
          </w:tcPr>
          <w:p w14:paraId="28E47E55" w14:textId="77777777" w:rsidR="00D831CD" w:rsidRPr="00864C18" w:rsidRDefault="00D831CD" w:rsidP="009F15D2">
            <w:pPr>
              <w:rPr>
                <w:i/>
                <w:sz w:val="20"/>
              </w:rPr>
            </w:pPr>
          </w:p>
          <w:p w14:paraId="632F4602" w14:textId="77777777" w:rsidR="006905F5" w:rsidRDefault="006905F5" w:rsidP="006905F5">
            <w:pPr>
              <w:rPr>
                <w:i/>
                <w:sz w:val="20"/>
              </w:rPr>
            </w:pPr>
            <w:r>
              <w:rPr>
                <w:i/>
                <w:sz w:val="20"/>
              </w:rPr>
              <w:t>Bemærkningerne g</w:t>
            </w:r>
            <w:r w:rsidRPr="00864C18">
              <w:rPr>
                <w:i/>
                <w:sz w:val="20"/>
              </w:rPr>
              <w:t>iver ikke anledning til ændringer i bekendtgørelsen.</w:t>
            </w:r>
          </w:p>
          <w:p w14:paraId="0C8CA2E2" w14:textId="77777777" w:rsidR="00D831CD" w:rsidRPr="00864C18" w:rsidRDefault="00D831CD" w:rsidP="009F15D2">
            <w:pPr>
              <w:rPr>
                <w:sz w:val="20"/>
              </w:rPr>
            </w:pPr>
          </w:p>
          <w:p w14:paraId="0A5174DF" w14:textId="77777777" w:rsidR="00D831CD" w:rsidRPr="00864C18" w:rsidRDefault="00D831CD" w:rsidP="009F15D2">
            <w:pPr>
              <w:rPr>
                <w:sz w:val="20"/>
              </w:rPr>
            </w:pPr>
            <w:r w:rsidRPr="00864C18">
              <w:rPr>
                <w:sz w:val="20"/>
              </w:rPr>
              <w:t xml:space="preserve">Landbrugsstyrelsen har fokus på en helhedsorienteret og dialogsøgende kontrol. Det kommer bl.a. til udtryk ved, at styrelsen anvender satellitbaseret kontrol under alle tilskudsordninger. Satellitbaseret kontrol er kendetegnet ved, at kontrollen ikke er detaljeorienteret, men helhedsorienteret, og at styrelsen indgår i en dialog med ansøgerne med henblik på helt at undgå sanktion. </w:t>
            </w:r>
          </w:p>
          <w:p w14:paraId="71FD4E66" w14:textId="53D7705D" w:rsidR="00D831CD" w:rsidRPr="00864C18" w:rsidRDefault="00D831CD" w:rsidP="009F15D2">
            <w:pPr>
              <w:rPr>
                <w:sz w:val="20"/>
              </w:rPr>
            </w:pPr>
            <w:r w:rsidRPr="00864C18">
              <w:rPr>
                <w:sz w:val="20"/>
              </w:rPr>
              <w:t xml:space="preserve">Selv om EU har givet kompetence til medlemstasterne til at fastsætte regler om kontrol og administrative sanktioner, skal landene fortsat sikre, at der foretages korrekte udbetalinger af EU-midler, og at Unionens finansielle interesser beskyttes. Derfor er Landbrugsstyrelsen </w:t>
            </w:r>
            <w:r w:rsidR="0027556D">
              <w:rPr>
                <w:sz w:val="20"/>
              </w:rPr>
              <w:t>forpligtet</w:t>
            </w:r>
            <w:r w:rsidRPr="00864C18">
              <w:rPr>
                <w:sz w:val="20"/>
              </w:rPr>
              <w:t xml:space="preserve"> til at udføre kontrol på en mindre del af bedrifterne, når det drejer sig om tilskudsbetingelser, som ikke kan kontrolleres med satellitbaseret kontrol. Denne kontrol udføres i overensstemmelse med gældende forvaltningsretlige principper.</w:t>
            </w:r>
          </w:p>
          <w:p w14:paraId="1DB59286" w14:textId="77777777" w:rsidR="00D831CD" w:rsidRPr="00864C18" w:rsidRDefault="00D831CD" w:rsidP="009F15D2">
            <w:pPr>
              <w:rPr>
                <w:sz w:val="20"/>
              </w:rPr>
            </w:pPr>
            <w:r w:rsidRPr="00864C18">
              <w:rPr>
                <w:sz w:val="20"/>
              </w:rPr>
              <w:t xml:space="preserve">Det sanktionssystem, som er beskrevet i bekendtgørelsen, finder anvendelse på en meget lille del af den samlede kontrol, som Landbrugsstyrelsen udfører. Det anvendes primært i de situationer, hvor det ikke er muligt at anvende satellitbaseret kontrol, men hvor der i stedet udføres kontrol hos en mindre del af ansøgerne. </w:t>
            </w:r>
          </w:p>
          <w:p w14:paraId="59C2CEB5" w14:textId="5E813B51" w:rsidR="00D831CD" w:rsidRPr="00864C18" w:rsidRDefault="00D831CD" w:rsidP="009F15D2">
            <w:pPr>
              <w:rPr>
                <w:sz w:val="20"/>
              </w:rPr>
            </w:pPr>
            <w:r w:rsidRPr="00864C18">
              <w:rPr>
                <w:sz w:val="20"/>
              </w:rPr>
              <w:t xml:space="preserve">Landbrugsstyrelsen har foretaget lempelser af sanktionssystemet i forhold til det tidligere </w:t>
            </w:r>
            <w:r w:rsidRPr="00864C18">
              <w:rPr>
                <w:sz w:val="20"/>
              </w:rPr>
              <w:lastRenderedPageBreak/>
              <w:t>forordningsbestemte sanktionssystem</w:t>
            </w:r>
            <w:r w:rsidR="0027556D">
              <w:rPr>
                <w:sz w:val="20"/>
              </w:rPr>
              <w:t>.</w:t>
            </w:r>
            <w:r w:rsidRPr="00864C18">
              <w:rPr>
                <w:sz w:val="20"/>
              </w:rPr>
              <w:t xml:space="preserve"> </w:t>
            </w:r>
            <w:r w:rsidR="0027556D">
              <w:rPr>
                <w:sz w:val="20"/>
              </w:rPr>
              <w:t xml:space="preserve">Det bemærkes i den forbindelse, at sanktionssystemet skal indrettes i lyset af det gældende EU-forordningsgrundlag, og at </w:t>
            </w:r>
            <w:r w:rsidR="00565EF7">
              <w:rPr>
                <w:sz w:val="20"/>
              </w:rPr>
              <w:t xml:space="preserve">EU-kommissionen </w:t>
            </w:r>
            <w:r w:rsidR="0027556D">
              <w:rPr>
                <w:sz w:val="20"/>
              </w:rPr>
              <w:t xml:space="preserve">i den forbindelse har </w:t>
            </w:r>
            <w:proofErr w:type="gramStart"/>
            <w:r w:rsidR="0027556D">
              <w:rPr>
                <w:sz w:val="20"/>
              </w:rPr>
              <w:t xml:space="preserve">tilkendegivet, </w:t>
            </w:r>
            <w:r w:rsidR="00565EF7">
              <w:rPr>
                <w:sz w:val="20"/>
              </w:rPr>
              <w:t xml:space="preserve"> at</w:t>
            </w:r>
            <w:proofErr w:type="gramEnd"/>
            <w:r w:rsidR="00565EF7">
              <w:rPr>
                <w:sz w:val="20"/>
              </w:rPr>
              <w:t xml:space="preserve"> en fortsættelse af tidligere gældende sanktionspraksis giver medlemsstaterne størst sikkerhed for, at et nyt sanktionssystem er overensstemmende med forordningsgrundlaget. </w:t>
            </w:r>
            <w:r w:rsidRPr="00864C18">
              <w:rPr>
                <w:sz w:val="20"/>
              </w:rPr>
              <w:t xml:space="preserve">En sammenligning med sanktionssystemerne i vores nabolande viste, at Danmark har lempet systemet mere end vores to nærmeste nabolande, Sverige og Slesvig-Holsten. Landbrugsstyrelsen </w:t>
            </w:r>
            <w:r w:rsidR="000D7126">
              <w:rPr>
                <w:sz w:val="20"/>
              </w:rPr>
              <w:t>vurderer løbende behovet for lempelser</w:t>
            </w:r>
            <w:r w:rsidRPr="00864C18">
              <w:rPr>
                <w:sz w:val="20"/>
              </w:rPr>
              <w:t xml:space="preserve">. </w:t>
            </w:r>
          </w:p>
          <w:p w14:paraId="2180E027" w14:textId="77777777" w:rsidR="00D831CD" w:rsidRPr="00864C18" w:rsidRDefault="00D831CD" w:rsidP="009F15D2">
            <w:pPr>
              <w:rPr>
                <w:sz w:val="20"/>
              </w:rPr>
            </w:pPr>
            <w:r w:rsidRPr="00864C18">
              <w:rPr>
                <w:sz w:val="20"/>
              </w:rPr>
              <w:t>I forbindelse med landbrugsreformen blev der fastsat krav om, at medlemsstaterne skal gennemføre en årlig kvalitetsvurdering af kontrol- og sanktionssystemet efter EU-kommissionens retningslinjer. Denne kvalitetsvurdering vil give den evaluering af kontrol- og sanktionssystemet, som Landbrug &amp; Fødevarer efterspørger. Hvis det viser sig, at fejlniveauet overstiger de tærskelværdier, som EU-kommissionen har fastlagt, vil Danmark blive pålagt at gennemføre korrigerende foranstaltninger i form at opstramninger på de områder, hvor der er konstateret svagheder.</w:t>
            </w:r>
          </w:p>
          <w:p w14:paraId="68240F4F" w14:textId="77777777" w:rsidR="00D831CD" w:rsidRPr="00864C18" w:rsidRDefault="00D831CD" w:rsidP="009F15D2">
            <w:pPr>
              <w:rPr>
                <w:sz w:val="20"/>
              </w:rPr>
            </w:pPr>
            <w:r w:rsidRPr="00864C18">
              <w:rPr>
                <w:sz w:val="20"/>
              </w:rPr>
              <w:t xml:space="preserve">     </w:t>
            </w:r>
          </w:p>
          <w:p w14:paraId="4A6C2D0E" w14:textId="77777777" w:rsidR="00D831CD" w:rsidRPr="00864C18" w:rsidRDefault="00D831CD" w:rsidP="009F15D2">
            <w:pPr>
              <w:rPr>
                <w:sz w:val="20"/>
              </w:rPr>
            </w:pPr>
          </w:p>
          <w:p w14:paraId="54936224" w14:textId="05DDDE58" w:rsidR="00B772E9" w:rsidRPr="00864C18" w:rsidRDefault="00D831CD" w:rsidP="009F15D2">
            <w:pPr>
              <w:rPr>
                <w:i/>
                <w:sz w:val="20"/>
                <w:u w:val="single"/>
              </w:rPr>
            </w:pPr>
            <w:r w:rsidRPr="00864C18">
              <w:rPr>
                <w:sz w:val="20"/>
              </w:rPr>
              <w:t xml:space="preserve"> </w:t>
            </w:r>
          </w:p>
        </w:tc>
      </w:tr>
      <w:tr w:rsidR="00B772E9" w:rsidRPr="00864C18" w14:paraId="79E8D5DF" w14:textId="77777777" w:rsidTr="00595821">
        <w:tc>
          <w:tcPr>
            <w:tcW w:w="4672" w:type="dxa"/>
          </w:tcPr>
          <w:p w14:paraId="65F0DEF8" w14:textId="77777777" w:rsidR="00B772E9" w:rsidRPr="00864C18" w:rsidRDefault="00B772E9" w:rsidP="009F15D2">
            <w:pPr>
              <w:rPr>
                <w:b/>
                <w:sz w:val="20"/>
              </w:rPr>
            </w:pPr>
            <w:r w:rsidRPr="00864C18">
              <w:rPr>
                <w:b/>
                <w:sz w:val="20"/>
              </w:rPr>
              <w:lastRenderedPageBreak/>
              <w:t>1.5</w:t>
            </w:r>
          </w:p>
          <w:p w14:paraId="000F464B" w14:textId="77777777" w:rsidR="00B772E9" w:rsidRPr="00864C18" w:rsidRDefault="00B772E9" w:rsidP="009F15D2">
            <w:pPr>
              <w:rPr>
                <w:b/>
                <w:sz w:val="20"/>
              </w:rPr>
            </w:pPr>
            <w:r w:rsidRPr="00864C18">
              <w:rPr>
                <w:b/>
                <w:sz w:val="20"/>
              </w:rPr>
              <w:t>§ 6, stk. 3 – Nedsættelse og sanktioner for engangskompensation divideres med 5</w:t>
            </w:r>
          </w:p>
          <w:p w14:paraId="0F881577" w14:textId="179131F4" w:rsidR="00B772E9" w:rsidRPr="00864C18" w:rsidRDefault="00B772E9" w:rsidP="009F15D2">
            <w:pPr>
              <w:rPr>
                <w:sz w:val="20"/>
              </w:rPr>
            </w:pPr>
            <w:r w:rsidRPr="00864C18">
              <w:rPr>
                <w:sz w:val="20"/>
              </w:rPr>
              <w:t>Det fremgår af vejledningen, at den beregnede administrative sanktion divideres med 5 for at tage</w:t>
            </w:r>
            <w:r w:rsidR="003C5F8D" w:rsidRPr="00864C18">
              <w:rPr>
                <w:sz w:val="20"/>
              </w:rPr>
              <w:t xml:space="preserve"> </w:t>
            </w:r>
            <w:r w:rsidRPr="00864C18">
              <w:rPr>
                <w:sz w:val="20"/>
              </w:rPr>
              <w:t>højde for, at tilskuddet udbetales som et engangsbeløb for hele den 5-årige tilsagnsperiode.</w:t>
            </w:r>
          </w:p>
          <w:p w14:paraId="72AC3F95" w14:textId="77777777" w:rsidR="00B772E9" w:rsidRPr="00864C18" w:rsidRDefault="00B772E9" w:rsidP="009F15D2">
            <w:pPr>
              <w:rPr>
                <w:sz w:val="20"/>
              </w:rPr>
            </w:pPr>
            <w:r w:rsidRPr="00864C18">
              <w:rPr>
                <w:sz w:val="20"/>
              </w:rPr>
              <w:t>Dette er en voldsom sanktion – særlig taget i betragtning af, at manglende indberetning af</w:t>
            </w:r>
          </w:p>
          <w:p w14:paraId="551030A9" w14:textId="76C49FFD" w:rsidR="00B772E9" w:rsidRPr="00864C18" w:rsidRDefault="00B772E9" w:rsidP="009F15D2">
            <w:pPr>
              <w:rPr>
                <w:sz w:val="20"/>
              </w:rPr>
            </w:pPr>
            <w:r w:rsidRPr="00864C18">
              <w:rPr>
                <w:sz w:val="20"/>
              </w:rPr>
              <w:t>landbrugsarealer ikke</w:t>
            </w:r>
            <w:r w:rsidR="003C5F8D" w:rsidRPr="00864C18">
              <w:rPr>
                <w:sz w:val="20"/>
              </w:rPr>
              <w:t xml:space="preserve"> </w:t>
            </w:r>
            <w:r w:rsidRPr="00864C18">
              <w:rPr>
                <w:sz w:val="20"/>
              </w:rPr>
              <w:t>har betydning for arealet med engangskompensation.</w:t>
            </w:r>
          </w:p>
          <w:p w14:paraId="6927B535" w14:textId="77777777" w:rsidR="00B772E9" w:rsidRPr="00864C18" w:rsidRDefault="00B772E9" w:rsidP="009F15D2">
            <w:pPr>
              <w:rPr>
                <w:sz w:val="20"/>
              </w:rPr>
            </w:pPr>
            <w:r w:rsidRPr="00864C18">
              <w:rPr>
                <w:sz w:val="20"/>
              </w:rPr>
              <w:t>Hvis et areal har fået engangskompensation med en tilskudssats på 82.500 kr./ha vil en</w:t>
            </w:r>
          </w:p>
          <w:p w14:paraId="335FAF16" w14:textId="77777777" w:rsidR="00B772E9" w:rsidRPr="00864C18" w:rsidRDefault="00B772E9" w:rsidP="009F15D2">
            <w:pPr>
              <w:rPr>
                <w:sz w:val="20"/>
              </w:rPr>
            </w:pPr>
            <w:r w:rsidRPr="00864C18">
              <w:rPr>
                <w:sz w:val="20"/>
              </w:rPr>
              <w:t>støttereduktion på 1 pct. jf. § 8, stk. 1, pkt. 1 give en nedsættelse på 82.500/5*0,01 = 165 kr./ha.</w:t>
            </w:r>
          </w:p>
          <w:p w14:paraId="379DFC51" w14:textId="7B3FE254" w:rsidR="00B772E9" w:rsidRPr="00864C18" w:rsidRDefault="00B772E9" w:rsidP="009F15D2">
            <w:pPr>
              <w:rPr>
                <w:sz w:val="20"/>
              </w:rPr>
            </w:pPr>
            <w:r w:rsidRPr="00864C18">
              <w:rPr>
                <w:sz w:val="20"/>
              </w:rPr>
              <w:t>Til sammenligning, vil der under grundbetalingsordningen ske en reduktion på ca. 1.900*0,01 = 19</w:t>
            </w:r>
          </w:p>
          <w:p w14:paraId="0DF02724" w14:textId="42E58C30" w:rsidR="00B772E9" w:rsidRPr="00864C18" w:rsidRDefault="00B772E9" w:rsidP="009F15D2">
            <w:pPr>
              <w:rPr>
                <w:sz w:val="20"/>
              </w:rPr>
            </w:pPr>
            <w:r w:rsidRPr="00864C18">
              <w:rPr>
                <w:sz w:val="20"/>
              </w:rPr>
              <w:t>kr./ha.</w:t>
            </w:r>
          </w:p>
        </w:tc>
        <w:tc>
          <w:tcPr>
            <w:tcW w:w="4673" w:type="dxa"/>
          </w:tcPr>
          <w:p w14:paraId="1623D633" w14:textId="77777777" w:rsidR="003C5F8D" w:rsidRPr="00864C18" w:rsidRDefault="003C5F8D" w:rsidP="009F15D2">
            <w:pPr>
              <w:rPr>
                <w:i/>
                <w:sz w:val="20"/>
              </w:rPr>
            </w:pPr>
          </w:p>
          <w:p w14:paraId="279DA37A" w14:textId="77777777" w:rsidR="006905F5" w:rsidRDefault="006905F5" w:rsidP="006905F5">
            <w:pPr>
              <w:rPr>
                <w:i/>
                <w:sz w:val="20"/>
              </w:rPr>
            </w:pPr>
            <w:r>
              <w:rPr>
                <w:i/>
                <w:sz w:val="20"/>
              </w:rPr>
              <w:t>Bemærkningerne g</w:t>
            </w:r>
            <w:r w:rsidRPr="00864C18">
              <w:rPr>
                <w:i/>
                <w:sz w:val="20"/>
              </w:rPr>
              <w:t>iver ikke anledning til ændringer i bekendtgørelsen.</w:t>
            </w:r>
          </w:p>
          <w:p w14:paraId="15CB3469" w14:textId="77777777" w:rsidR="00953D12" w:rsidRPr="00953D12" w:rsidRDefault="00953D12" w:rsidP="00953D12">
            <w:pPr>
              <w:rPr>
                <w:sz w:val="20"/>
              </w:rPr>
            </w:pPr>
          </w:p>
          <w:p w14:paraId="2FA665C1" w14:textId="63E6EF5E" w:rsidR="00953D12" w:rsidRPr="00953D12" w:rsidRDefault="00953D12" w:rsidP="00953D12">
            <w:pPr>
              <w:rPr>
                <w:sz w:val="20"/>
              </w:rPr>
            </w:pPr>
            <w:r w:rsidRPr="00953D12">
              <w:rPr>
                <w:sz w:val="20"/>
              </w:rPr>
              <w:t>Engangskompensationsordningen har en tilsagnsperiode på kun 5 år.  Det er således kun i</w:t>
            </w:r>
            <w:r w:rsidR="007F7575">
              <w:rPr>
                <w:sz w:val="20"/>
              </w:rPr>
              <w:t xml:space="preserve"> </w:t>
            </w:r>
            <w:r w:rsidRPr="00953D12">
              <w:rPr>
                <w:sz w:val="20"/>
              </w:rPr>
              <w:t xml:space="preserve">den 5-årige tilsagnsperiode, at en evt. overtrædelse af reglerne vil kunne resultere i en sanktion eller tilbagebetalingskrav. Dette er baggrunden for, at det udbetalte beløb divideres med 5 og ikke 20. </w:t>
            </w:r>
          </w:p>
          <w:p w14:paraId="1D9A6D24" w14:textId="77777777" w:rsidR="00953D12" w:rsidRPr="00953D12" w:rsidRDefault="00953D12" w:rsidP="00953D12">
            <w:pPr>
              <w:rPr>
                <w:sz w:val="20"/>
              </w:rPr>
            </w:pPr>
          </w:p>
          <w:p w14:paraId="511A52D7" w14:textId="7D77FD0E" w:rsidR="00B772E9" w:rsidRPr="00864C18" w:rsidRDefault="00953D12" w:rsidP="00953D12">
            <w:pPr>
              <w:rPr>
                <w:i/>
                <w:sz w:val="20"/>
                <w:u w:val="single"/>
              </w:rPr>
            </w:pPr>
            <w:r w:rsidRPr="00953D12">
              <w:rPr>
                <w:sz w:val="20"/>
              </w:rPr>
              <w:t>Efter de 5 år vil en eventuel overtrædelse af reglerne i forhold til den tinglyste servitut ikke medføre krav om tilbagebetaling af tilskud, men vil kunne sanktioneres på anden vis.</w:t>
            </w:r>
          </w:p>
        </w:tc>
      </w:tr>
      <w:tr w:rsidR="00B772E9" w:rsidRPr="00864C18" w14:paraId="45FA999D" w14:textId="77777777" w:rsidTr="00595821">
        <w:tc>
          <w:tcPr>
            <w:tcW w:w="4672" w:type="dxa"/>
          </w:tcPr>
          <w:p w14:paraId="38A0E295" w14:textId="77777777" w:rsidR="00B772E9" w:rsidRPr="00864C18" w:rsidRDefault="00B772E9" w:rsidP="009F15D2">
            <w:pPr>
              <w:rPr>
                <w:b/>
                <w:sz w:val="20"/>
              </w:rPr>
            </w:pPr>
            <w:r w:rsidRPr="00864C18">
              <w:rPr>
                <w:b/>
                <w:sz w:val="20"/>
              </w:rPr>
              <w:t>1.6</w:t>
            </w:r>
          </w:p>
          <w:p w14:paraId="323703C9" w14:textId="77777777" w:rsidR="00B772E9" w:rsidRPr="00864C18" w:rsidRDefault="00B772E9" w:rsidP="009F15D2">
            <w:pPr>
              <w:rPr>
                <w:b/>
                <w:sz w:val="20"/>
              </w:rPr>
            </w:pPr>
            <w:r w:rsidRPr="00864C18">
              <w:rPr>
                <w:b/>
                <w:sz w:val="20"/>
              </w:rPr>
              <w:lastRenderedPageBreak/>
              <w:t>§ 6, stk. 4 – bortfald af tilsagn</w:t>
            </w:r>
          </w:p>
          <w:p w14:paraId="0399115C" w14:textId="77777777" w:rsidR="00B772E9" w:rsidRPr="00864C18" w:rsidRDefault="00B772E9" w:rsidP="009F15D2">
            <w:pPr>
              <w:rPr>
                <w:sz w:val="20"/>
              </w:rPr>
            </w:pPr>
            <w:r w:rsidRPr="00864C18">
              <w:rPr>
                <w:sz w:val="20"/>
              </w:rPr>
              <w:t>Det er vigtigt, at antallet af tilfælde, hvor der sker bortfald af tilsagn med krav om tilbagebetaling,</w:t>
            </w:r>
          </w:p>
          <w:p w14:paraId="78FAD5AA" w14:textId="223BBA02" w:rsidR="00B772E9" w:rsidRPr="00864C18" w:rsidRDefault="00B772E9" w:rsidP="009F15D2">
            <w:pPr>
              <w:rPr>
                <w:b/>
                <w:sz w:val="20"/>
              </w:rPr>
            </w:pPr>
            <w:r w:rsidRPr="00864C18">
              <w:rPr>
                <w:sz w:val="20"/>
              </w:rPr>
              <w:t>begrænses mest muligt.</w:t>
            </w:r>
          </w:p>
        </w:tc>
        <w:tc>
          <w:tcPr>
            <w:tcW w:w="4673" w:type="dxa"/>
          </w:tcPr>
          <w:p w14:paraId="4E007ACA" w14:textId="77777777" w:rsidR="003C5F8D" w:rsidRPr="00D5355F" w:rsidRDefault="003C5F8D" w:rsidP="009F15D2">
            <w:pPr>
              <w:rPr>
                <w:i/>
                <w:sz w:val="20"/>
              </w:rPr>
            </w:pPr>
          </w:p>
          <w:p w14:paraId="6595569C" w14:textId="77777777" w:rsidR="006905F5" w:rsidRPr="00D5355F" w:rsidRDefault="006905F5" w:rsidP="006905F5">
            <w:pPr>
              <w:rPr>
                <w:i/>
                <w:sz w:val="20"/>
              </w:rPr>
            </w:pPr>
            <w:r w:rsidRPr="00D5355F">
              <w:rPr>
                <w:i/>
                <w:sz w:val="20"/>
              </w:rPr>
              <w:lastRenderedPageBreak/>
              <w:t>Bemærkningerne giver ikke anledning til ændringer i bekendtgørelsen.</w:t>
            </w:r>
          </w:p>
          <w:p w14:paraId="0B72F552" w14:textId="77777777" w:rsidR="000D422D" w:rsidRPr="00D5355F" w:rsidRDefault="000D422D" w:rsidP="009F15D2">
            <w:pPr>
              <w:rPr>
                <w:i/>
                <w:sz w:val="20"/>
              </w:rPr>
            </w:pPr>
          </w:p>
          <w:p w14:paraId="536560FB" w14:textId="77777777" w:rsidR="00953D12" w:rsidRPr="00953D12" w:rsidRDefault="00953D12" w:rsidP="00953D12">
            <w:pPr>
              <w:rPr>
                <w:sz w:val="20"/>
              </w:rPr>
            </w:pPr>
          </w:p>
          <w:p w14:paraId="73465C7D" w14:textId="77777777" w:rsidR="00953D12" w:rsidRPr="00953D12" w:rsidRDefault="00953D12" w:rsidP="00953D12">
            <w:pPr>
              <w:rPr>
                <w:sz w:val="20"/>
              </w:rPr>
            </w:pPr>
            <w:r w:rsidRPr="00953D12">
              <w:rPr>
                <w:sz w:val="20"/>
              </w:rPr>
              <w:t>Landbrugsstyrelsen er opmærksom på vigtigheden af at kommunikere om engangskompensation generelt, herunder</w:t>
            </w:r>
          </w:p>
          <w:p w14:paraId="49E3DF4E" w14:textId="43DC80AE" w:rsidR="003C5F8D" w:rsidRPr="00D5355F" w:rsidRDefault="00953D12" w:rsidP="00953D12">
            <w:pPr>
              <w:rPr>
                <w:i/>
                <w:sz w:val="20"/>
              </w:rPr>
            </w:pPr>
            <w:r w:rsidRPr="00953D12">
              <w:rPr>
                <w:sz w:val="20"/>
              </w:rPr>
              <w:t>at følge op på sager, hvor der kort før sidste frist (i år 2-5) stadig ikke er sendt en årlig indberetning fra ansøger.</w:t>
            </w:r>
          </w:p>
        </w:tc>
      </w:tr>
      <w:tr w:rsidR="00B772E9" w:rsidRPr="00864C18" w14:paraId="05BDFD2C" w14:textId="77777777" w:rsidTr="00595821">
        <w:tc>
          <w:tcPr>
            <w:tcW w:w="4672" w:type="dxa"/>
          </w:tcPr>
          <w:p w14:paraId="6CB7C0FC" w14:textId="6D86FC1D" w:rsidR="00B772E9" w:rsidRPr="00864C18" w:rsidRDefault="00B772E9" w:rsidP="009F15D2">
            <w:pPr>
              <w:rPr>
                <w:b/>
                <w:sz w:val="20"/>
              </w:rPr>
            </w:pPr>
            <w:r w:rsidRPr="00864C18">
              <w:rPr>
                <w:b/>
                <w:sz w:val="20"/>
              </w:rPr>
              <w:lastRenderedPageBreak/>
              <w:t>1.7</w:t>
            </w:r>
          </w:p>
          <w:p w14:paraId="0EEAE03B" w14:textId="77777777" w:rsidR="00B772E9" w:rsidRPr="00864C18" w:rsidRDefault="00B772E9" w:rsidP="009F15D2">
            <w:pPr>
              <w:rPr>
                <w:b/>
                <w:sz w:val="20"/>
              </w:rPr>
            </w:pPr>
            <w:r w:rsidRPr="00864C18">
              <w:rPr>
                <w:b/>
                <w:sz w:val="20"/>
              </w:rPr>
              <w:t>§ 7, stk. 4 – nedsættelse, hvis ansøger er meddelt dispensation for ansøgningsfristen</w:t>
            </w:r>
          </w:p>
          <w:p w14:paraId="63A8F5FF" w14:textId="77777777" w:rsidR="00B772E9" w:rsidRPr="00864C18" w:rsidRDefault="00B772E9" w:rsidP="009F15D2">
            <w:pPr>
              <w:rPr>
                <w:sz w:val="20"/>
              </w:rPr>
            </w:pPr>
            <w:r w:rsidRPr="00864C18">
              <w:rPr>
                <w:sz w:val="20"/>
              </w:rPr>
              <w:t>Landbrug &amp; Fødevarer henviser til de bemærkninger, vi har indsendt til høringen af</w:t>
            </w:r>
          </w:p>
          <w:p w14:paraId="63F22B2D" w14:textId="77777777" w:rsidR="00B772E9" w:rsidRPr="00864C18" w:rsidRDefault="00B772E9" w:rsidP="009F15D2">
            <w:pPr>
              <w:rPr>
                <w:sz w:val="20"/>
              </w:rPr>
            </w:pPr>
            <w:r w:rsidRPr="00864C18">
              <w:rPr>
                <w:sz w:val="20"/>
              </w:rPr>
              <w:t>bekendtgørelsen om ansøgning i Tast selv, hvor der står:</w:t>
            </w:r>
          </w:p>
          <w:p w14:paraId="7EF90D12" w14:textId="2A059663" w:rsidR="00B772E9" w:rsidRPr="00864C18" w:rsidRDefault="00B772E9" w:rsidP="003C5F8D">
            <w:pPr>
              <w:rPr>
                <w:b/>
                <w:sz w:val="20"/>
              </w:rPr>
            </w:pPr>
            <w:r w:rsidRPr="00864C18">
              <w:rPr>
                <w:sz w:val="20"/>
              </w:rPr>
              <w:t>Landbrugsstyrelsen har indsat en frist på 7 arbejdsdage til at indsende en ansøgning efter rettelse</w:t>
            </w:r>
            <w:r w:rsidR="003C5F8D" w:rsidRPr="00864C18">
              <w:rPr>
                <w:sz w:val="20"/>
              </w:rPr>
              <w:t xml:space="preserve"> </w:t>
            </w:r>
            <w:r w:rsidRPr="00864C18">
              <w:rPr>
                <w:sz w:val="20"/>
              </w:rPr>
              <w:t>af en IT-fejl, som har medført, at ansøgningsfristen ikke har kunnet overholdes. Dette er en</w:t>
            </w:r>
            <w:r w:rsidR="003C5F8D" w:rsidRPr="00864C18">
              <w:rPr>
                <w:sz w:val="20"/>
              </w:rPr>
              <w:t xml:space="preserve"> </w:t>
            </w:r>
            <w:r w:rsidRPr="00864C18">
              <w:rPr>
                <w:sz w:val="20"/>
              </w:rPr>
              <w:t>præcisering af gældende praksis, men Landbrug &amp; Fødevarer vil gerne benytte lejligheden til at</w:t>
            </w:r>
            <w:r w:rsidR="003C5F8D" w:rsidRPr="00864C18">
              <w:rPr>
                <w:sz w:val="20"/>
              </w:rPr>
              <w:t xml:space="preserve"> </w:t>
            </w:r>
            <w:r w:rsidRPr="00864C18">
              <w:rPr>
                <w:sz w:val="20"/>
              </w:rPr>
              <w:t>bemærke, at denne relativt korte frist kan være problematisk. Det gælder særligt i ferieperioder. Det</w:t>
            </w:r>
            <w:r w:rsidR="003C5F8D" w:rsidRPr="00864C18">
              <w:rPr>
                <w:sz w:val="20"/>
              </w:rPr>
              <w:t xml:space="preserve"> </w:t>
            </w:r>
            <w:r w:rsidRPr="00864C18">
              <w:rPr>
                <w:sz w:val="20"/>
              </w:rPr>
              <w:t>er endvidere yderst vigtigt, at ansøgerens rådgiver også underrettes, når fejlen er løst, da det ellers</w:t>
            </w:r>
            <w:r w:rsidR="003C5F8D" w:rsidRPr="00864C18">
              <w:rPr>
                <w:sz w:val="20"/>
              </w:rPr>
              <w:t xml:space="preserve"> </w:t>
            </w:r>
            <w:r w:rsidRPr="00864C18">
              <w:rPr>
                <w:sz w:val="20"/>
              </w:rPr>
              <w:t>vil give øget risiko for manglende overholdelse af 7-dages-fristen.</w:t>
            </w:r>
          </w:p>
        </w:tc>
        <w:tc>
          <w:tcPr>
            <w:tcW w:w="4673" w:type="dxa"/>
          </w:tcPr>
          <w:p w14:paraId="78C88A0E" w14:textId="77777777" w:rsidR="003C5F8D" w:rsidRPr="00864C18" w:rsidRDefault="003C5F8D" w:rsidP="009F15D2">
            <w:pPr>
              <w:rPr>
                <w:i/>
                <w:sz w:val="20"/>
              </w:rPr>
            </w:pPr>
          </w:p>
          <w:p w14:paraId="2D288FF7" w14:textId="77777777" w:rsidR="006905F5" w:rsidRDefault="006905F5" w:rsidP="006905F5">
            <w:pPr>
              <w:rPr>
                <w:i/>
                <w:sz w:val="20"/>
              </w:rPr>
            </w:pPr>
            <w:r>
              <w:rPr>
                <w:i/>
                <w:sz w:val="20"/>
              </w:rPr>
              <w:t>Bemærkningerne g</w:t>
            </w:r>
            <w:r w:rsidRPr="00864C18">
              <w:rPr>
                <w:i/>
                <w:sz w:val="20"/>
              </w:rPr>
              <w:t>iver ikke anledning til ændringer i bekendtgørelsen.</w:t>
            </w:r>
          </w:p>
          <w:p w14:paraId="50B45CA8" w14:textId="77777777" w:rsidR="0029173A" w:rsidRPr="00864C18" w:rsidRDefault="0029173A" w:rsidP="009F15D2">
            <w:pPr>
              <w:rPr>
                <w:i/>
                <w:sz w:val="20"/>
              </w:rPr>
            </w:pPr>
          </w:p>
          <w:p w14:paraId="325376EB" w14:textId="55CA994E" w:rsidR="0029173A" w:rsidRPr="00864C18" w:rsidRDefault="0029173A" w:rsidP="009F15D2">
            <w:pPr>
              <w:rPr>
                <w:sz w:val="20"/>
              </w:rPr>
            </w:pPr>
            <w:r w:rsidRPr="00864C18">
              <w:rPr>
                <w:sz w:val="20"/>
              </w:rPr>
              <w:t>Landbrugsstyrelsen vurderer, at en frist på 7 arbejdsdage efter fejlens ophør i forbindelse med it-fejl</w:t>
            </w:r>
            <w:r w:rsidR="003C5F8D" w:rsidRPr="00864C18">
              <w:rPr>
                <w:sz w:val="20"/>
              </w:rPr>
              <w:t xml:space="preserve"> </w:t>
            </w:r>
            <w:r w:rsidRPr="00864C18">
              <w:rPr>
                <w:sz w:val="20"/>
              </w:rPr>
              <w:t>er en rimelig frist, men noterer sig i øvrigt Landbrug &amp; Fødevarers synspunkter.</w:t>
            </w:r>
          </w:p>
          <w:p w14:paraId="33776081" w14:textId="77777777" w:rsidR="00B772E9" w:rsidRPr="00864C18" w:rsidRDefault="00B772E9" w:rsidP="009F15D2">
            <w:pPr>
              <w:rPr>
                <w:i/>
                <w:sz w:val="20"/>
                <w:u w:val="single"/>
              </w:rPr>
            </w:pPr>
          </w:p>
        </w:tc>
      </w:tr>
      <w:tr w:rsidR="00B772E9" w:rsidRPr="00864C18" w14:paraId="6AC3DD7B" w14:textId="77777777" w:rsidTr="00595821">
        <w:tc>
          <w:tcPr>
            <w:tcW w:w="4672" w:type="dxa"/>
          </w:tcPr>
          <w:p w14:paraId="72A127B4" w14:textId="77777777" w:rsidR="00B772E9" w:rsidRPr="00864C18" w:rsidRDefault="00B772E9" w:rsidP="009F15D2">
            <w:pPr>
              <w:rPr>
                <w:b/>
                <w:sz w:val="20"/>
              </w:rPr>
            </w:pPr>
            <w:r w:rsidRPr="00864C18">
              <w:rPr>
                <w:b/>
                <w:sz w:val="20"/>
              </w:rPr>
              <w:t>1.8</w:t>
            </w:r>
          </w:p>
          <w:p w14:paraId="13D05355" w14:textId="336727BD" w:rsidR="00B772E9" w:rsidRPr="00864C18" w:rsidRDefault="00B772E9" w:rsidP="009F15D2">
            <w:pPr>
              <w:rPr>
                <w:b/>
                <w:sz w:val="20"/>
              </w:rPr>
            </w:pPr>
            <w:r w:rsidRPr="00864C18">
              <w:rPr>
                <w:b/>
                <w:sz w:val="20"/>
              </w:rPr>
              <w:t>§</w:t>
            </w:r>
            <w:r w:rsidR="003C5F8D" w:rsidRPr="00864C18">
              <w:rPr>
                <w:b/>
                <w:sz w:val="20"/>
              </w:rPr>
              <w:t xml:space="preserve"> </w:t>
            </w:r>
            <w:r w:rsidRPr="00864C18">
              <w:rPr>
                <w:b/>
                <w:sz w:val="20"/>
              </w:rPr>
              <w:t>7, stk. 2 – forsinket indsendelse af kontrakter, erklæringer, bilag m.v.</w:t>
            </w:r>
          </w:p>
          <w:p w14:paraId="0409A1A3" w14:textId="5EB93A92" w:rsidR="00B772E9" w:rsidRPr="00864C18" w:rsidRDefault="00B772E9" w:rsidP="009F15D2">
            <w:pPr>
              <w:rPr>
                <w:sz w:val="20"/>
              </w:rPr>
            </w:pPr>
            <w:r w:rsidRPr="00864C18">
              <w:rPr>
                <w:sz w:val="20"/>
              </w:rPr>
              <w:t>Landbrug &amp; Fødevarer mener, at det bør være muligt at eftersende bilag i ændringsperioden uden</w:t>
            </w:r>
            <w:r w:rsidR="0029173A" w:rsidRPr="00864C18">
              <w:rPr>
                <w:sz w:val="20"/>
              </w:rPr>
              <w:t xml:space="preserve"> </w:t>
            </w:r>
            <w:r w:rsidRPr="00864C18">
              <w:rPr>
                <w:sz w:val="20"/>
              </w:rPr>
              <w:t>procentvis støttereduktion for forsinket indsendelse af ansøgning, så længe der er indgivet</w:t>
            </w:r>
          </w:p>
          <w:p w14:paraId="63458DF8" w14:textId="008AA869" w:rsidR="00B772E9" w:rsidRPr="00864C18" w:rsidRDefault="00B772E9" w:rsidP="009F15D2">
            <w:pPr>
              <w:rPr>
                <w:sz w:val="20"/>
              </w:rPr>
            </w:pPr>
            <w:r w:rsidRPr="00864C18">
              <w:rPr>
                <w:sz w:val="20"/>
              </w:rPr>
              <w:t>ansøgning om støtte for den ordning, som bilagene vedrører inden ansøgningsfristen.</w:t>
            </w:r>
          </w:p>
        </w:tc>
        <w:tc>
          <w:tcPr>
            <w:tcW w:w="4673" w:type="dxa"/>
          </w:tcPr>
          <w:p w14:paraId="0827C2C9" w14:textId="77777777" w:rsidR="006905F5" w:rsidRDefault="006905F5" w:rsidP="006905F5">
            <w:pPr>
              <w:rPr>
                <w:i/>
                <w:sz w:val="20"/>
              </w:rPr>
            </w:pPr>
            <w:r>
              <w:rPr>
                <w:i/>
                <w:sz w:val="20"/>
              </w:rPr>
              <w:t>Bemærkningerne g</w:t>
            </w:r>
            <w:r w:rsidRPr="00864C18">
              <w:rPr>
                <w:i/>
                <w:sz w:val="20"/>
              </w:rPr>
              <w:t>iver ikke anledning til ændringer i bekendtgørelsen.</w:t>
            </w:r>
          </w:p>
          <w:p w14:paraId="46E7B9EF" w14:textId="77777777" w:rsidR="00091191" w:rsidRPr="00864C18" w:rsidRDefault="00091191" w:rsidP="009F15D2">
            <w:pPr>
              <w:rPr>
                <w:sz w:val="20"/>
              </w:rPr>
            </w:pPr>
          </w:p>
          <w:p w14:paraId="7E645954" w14:textId="7E3E8FC7" w:rsidR="00B772E9" w:rsidRPr="00864C18" w:rsidRDefault="00091191" w:rsidP="009F15D2">
            <w:pPr>
              <w:rPr>
                <w:i/>
                <w:sz w:val="20"/>
                <w:u w:val="single"/>
              </w:rPr>
            </w:pPr>
            <w:r w:rsidRPr="00864C18">
              <w:rPr>
                <w:sz w:val="20"/>
              </w:rPr>
              <w:t xml:space="preserve">Det følger af EU-reglerne, at fristen for indsendelse af ansøgninger også gælder for den dokumentation for tilskudsberettigelsen, som er en del af ansøgningen. </w:t>
            </w:r>
          </w:p>
        </w:tc>
      </w:tr>
      <w:tr w:rsidR="00B772E9" w:rsidRPr="00864C18" w14:paraId="37D2C2B7" w14:textId="77777777" w:rsidTr="00595821">
        <w:tc>
          <w:tcPr>
            <w:tcW w:w="4672" w:type="dxa"/>
          </w:tcPr>
          <w:p w14:paraId="4E7A3036" w14:textId="77777777" w:rsidR="00B772E9" w:rsidRPr="00864C18" w:rsidRDefault="00B772E9" w:rsidP="009F15D2">
            <w:pPr>
              <w:rPr>
                <w:b/>
                <w:sz w:val="20"/>
              </w:rPr>
            </w:pPr>
            <w:r w:rsidRPr="00864C18">
              <w:rPr>
                <w:b/>
                <w:sz w:val="20"/>
              </w:rPr>
              <w:t>1.9</w:t>
            </w:r>
          </w:p>
          <w:p w14:paraId="700FC399" w14:textId="77777777" w:rsidR="00B772E9" w:rsidRPr="00864C18" w:rsidRDefault="00B772E9" w:rsidP="009F15D2">
            <w:pPr>
              <w:rPr>
                <w:b/>
                <w:sz w:val="20"/>
              </w:rPr>
            </w:pPr>
            <w:r w:rsidRPr="00864C18">
              <w:rPr>
                <w:b/>
                <w:sz w:val="20"/>
              </w:rPr>
              <w:t>§ 7, stk. 7 – ejerskifteerklæring</w:t>
            </w:r>
          </w:p>
          <w:p w14:paraId="27CFACCF" w14:textId="77777777" w:rsidR="00B772E9" w:rsidRPr="00864C18" w:rsidRDefault="00B772E9" w:rsidP="009F15D2">
            <w:pPr>
              <w:rPr>
                <w:sz w:val="20"/>
              </w:rPr>
            </w:pPr>
            <w:r w:rsidRPr="00864C18">
              <w:rPr>
                <w:sz w:val="20"/>
              </w:rPr>
              <w:t>Landbrug &amp; Fødevarer vil gerne understrege, at det er vigtigt, at der tydeligt gøres opmærksom på</w:t>
            </w:r>
          </w:p>
          <w:p w14:paraId="65254E26" w14:textId="77777777" w:rsidR="00B772E9" w:rsidRPr="00864C18" w:rsidRDefault="00B772E9" w:rsidP="009F15D2">
            <w:pPr>
              <w:rPr>
                <w:sz w:val="20"/>
              </w:rPr>
            </w:pPr>
            <w:r w:rsidRPr="00864C18">
              <w:rPr>
                <w:sz w:val="20"/>
              </w:rPr>
              <w:t>reglerne om ejerskifteerklæring ifm. overdragelse af tilsagn om tilskud til fastholdelse.</w:t>
            </w:r>
          </w:p>
          <w:p w14:paraId="5B864488" w14:textId="08A4EBFE" w:rsidR="00B772E9" w:rsidRPr="00864C18" w:rsidRDefault="00B772E9" w:rsidP="009F15D2">
            <w:pPr>
              <w:rPr>
                <w:sz w:val="20"/>
              </w:rPr>
            </w:pPr>
            <w:r w:rsidRPr="00864C18">
              <w:rPr>
                <w:sz w:val="20"/>
              </w:rPr>
              <w:t>Det er ikke tydeligt for Landbrug &amp; Fødevarer, hvordan denne forpligtelse vil påvirke muligheden for</w:t>
            </w:r>
            <w:r w:rsidR="0029173A" w:rsidRPr="00864C18">
              <w:rPr>
                <w:sz w:val="20"/>
              </w:rPr>
              <w:t xml:space="preserve"> </w:t>
            </w:r>
            <w:r w:rsidRPr="00864C18">
              <w:rPr>
                <w:sz w:val="20"/>
              </w:rPr>
              <w:t>forpagtning af det pågældende areal. Det bør tydeliggøres om ovenstående forpligtelse påhviler</w:t>
            </w:r>
          </w:p>
          <w:p w14:paraId="31CA25F3" w14:textId="48FFEFEB" w:rsidR="00B772E9" w:rsidRPr="00864C18" w:rsidRDefault="00B772E9" w:rsidP="009F15D2">
            <w:pPr>
              <w:rPr>
                <w:b/>
                <w:sz w:val="20"/>
              </w:rPr>
            </w:pPr>
            <w:r w:rsidRPr="00864C18">
              <w:rPr>
                <w:sz w:val="20"/>
              </w:rPr>
              <w:t>ejer eller evt. forpagter.</w:t>
            </w:r>
          </w:p>
        </w:tc>
        <w:tc>
          <w:tcPr>
            <w:tcW w:w="4673" w:type="dxa"/>
          </w:tcPr>
          <w:p w14:paraId="71EE4070" w14:textId="77777777" w:rsidR="00953D12" w:rsidRDefault="00953D12" w:rsidP="00953D12">
            <w:pPr>
              <w:rPr>
                <w:i/>
                <w:sz w:val="20"/>
              </w:rPr>
            </w:pPr>
            <w:r>
              <w:rPr>
                <w:i/>
                <w:sz w:val="20"/>
              </w:rPr>
              <w:t>Bemærkningerne g</w:t>
            </w:r>
            <w:r w:rsidRPr="00864C18">
              <w:rPr>
                <w:i/>
                <w:sz w:val="20"/>
              </w:rPr>
              <w:t>iver ikke anledning til ændringer i bekendtgørelsen.</w:t>
            </w:r>
          </w:p>
          <w:p w14:paraId="029DF6CE" w14:textId="77777777" w:rsidR="00953D12" w:rsidRPr="00953D12" w:rsidRDefault="00953D12" w:rsidP="00953D12">
            <w:pPr>
              <w:rPr>
                <w:rFonts w:asciiTheme="minorHAnsi" w:hAnsiTheme="minorHAnsi"/>
                <w:i/>
                <w:sz w:val="20"/>
              </w:rPr>
            </w:pPr>
          </w:p>
          <w:p w14:paraId="0111F6C2" w14:textId="77777777" w:rsidR="00953D12" w:rsidRPr="00953D12" w:rsidRDefault="00953D12" w:rsidP="00953D12">
            <w:pPr>
              <w:rPr>
                <w:rFonts w:asciiTheme="minorHAnsi" w:hAnsiTheme="minorHAnsi"/>
                <w:sz w:val="20"/>
              </w:rPr>
            </w:pPr>
            <w:r w:rsidRPr="00953D12">
              <w:rPr>
                <w:rFonts w:asciiTheme="minorHAnsi" w:hAnsiTheme="minorHAnsi"/>
                <w:sz w:val="20"/>
              </w:rPr>
              <w:t>Det er vigtigt, at ejer indberetter arealet hvert år i tilsagnsperioden via fastholdelsesskemaet. Dette fremgår også af bekendtgørelsen om fastholdelse af arealer i vand- og klimaprojekter med tilhørende vejledning.</w:t>
            </w:r>
          </w:p>
          <w:p w14:paraId="2934339E" w14:textId="77777777" w:rsidR="00953D12" w:rsidRPr="00953D12" w:rsidRDefault="00953D12" w:rsidP="00953D12">
            <w:pPr>
              <w:rPr>
                <w:rFonts w:asciiTheme="minorHAnsi" w:hAnsiTheme="minorHAnsi"/>
                <w:sz w:val="20"/>
              </w:rPr>
            </w:pPr>
          </w:p>
          <w:p w14:paraId="52ACF548" w14:textId="24A2407D" w:rsidR="00953D12" w:rsidRPr="00953D12" w:rsidRDefault="00953D12" w:rsidP="00953D12">
            <w:pPr>
              <w:rPr>
                <w:rFonts w:asciiTheme="minorHAnsi" w:hAnsiTheme="minorHAnsi"/>
                <w:sz w:val="20"/>
              </w:rPr>
            </w:pPr>
            <w:r w:rsidRPr="00953D12">
              <w:rPr>
                <w:rFonts w:asciiTheme="minorHAnsi" w:hAnsiTheme="minorHAnsi"/>
                <w:sz w:val="20"/>
              </w:rPr>
              <w:t>Videre skal der indsendes ejerskifteerklæring</w:t>
            </w:r>
            <w:r w:rsidR="005544A8">
              <w:rPr>
                <w:rFonts w:asciiTheme="minorHAnsi" w:hAnsiTheme="minorHAnsi"/>
                <w:sz w:val="20"/>
              </w:rPr>
              <w:t>,</w:t>
            </w:r>
            <w:r w:rsidRPr="00953D12">
              <w:rPr>
                <w:rFonts w:asciiTheme="minorHAnsi" w:hAnsiTheme="minorHAnsi"/>
                <w:sz w:val="20"/>
              </w:rPr>
              <w:t xml:space="preserve"> hvis et areal overdrages i tilsagnsperioden. Sker det </w:t>
            </w:r>
            <w:r w:rsidRPr="00953D12">
              <w:rPr>
                <w:rFonts w:asciiTheme="minorHAnsi" w:hAnsiTheme="minorHAnsi"/>
                <w:sz w:val="20"/>
              </w:rPr>
              <w:lastRenderedPageBreak/>
              <w:t>ikke</w:t>
            </w:r>
            <w:r w:rsidR="005544A8">
              <w:rPr>
                <w:rFonts w:asciiTheme="minorHAnsi" w:hAnsiTheme="minorHAnsi"/>
                <w:sz w:val="20"/>
              </w:rPr>
              <w:t>,</w:t>
            </w:r>
            <w:r w:rsidRPr="00953D12">
              <w:rPr>
                <w:rFonts w:asciiTheme="minorHAnsi" w:hAnsiTheme="minorHAnsi"/>
                <w:sz w:val="20"/>
              </w:rPr>
              <w:t xml:space="preserve"> eller overtager modtager af arealet ikke tilsagnet, vil sælger/overdrager bliver pålagt tilbagebetaling af udbetalt tilskud for arealet for det/de år, hvor tilsagnet bortfalder.</w:t>
            </w:r>
          </w:p>
          <w:p w14:paraId="504A9D64" w14:textId="77777777" w:rsidR="00953D12" w:rsidRPr="00953D12" w:rsidRDefault="00953D12" w:rsidP="00953D12">
            <w:pPr>
              <w:rPr>
                <w:rFonts w:asciiTheme="minorHAnsi" w:hAnsiTheme="minorHAnsi"/>
                <w:sz w:val="20"/>
              </w:rPr>
            </w:pPr>
          </w:p>
          <w:p w14:paraId="5984D965" w14:textId="77777777" w:rsidR="00953D12" w:rsidRPr="00953D12" w:rsidRDefault="00953D12" w:rsidP="00953D12">
            <w:pPr>
              <w:rPr>
                <w:rFonts w:asciiTheme="minorHAnsi" w:hAnsiTheme="minorHAnsi"/>
                <w:i/>
                <w:sz w:val="20"/>
              </w:rPr>
            </w:pPr>
            <w:r w:rsidRPr="00953D12">
              <w:rPr>
                <w:rFonts w:asciiTheme="minorHAnsi" w:hAnsiTheme="minorHAnsi"/>
                <w:sz w:val="20"/>
              </w:rPr>
              <w:t>Ovenstående har ikke betydning for forpagtning af arealer, da dette alene vedrører indberetning fra ejer af arealet.</w:t>
            </w:r>
          </w:p>
          <w:p w14:paraId="331E98A5" w14:textId="764E8EBE" w:rsidR="00B772E9" w:rsidRPr="00953D12" w:rsidRDefault="00B772E9" w:rsidP="009F15D2">
            <w:pPr>
              <w:rPr>
                <w:i/>
                <w:sz w:val="20"/>
              </w:rPr>
            </w:pPr>
          </w:p>
        </w:tc>
      </w:tr>
      <w:tr w:rsidR="00B772E9" w:rsidRPr="00864C18" w14:paraId="0582B3F8" w14:textId="77777777" w:rsidTr="00595821">
        <w:tc>
          <w:tcPr>
            <w:tcW w:w="4672" w:type="dxa"/>
          </w:tcPr>
          <w:p w14:paraId="0205A96D" w14:textId="01A88D8C" w:rsidR="003C5F8D" w:rsidRPr="00864C18" w:rsidRDefault="003C5F8D" w:rsidP="009F15D2">
            <w:pPr>
              <w:rPr>
                <w:b/>
                <w:sz w:val="20"/>
              </w:rPr>
            </w:pPr>
            <w:r w:rsidRPr="00864C18">
              <w:rPr>
                <w:b/>
                <w:sz w:val="20"/>
              </w:rPr>
              <w:lastRenderedPageBreak/>
              <w:t>1.10</w:t>
            </w:r>
          </w:p>
          <w:p w14:paraId="462433EB" w14:textId="18474A9A" w:rsidR="00B772E9" w:rsidRPr="00864C18" w:rsidRDefault="00B772E9" w:rsidP="009F15D2">
            <w:pPr>
              <w:rPr>
                <w:b/>
                <w:sz w:val="20"/>
              </w:rPr>
            </w:pPr>
            <w:r w:rsidRPr="00864C18">
              <w:rPr>
                <w:b/>
                <w:sz w:val="20"/>
              </w:rPr>
              <w:t>§ 8, stk. 2 – nedsættelse ved manglende indberetning af landbrugsarealer</w:t>
            </w:r>
          </w:p>
          <w:p w14:paraId="75E89A62" w14:textId="77777777" w:rsidR="00B772E9" w:rsidRPr="00864C18" w:rsidRDefault="00B772E9" w:rsidP="009F15D2">
            <w:pPr>
              <w:rPr>
                <w:sz w:val="20"/>
              </w:rPr>
            </w:pPr>
            <w:r w:rsidRPr="00864C18">
              <w:rPr>
                <w:sz w:val="20"/>
              </w:rPr>
              <w:t>Der henvises til bemærkning under § 6, stk. 3. Det foreslås på baggrund heraf, at arealer med</w:t>
            </w:r>
          </w:p>
          <w:p w14:paraId="39049126" w14:textId="418A648C" w:rsidR="00B772E9" w:rsidRPr="00864C18" w:rsidRDefault="00B772E9" w:rsidP="009F15D2">
            <w:pPr>
              <w:rPr>
                <w:b/>
                <w:sz w:val="20"/>
              </w:rPr>
            </w:pPr>
            <w:r w:rsidRPr="00864C18">
              <w:rPr>
                <w:sz w:val="20"/>
              </w:rPr>
              <w:t>engangskompensation slet ikke omfattes af § 8.</w:t>
            </w:r>
            <w:r w:rsidRPr="00864C18">
              <w:rPr>
                <w:b/>
                <w:sz w:val="20"/>
              </w:rPr>
              <w:t xml:space="preserve"> </w:t>
            </w:r>
          </w:p>
        </w:tc>
        <w:tc>
          <w:tcPr>
            <w:tcW w:w="4673" w:type="dxa"/>
          </w:tcPr>
          <w:p w14:paraId="66F2BBE7" w14:textId="77777777" w:rsidR="003C5F8D" w:rsidRPr="00864C18" w:rsidRDefault="003C5F8D" w:rsidP="009F15D2">
            <w:pPr>
              <w:rPr>
                <w:i/>
                <w:sz w:val="20"/>
              </w:rPr>
            </w:pPr>
          </w:p>
          <w:p w14:paraId="7B62B937" w14:textId="77777777" w:rsidR="006905F5" w:rsidRDefault="006905F5" w:rsidP="006905F5">
            <w:pPr>
              <w:rPr>
                <w:i/>
                <w:sz w:val="20"/>
              </w:rPr>
            </w:pPr>
            <w:r>
              <w:rPr>
                <w:i/>
                <w:sz w:val="20"/>
              </w:rPr>
              <w:t>Bemærkningerne g</w:t>
            </w:r>
            <w:r w:rsidRPr="00864C18">
              <w:rPr>
                <w:i/>
                <w:sz w:val="20"/>
              </w:rPr>
              <w:t>iver ikke anledning til ændringer i bekendtgørelsen.</w:t>
            </w:r>
          </w:p>
          <w:p w14:paraId="78E557A7" w14:textId="77777777" w:rsidR="000D422D" w:rsidRPr="00864C18" w:rsidRDefault="000D422D" w:rsidP="009F15D2">
            <w:pPr>
              <w:rPr>
                <w:sz w:val="20"/>
                <w:u w:val="single"/>
              </w:rPr>
            </w:pPr>
            <w:r w:rsidRPr="00864C18">
              <w:rPr>
                <w:sz w:val="20"/>
                <w:u w:val="single"/>
              </w:rPr>
              <w:t xml:space="preserve"> </w:t>
            </w:r>
          </w:p>
          <w:p w14:paraId="2FA3D41A" w14:textId="44255A11" w:rsidR="00953D12" w:rsidRPr="00953D12" w:rsidRDefault="00953D12" w:rsidP="00953D12">
            <w:pPr>
              <w:rPr>
                <w:rFonts w:ascii="Times New Roman" w:hAnsi="Times New Roman"/>
                <w:sz w:val="24"/>
                <w:szCs w:val="24"/>
              </w:rPr>
            </w:pPr>
            <w:r w:rsidRPr="00953D12">
              <w:rPr>
                <w:rFonts w:asciiTheme="minorHAnsi" w:hAnsiTheme="minorHAnsi"/>
                <w:sz w:val="20"/>
              </w:rPr>
              <w:t>I fællesskema skal alle bedriftens landbrugsarealer indberettes af hensyn til kontrol af konditionalitet.</w:t>
            </w:r>
            <w:r w:rsidRPr="00953D12">
              <w:rPr>
                <w:rFonts w:ascii="Times New Roman" w:hAnsi="Times New Roman"/>
                <w:sz w:val="24"/>
                <w:szCs w:val="24"/>
              </w:rPr>
              <w:t xml:space="preserve"> </w:t>
            </w:r>
          </w:p>
          <w:p w14:paraId="7F4141B5" w14:textId="77777777" w:rsidR="00B772E9" w:rsidRPr="00864C18" w:rsidRDefault="00B772E9" w:rsidP="009F15D2">
            <w:pPr>
              <w:rPr>
                <w:i/>
                <w:sz w:val="20"/>
                <w:u w:val="single"/>
              </w:rPr>
            </w:pPr>
          </w:p>
        </w:tc>
      </w:tr>
      <w:tr w:rsidR="00B772E9" w:rsidRPr="00864C18" w14:paraId="0CE86262" w14:textId="77777777" w:rsidTr="00595821">
        <w:tc>
          <w:tcPr>
            <w:tcW w:w="4672" w:type="dxa"/>
          </w:tcPr>
          <w:p w14:paraId="693A75A3" w14:textId="77777777" w:rsidR="003C5F8D" w:rsidRPr="00864C18" w:rsidRDefault="003C5F8D" w:rsidP="009F15D2">
            <w:pPr>
              <w:rPr>
                <w:rFonts w:cs="Arial"/>
                <w:b/>
                <w:bCs/>
                <w:color w:val="000000"/>
                <w:sz w:val="20"/>
              </w:rPr>
            </w:pPr>
            <w:r w:rsidRPr="00864C18">
              <w:rPr>
                <w:rFonts w:cs="Arial"/>
                <w:b/>
                <w:bCs/>
                <w:color w:val="000000"/>
                <w:sz w:val="20"/>
              </w:rPr>
              <w:t>1.11</w:t>
            </w:r>
          </w:p>
          <w:p w14:paraId="590406C8" w14:textId="23E37CE0" w:rsidR="00B772E9" w:rsidRPr="00864C18" w:rsidRDefault="00B772E9" w:rsidP="009F15D2">
            <w:pPr>
              <w:rPr>
                <w:rFonts w:cs="Arial"/>
                <w:color w:val="000000"/>
                <w:sz w:val="20"/>
              </w:rPr>
            </w:pPr>
            <w:r w:rsidRPr="00864C18">
              <w:rPr>
                <w:rFonts w:cs="Arial"/>
                <w:b/>
                <w:bCs/>
                <w:color w:val="000000"/>
                <w:sz w:val="20"/>
              </w:rPr>
              <w:t xml:space="preserve">§ 9 og § 20 – sanktionssystem for ko- og slagtepræmie </w:t>
            </w:r>
          </w:p>
          <w:p w14:paraId="0A851D92" w14:textId="77777777" w:rsidR="00B772E9" w:rsidRPr="00864C18" w:rsidRDefault="00B772E9" w:rsidP="009F15D2">
            <w:pPr>
              <w:rPr>
                <w:rFonts w:cs="Arial"/>
                <w:color w:val="000000"/>
                <w:sz w:val="20"/>
              </w:rPr>
            </w:pPr>
            <w:r w:rsidRPr="00864C18">
              <w:rPr>
                <w:rFonts w:cs="Arial"/>
                <w:color w:val="000000"/>
                <w:sz w:val="20"/>
              </w:rPr>
              <w:t xml:space="preserve">Det er vigtigt, at sanktionssystemet fremadrettet indrettes mere proportionalt end det har været i indeværende reformperiode for eksempelvis slagtepræmieordningen, som er en lignende koblet støtteordning. Dette er efter Landbrug &amp; Fødevarers opfattelse muligt, da der i de nye regler for EU’s landbrugspolitik gives større frihed for medlemslandene til at tilrettelægge sanktionssystemerne. </w:t>
            </w:r>
          </w:p>
          <w:p w14:paraId="2FCC27A2" w14:textId="77777777" w:rsidR="00B772E9" w:rsidRPr="00864C18" w:rsidRDefault="00B772E9" w:rsidP="009F15D2">
            <w:pPr>
              <w:rPr>
                <w:rFonts w:cs="Arial"/>
                <w:color w:val="000000"/>
                <w:sz w:val="20"/>
              </w:rPr>
            </w:pPr>
            <w:r w:rsidRPr="00864C18">
              <w:rPr>
                <w:rFonts w:cs="Arial"/>
                <w:color w:val="000000"/>
                <w:sz w:val="20"/>
              </w:rPr>
              <w:t xml:space="preserve">Det er derfor med stor bekymring, at Landbrug &amp; Fødevarer nu kan konstatere, at der ikke er sket nogen ændringer af sanktionssystemet, som er sendt i høring i bekendtgørelse og vejledning om kontrol og administrative sanktioner. Det er det nuværende sanktionssystem for slagtepræmien, som er videreført til ko-præmieordningen og den fortsatte slagtepræmieordning. </w:t>
            </w:r>
          </w:p>
          <w:p w14:paraId="4619312A" w14:textId="77777777" w:rsidR="00B772E9" w:rsidRPr="00864C18" w:rsidRDefault="00B772E9" w:rsidP="009F15D2">
            <w:pPr>
              <w:rPr>
                <w:rFonts w:cs="Arial"/>
                <w:color w:val="000000"/>
                <w:sz w:val="20"/>
              </w:rPr>
            </w:pPr>
            <w:r w:rsidRPr="00864C18">
              <w:rPr>
                <w:rFonts w:cs="Arial"/>
                <w:color w:val="000000"/>
                <w:sz w:val="20"/>
              </w:rPr>
              <w:t xml:space="preserve">Særligt ser Landbrug &amp; Fødevarer beregningen af fejlprocenten som meget disproportional. Både for slagtepræmieordningen og for ko-præmien, ønskes det, at princippet for beregning af fejlprocenten ændres. Landbrug &amp; Fødevarer ønsker, at det kun er de dyr, der er behæftet med fejl i henholdsvis holdeperioden (slagtepræmien) og på ændringsfristen (ko-præmien), der indgår i beregningen af fejlprocenten. Dermed har landmanden mulighed for at rette op på fejl og kan derfor undgå administrative sanktioner i de tilfælde, hvor der er rettet op. </w:t>
            </w:r>
          </w:p>
          <w:p w14:paraId="4F8004C1" w14:textId="77777777" w:rsidR="00B772E9" w:rsidRPr="00864C18" w:rsidRDefault="00B772E9" w:rsidP="009F15D2">
            <w:pPr>
              <w:rPr>
                <w:rFonts w:cs="Arial"/>
                <w:color w:val="000000"/>
                <w:sz w:val="20"/>
              </w:rPr>
            </w:pPr>
            <w:r w:rsidRPr="00864C18">
              <w:rPr>
                <w:rFonts w:cs="Arial"/>
                <w:color w:val="000000"/>
                <w:sz w:val="20"/>
              </w:rPr>
              <w:lastRenderedPageBreak/>
              <w:t xml:space="preserve">Et eksempel på, hvordan beregningen dermed ændres, kan tage udgangspunkt i eksempel 3 om ko-præmien, på side 34 i vejledningen om kontrol og administrative sanktioner. </w:t>
            </w:r>
          </w:p>
          <w:p w14:paraId="50AF28A5" w14:textId="2286F36C" w:rsidR="00B772E9" w:rsidRPr="00864C18" w:rsidRDefault="00B772E9" w:rsidP="003C5F8D">
            <w:pPr>
              <w:rPr>
                <w:b/>
                <w:sz w:val="20"/>
              </w:rPr>
            </w:pPr>
            <w:r w:rsidRPr="00864C18">
              <w:rPr>
                <w:rFonts w:cs="Arial"/>
                <w:color w:val="000000"/>
                <w:sz w:val="20"/>
              </w:rPr>
              <w:t xml:space="preserve">I eksemplet konstateres der 10 køer med fejl, hvoraf de 8 køer med fejl er rettet inden ændringsfristen. Fejlprocenten beregnes ud fra de 10 køer. Landbrug &amp; Fødevarer ønsker, at princippet ændres, så fejlprocenten i stedet beregnes ud fra de 2 køer, der fortsat er fejlbehæftet ved ændringsfristen. Dette vil i det konkrete tilfælde reducere fejlprocenten fra 5 pct. til 1 </w:t>
            </w:r>
            <w:proofErr w:type="spellStart"/>
            <w:r w:rsidRPr="00864C18">
              <w:rPr>
                <w:rFonts w:cs="Arial"/>
                <w:color w:val="000000"/>
                <w:sz w:val="20"/>
              </w:rPr>
              <w:t>pct</w:t>
            </w:r>
            <w:proofErr w:type="spellEnd"/>
            <w:r w:rsidRPr="00864C18">
              <w:rPr>
                <w:rFonts w:cs="Arial"/>
                <w:color w:val="000000"/>
                <w:sz w:val="20"/>
              </w:rPr>
              <w:t xml:space="preserve"> – og antallet af fejlbehæftede dyr vil være under 3 dyr – så overtrædelsen vil ikke udløse en sanktion. </w:t>
            </w:r>
          </w:p>
        </w:tc>
        <w:tc>
          <w:tcPr>
            <w:tcW w:w="4673" w:type="dxa"/>
          </w:tcPr>
          <w:p w14:paraId="1802125B" w14:textId="77777777" w:rsidR="003C5F8D" w:rsidRPr="00864C18" w:rsidRDefault="003C5F8D" w:rsidP="009F15D2">
            <w:pPr>
              <w:rPr>
                <w:i/>
                <w:sz w:val="20"/>
              </w:rPr>
            </w:pPr>
          </w:p>
          <w:p w14:paraId="61659746" w14:textId="77777777" w:rsidR="006905F5" w:rsidRDefault="006905F5" w:rsidP="006905F5">
            <w:pPr>
              <w:rPr>
                <w:i/>
                <w:sz w:val="20"/>
              </w:rPr>
            </w:pPr>
            <w:r>
              <w:rPr>
                <w:i/>
                <w:sz w:val="20"/>
              </w:rPr>
              <w:t>Bemærkningerne g</w:t>
            </w:r>
            <w:r w:rsidRPr="00864C18">
              <w:rPr>
                <w:i/>
                <w:sz w:val="20"/>
              </w:rPr>
              <w:t>iver ikke anledning til ændringer i bekendtgørelsen.</w:t>
            </w:r>
          </w:p>
          <w:p w14:paraId="19333E1F" w14:textId="11693A4A" w:rsidR="00091191" w:rsidRPr="00864C18" w:rsidRDefault="00091191" w:rsidP="009F15D2">
            <w:pPr>
              <w:rPr>
                <w:i/>
                <w:sz w:val="20"/>
              </w:rPr>
            </w:pPr>
          </w:p>
          <w:p w14:paraId="6AB71688" w14:textId="14E18082" w:rsidR="00B772E9" w:rsidRPr="00864C18" w:rsidRDefault="00091191" w:rsidP="009F15D2">
            <w:pPr>
              <w:rPr>
                <w:i/>
                <w:sz w:val="20"/>
                <w:u w:val="single"/>
              </w:rPr>
            </w:pPr>
            <w:r w:rsidRPr="00864C18">
              <w:rPr>
                <w:sz w:val="20"/>
              </w:rPr>
              <w:t xml:space="preserve">Sanktionssystemet for dyreordningerne, herunder beregning af fejlprocent, er baseret på det kendte og i forvejen anvendte sanktionssystem. Dette sanktionssystem har sikret tilstrækkelig beskyttelse af EU's finansielle interesser samt en lav fejlprocent på dyreordningerne. Kravene til identifikation og registrering af kvæg under ko-og slagtepræmieordningerne adskiller sig ikke fra kravene i den nationale lovgivning for mærkning &amp; registrering, hvorfor det må forventes, at ansøgerne er fortrolige med disse forhold. Der er i slagtepræmieordningen mulighed for at rette op på fejl inden starten af ny holdeperiode, og under ko-præmien kan der rettes fejl frem til ændringsfristen. Dermed er der for begge tilskudsordninger stadig mulighed for at opnå tilskud på trods af fejl. Ved at lempe yderligere på muligheden for at rette op på fejl, således at der kan undgås administrative sanktioner, vil der ikke være en afskrækkende virkning, fordi landbrugeren vil kunne spekulere i at foretage forkert indberetning uden reel opdagelsesrisiko. Med tanke på sikring af korrekte udbetalinger vurderer Landbrugsstyrelsen ikke, at det er hensigtsmæssigt at ændre på princippet for beregning af administrative sanktioner. </w:t>
            </w:r>
          </w:p>
        </w:tc>
      </w:tr>
      <w:tr w:rsidR="00B772E9" w:rsidRPr="00864C18" w14:paraId="7CC1844B" w14:textId="77777777" w:rsidTr="00595821">
        <w:tc>
          <w:tcPr>
            <w:tcW w:w="4672" w:type="dxa"/>
          </w:tcPr>
          <w:p w14:paraId="11904012" w14:textId="77777777" w:rsidR="00B772E9" w:rsidRPr="00864C18" w:rsidRDefault="00B772E9" w:rsidP="009F15D2">
            <w:pPr>
              <w:rPr>
                <w:b/>
                <w:sz w:val="20"/>
              </w:rPr>
            </w:pPr>
            <w:r w:rsidRPr="00864C18">
              <w:rPr>
                <w:b/>
                <w:sz w:val="20"/>
              </w:rPr>
              <w:lastRenderedPageBreak/>
              <w:t>1.12</w:t>
            </w:r>
          </w:p>
          <w:p w14:paraId="6314BCB0" w14:textId="77777777" w:rsidR="00B772E9" w:rsidRPr="00864C18" w:rsidRDefault="00B772E9" w:rsidP="009F15D2">
            <w:pPr>
              <w:rPr>
                <w:b/>
                <w:sz w:val="20"/>
              </w:rPr>
            </w:pPr>
            <w:r w:rsidRPr="00864C18">
              <w:rPr>
                <w:b/>
                <w:sz w:val="20"/>
              </w:rPr>
              <w:t>§ 14 stk. 2 – Force majeure og usædvanlige omstændigheder</w:t>
            </w:r>
          </w:p>
          <w:p w14:paraId="2D97900B" w14:textId="77777777" w:rsidR="00B772E9" w:rsidRPr="00864C18" w:rsidRDefault="00B772E9" w:rsidP="009F15D2">
            <w:pPr>
              <w:rPr>
                <w:sz w:val="20"/>
              </w:rPr>
            </w:pPr>
            <w:r w:rsidRPr="00864C18">
              <w:rPr>
                <w:sz w:val="20"/>
              </w:rPr>
              <w:t>Det fremgår af §14 stk. 2, at der foretages en proportionel reduktion af tilskuddet for de dele af</w:t>
            </w:r>
          </w:p>
          <w:p w14:paraId="2A7DC340" w14:textId="77777777" w:rsidR="00B772E9" w:rsidRPr="00864C18" w:rsidRDefault="00B772E9" w:rsidP="009F15D2">
            <w:pPr>
              <w:rPr>
                <w:sz w:val="20"/>
              </w:rPr>
            </w:pPr>
            <w:r w:rsidRPr="00864C18">
              <w:rPr>
                <w:sz w:val="20"/>
              </w:rPr>
              <w:t>forpligtelsen, for hvilke der ikke er påløbet direkte eller indirekte omkostninger eller indtægtstab</w:t>
            </w:r>
          </w:p>
          <w:p w14:paraId="35B82C24" w14:textId="77777777" w:rsidR="00B772E9" w:rsidRPr="00864C18" w:rsidRDefault="00B772E9" w:rsidP="009F15D2">
            <w:pPr>
              <w:rPr>
                <w:sz w:val="20"/>
              </w:rPr>
            </w:pPr>
            <w:r w:rsidRPr="00864C18">
              <w:rPr>
                <w:sz w:val="20"/>
              </w:rPr>
              <w:t>inden force majeure eller de usædvanlige omstændigheder indtraf.</w:t>
            </w:r>
          </w:p>
          <w:p w14:paraId="75823C43" w14:textId="77777777" w:rsidR="00B772E9" w:rsidRPr="00864C18" w:rsidRDefault="00B772E9" w:rsidP="009F15D2">
            <w:pPr>
              <w:rPr>
                <w:sz w:val="20"/>
              </w:rPr>
            </w:pPr>
            <w:r w:rsidRPr="00864C18">
              <w:rPr>
                <w:sz w:val="20"/>
              </w:rPr>
              <w:t>Landbrug &amp; Fødevarer mener, at bestemmelsen skal ændres, så der ikke er hjemmel til</w:t>
            </w:r>
          </w:p>
          <w:p w14:paraId="204ED8B8" w14:textId="77777777" w:rsidR="00B772E9" w:rsidRPr="00864C18" w:rsidRDefault="00B772E9" w:rsidP="009F15D2">
            <w:pPr>
              <w:rPr>
                <w:sz w:val="20"/>
              </w:rPr>
            </w:pPr>
            <w:r w:rsidRPr="00864C18">
              <w:rPr>
                <w:sz w:val="20"/>
              </w:rPr>
              <w:t>tilbagetrækning af tilskud, hvis der anerkendes force majeure. Således bør det være muligt for</w:t>
            </w:r>
          </w:p>
          <w:p w14:paraId="6A81B5A5" w14:textId="0BDCC06C" w:rsidR="00B772E9" w:rsidRPr="00864C18" w:rsidRDefault="00B772E9" w:rsidP="009F15D2">
            <w:pPr>
              <w:rPr>
                <w:b/>
                <w:sz w:val="20"/>
              </w:rPr>
            </w:pPr>
            <w:r w:rsidRPr="00864C18">
              <w:rPr>
                <w:sz w:val="20"/>
              </w:rPr>
              <w:t>landbrugeren at bibeholde det fulde tilskud, hvis force majeure anerkendes.</w:t>
            </w:r>
          </w:p>
        </w:tc>
        <w:tc>
          <w:tcPr>
            <w:tcW w:w="4673" w:type="dxa"/>
          </w:tcPr>
          <w:p w14:paraId="4979B22F" w14:textId="77777777" w:rsidR="003C5F8D" w:rsidRPr="00864C18" w:rsidRDefault="003C5F8D" w:rsidP="009F15D2">
            <w:pPr>
              <w:rPr>
                <w:i/>
                <w:sz w:val="20"/>
              </w:rPr>
            </w:pPr>
          </w:p>
          <w:p w14:paraId="0CEDE4E7" w14:textId="77777777" w:rsidR="006905F5" w:rsidRDefault="006905F5" w:rsidP="006905F5">
            <w:pPr>
              <w:rPr>
                <w:i/>
                <w:sz w:val="20"/>
              </w:rPr>
            </w:pPr>
            <w:r>
              <w:rPr>
                <w:i/>
                <w:sz w:val="20"/>
              </w:rPr>
              <w:t>Bemærkningerne g</w:t>
            </w:r>
            <w:r w:rsidRPr="00864C18">
              <w:rPr>
                <w:i/>
                <w:sz w:val="20"/>
              </w:rPr>
              <w:t>iver ikke anledning til ændringer i bekendtgørelsen.</w:t>
            </w:r>
          </w:p>
          <w:p w14:paraId="5442F143" w14:textId="77777777" w:rsidR="00091191" w:rsidRPr="00864C18" w:rsidRDefault="00091191" w:rsidP="009F15D2">
            <w:pPr>
              <w:rPr>
                <w:sz w:val="20"/>
              </w:rPr>
            </w:pPr>
          </w:p>
          <w:p w14:paraId="0D226D23" w14:textId="272E7813" w:rsidR="00091191" w:rsidRPr="00864C18" w:rsidRDefault="00091191" w:rsidP="009F15D2">
            <w:pPr>
              <w:rPr>
                <w:i/>
                <w:sz w:val="20"/>
                <w:u w:val="single"/>
              </w:rPr>
            </w:pPr>
            <w:r w:rsidRPr="00864C18">
              <w:rPr>
                <w:sz w:val="20"/>
              </w:rPr>
              <w:t>Udgangspunktet for § 14 er, at ansøger skal stilles økonomisk, som hvis force majeure eller de ekstraordinære omstændigheder ikke var indtruffet. For bio-ordninger er tilskuddet beregnet på grundlag af ekstraomkostninger, som ansøger har måttet afholde, og tabt indkomst som følger af de forpligtelser, der gælder for bio-ordningen. For ikke at stille ansøger bedre i tilfælde af force majeure eller ekstraordinære omstændigheder end i tilfælde, hvor begivenhederne ikke var indtruffet, reduceres tilskuddet til et beløb, der svarer til de faktisk afholdte ekstraomkostninger, som ansøger har nået at afholde, samt tabt indkomst som følge af de påtagne forpligtelser.</w:t>
            </w:r>
          </w:p>
          <w:p w14:paraId="70117CCB" w14:textId="77777777" w:rsidR="00091191" w:rsidRPr="00864C18" w:rsidRDefault="00091191" w:rsidP="009F15D2">
            <w:pPr>
              <w:rPr>
                <w:sz w:val="20"/>
              </w:rPr>
            </w:pPr>
          </w:p>
          <w:p w14:paraId="0C1D0862" w14:textId="69ED7B65" w:rsidR="00091191" w:rsidRPr="00864C18" w:rsidRDefault="00091191" w:rsidP="009F15D2">
            <w:pPr>
              <w:rPr>
                <w:sz w:val="20"/>
              </w:rPr>
            </w:pPr>
          </w:p>
          <w:p w14:paraId="56A3B113" w14:textId="77777777" w:rsidR="00B772E9" w:rsidRPr="00864C18" w:rsidRDefault="00B772E9" w:rsidP="009F15D2">
            <w:pPr>
              <w:rPr>
                <w:sz w:val="20"/>
              </w:rPr>
            </w:pPr>
          </w:p>
        </w:tc>
      </w:tr>
      <w:tr w:rsidR="00B772E9" w:rsidRPr="00864C18" w14:paraId="40110C7E" w14:textId="77777777" w:rsidTr="00595821">
        <w:tc>
          <w:tcPr>
            <w:tcW w:w="4672" w:type="dxa"/>
          </w:tcPr>
          <w:p w14:paraId="478A1A32" w14:textId="77777777" w:rsidR="00B772E9" w:rsidRPr="00864C18" w:rsidRDefault="00B772E9" w:rsidP="009F15D2">
            <w:pPr>
              <w:rPr>
                <w:b/>
                <w:sz w:val="20"/>
              </w:rPr>
            </w:pPr>
            <w:r w:rsidRPr="00864C18">
              <w:rPr>
                <w:b/>
                <w:sz w:val="20"/>
              </w:rPr>
              <w:t>1.13</w:t>
            </w:r>
          </w:p>
          <w:p w14:paraId="23B1851C" w14:textId="77777777" w:rsidR="00B772E9" w:rsidRPr="00864C18" w:rsidRDefault="00B772E9" w:rsidP="009F15D2">
            <w:pPr>
              <w:rPr>
                <w:sz w:val="20"/>
              </w:rPr>
            </w:pPr>
            <w:r w:rsidRPr="00864C18">
              <w:rPr>
                <w:sz w:val="20"/>
              </w:rPr>
              <w:t>19, stk. 1 – administrative sanktioner for tilskudsordninger, der understøtter miljø, klima</w:t>
            </w:r>
          </w:p>
          <w:p w14:paraId="6C4C3958" w14:textId="77777777" w:rsidR="00B772E9" w:rsidRPr="00864C18" w:rsidRDefault="00B772E9" w:rsidP="009F15D2">
            <w:pPr>
              <w:rPr>
                <w:sz w:val="20"/>
              </w:rPr>
            </w:pPr>
            <w:r w:rsidRPr="00864C18">
              <w:rPr>
                <w:sz w:val="20"/>
              </w:rPr>
              <w:t>og biodiversitet</w:t>
            </w:r>
          </w:p>
          <w:p w14:paraId="4340CB52" w14:textId="77777777" w:rsidR="00B772E9" w:rsidRPr="00864C18" w:rsidRDefault="00B772E9" w:rsidP="009F15D2">
            <w:pPr>
              <w:rPr>
                <w:sz w:val="20"/>
              </w:rPr>
            </w:pPr>
            <w:r w:rsidRPr="00864C18">
              <w:rPr>
                <w:sz w:val="20"/>
              </w:rPr>
              <w:t>Landbrug &amp; Fødevarer mener, at det er positivt, at de tre nye tilskudsordninger</w:t>
            </w:r>
          </w:p>
          <w:p w14:paraId="27C4E76D" w14:textId="77777777" w:rsidR="00B772E9" w:rsidRPr="00864C18" w:rsidRDefault="00B772E9" w:rsidP="009F15D2">
            <w:pPr>
              <w:rPr>
                <w:sz w:val="20"/>
              </w:rPr>
            </w:pPr>
            <w:r w:rsidRPr="00864C18">
              <w:rPr>
                <w:sz w:val="20"/>
              </w:rPr>
              <w:t>(plejegræsordningen, kvælstofreducerende virkemidler og engangskompensation), der nu er</w:t>
            </w:r>
          </w:p>
          <w:p w14:paraId="47EF03E2" w14:textId="77777777" w:rsidR="00B772E9" w:rsidRPr="00864C18" w:rsidRDefault="00B772E9" w:rsidP="009F15D2">
            <w:pPr>
              <w:rPr>
                <w:sz w:val="20"/>
              </w:rPr>
            </w:pPr>
            <w:r w:rsidRPr="00864C18">
              <w:rPr>
                <w:sz w:val="20"/>
              </w:rPr>
              <w:t>omfattet af denne bekendtgørelse, bliver sanktioneret efter § 19, stk. 1, da beregningen af</w:t>
            </w:r>
          </w:p>
          <w:p w14:paraId="3774D34A" w14:textId="77777777" w:rsidR="00B772E9" w:rsidRPr="00864C18" w:rsidRDefault="00B772E9" w:rsidP="009F15D2">
            <w:pPr>
              <w:rPr>
                <w:sz w:val="20"/>
              </w:rPr>
            </w:pPr>
            <w:r w:rsidRPr="00864C18">
              <w:rPr>
                <w:sz w:val="20"/>
              </w:rPr>
              <w:t>sanktionsprocenten her er lempet sammenlignet med de tilsvarende tidligere ordninger i</w:t>
            </w:r>
          </w:p>
          <w:p w14:paraId="17DA7DB9" w14:textId="77777777" w:rsidR="00B772E9" w:rsidRPr="00864C18" w:rsidRDefault="00B772E9" w:rsidP="009F15D2">
            <w:pPr>
              <w:rPr>
                <w:sz w:val="20"/>
              </w:rPr>
            </w:pPr>
            <w:r w:rsidRPr="00864C18">
              <w:rPr>
                <w:sz w:val="20"/>
              </w:rPr>
              <w:t>landdistriktsprogramment.</w:t>
            </w:r>
          </w:p>
          <w:p w14:paraId="3415F2C2" w14:textId="77777777" w:rsidR="00B772E9" w:rsidRPr="00864C18" w:rsidRDefault="00B772E9" w:rsidP="009F15D2">
            <w:pPr>
              <w:rPr>
                <w:sz w:val="20"/>
              </w:rPr>
            </w:pPr>
            <w:r w:rsidRPr="00864C18">
              <w:rPr>
                <w:sz w:val="20"/>
              </w:rPr>
              <w:lastRenderedPageBreak/>
              <w:t>Det er dog overordnet set svært at gennemskue, om beregningen af vægtningsfaktorerne for de</w:t>
            </w:r>
          </w:p>
          <w:p w14:paraId="550503DA" w14:textId="52D7B6EB" w:rsidR="00B772E9" w:rsidRPr="00864C18" w:rsidRDefault="00B772E9" w:rsidP="009F15D2">
            <w:pPr>
              <w:rPr>
                <w:sz w:val="20"/>
              </w:rPr>
            </w:pPr>
            <w:r w:rsidRPr="00864C18">
              <w:rPr>
                <w:sz w:val="20"/>
              </w:rPr>
              <w:t>enkelte overtrædelser (jf. bilagene til bekendtgørelsen) er justeret. Det er vigtigt, at disse</w:t>
            </w:r>
            <w:r w:rsidR="003C5F8D" w:rsidRPr="00864C18">
              <w:rPr>
                <w:sz w:val="20"/>
              </w:rPr>
              <w:t xml:space="preserve"> </w:t>
            </w:r>
            <w:r w:rsidRPr="00864C18">
              <w:rPr>
                <w:sz w:val="20"/>
              </w:rPr>
              <w:t>vægtningsfaktorer ikke skærpes.</w:t>
            </w:r>
          </w:p>
          <w:p w14:paraId="056EB3B8" w14:textId="3604DE38" w:rsidR="00B772E9" w:rsidRPr="00864C18" w:rsidRDefault="00B772E9" w:rsidP="009F15D2">
            <w:pPr>
              <w:rPr>
                <w:sz w:val="20"/>
              </w:rPr>
            </w:pPr>
            <w:r w:rsidRPr="00864C18">
              <w:rPr>
                <w:sz w:val="20"/>
              </w:rPr>
              <w:t>Særligt for den nye ordning for engangskompensation (fastholdelse), er der dog samlet set lagt op</w:t>
            </w:r>
            <w:r w:rsidR="003C5F8D" w:rsidRPr="00864C18">
              <w:rPr>
                <w:sz w:val="20"/>
              </w:rPr>
              <w:t xml:space="preserve"> </w:t>
            </w:r>
            <w:r w:rsidRPr="00864C18">
              <w:rPr>
                <w:sz w:val="20"/>
              </w:rPr>
              <w:t>til en væsentlig højere sanktion, hvis en ansøger overtræder en af tilsagnsforpligtelserne i et givent</w:t>
            </w:r>
            <w:r w:rsidR="003C5F8D" w:rsidRPr="00864C18">
              <w:rPr>
                <w:sz w:val="20"/>
              </w:rPr>
              <w:t xml:space="preserve"> </w:t>
            </w:r>
            <w:r w:rsidRPr="00864C18">
              <w:rPr>
                <w:sz w:val="20"/>
              </w:rPr>
              <w:t>år indenfor tilsagnsperioden.</w:t>
            </w:r>
          </w:p>
          <w:p w14:paraId="02F1526B" w14:textId="77777777" w:rsidR="00B772E9" w:rsidRPr="00864C18" w:rsidRDefault="00B772E9" w:rsidP="009F15D2">
            <w:pPr>
              <w:rPr>
                <w:sz w:val="20"/>
              </w:rPr>
            </w:pPr>
            <w:r w:rsidRPr="00864C18">
              <w:rPr>
                <w:sz w:val="20"/>
              </w:rPr>
              <w:t>Et eksempel kunne være følgende:</w:t>
            </w:r>
          </w:p>
          <w:p w14:paraId="7EF38BAA" w14:textId="77777777" w:rsidR="00B772E9" w:rsidRPr="00864C18" w:rsidRDefault="00B772E9" w:rsidP="009F15D2">
            <w:pPr>
              <w:rPr>
                <w:sz w:val="20"/>
              </w:rPr>
            </w:pPr>
            <w:r w:rsidRPr="00864C18">
              <w:rPr>
                <w:sz w:val="20"/>
              </w:rPr>
              <w:t>Der er tilsagn i projektet til i alt 13,3 hektar. Ved en fejl får ansøgeren tilført gødning til 2 ha i</w:t>
            </w:r>
          </w:p>
          <w:p w14:paraId="6041ECD3" w14:textId="77777777" w:rsidR="00B772E9" w:rsidRPr="00864C18" w:rsidRDefault="00B772E9" w:rsidP="009F15D2">
            <w:pPr>
              <w:rPr>
                <w:sz w:val="20"/>
              </w:rPr>
            </w:pPr>
            <w:r w:rsidRPr="00864C18">
              <w:rPr>
                <w:sz w:val="20"/>
              </w:rPr>
              <w:t>projektarealet, dvs., at 15 pct. af projektarealet er i støtteåret behæftet med fejl.</w:t>
            </w:r>
          </w:p>
          <w:p w14:paraId="5C2732FE" w14:textId="77777777" w:rsidR="00B772E9" w:rsidRPr="00864C18" w:rsidRDefault="00B772E9" w:rsidP="009F15D2">
            <w:pPr>
              <w:rPr>
                <w:sz w:val="20"/>
              </w:rPr>
            </w:pPr>
            <w:r w:rsidRPr="00864C18">
              <w:rPr>
                <w:sz w:val="20"/>
              </w:rPr>
              <w:t>Både under 20-årig fastholdelse og under engangskompensation har dette en vægtningsfaktor på</w:t>
            </w:r>
          </w:p>
          <w:p w14:paraId="7BDADB85" w14:textId="77777777" w:rsidR="00B772E9" w:rsidRPr="00864C18" w:rsidRDefault="00B772E9" w:rsidP="009F15D2">
            <w:pPr>
              <w:rPr>
                <w:sz w:val="20"/>
              </w:rPr>
            </w:pPr>
            <w:r w:rsidRPr="00864C18">
              <w:rPr>
                <w:sz w:val="20"/>
              </w:rPr>
              <w:t>1,0.</w:t>
            </w:r>
          </w:p>
          <w:p w14:paraId="1220DB5C" w14:textId="77777777" w:rsidR="00B772E9" w:rsidRPr="00864C18" w:rsidRDefault="00B772E9" w:rsidP="009F15D2">
            <w:pPr>
              <w:rPr>
                <w:sz w:val="20"/>
              </w:rPr>
            </w:pPr>
          </w:p>
          <w:p w14:paraId="760199B8" w14:textId="77777777" w:rsidR="00A05F60" w:rsidRPr="00864C18" w:rsidRDefault="00A05F60" w:rsidP="009F15D2">
            <w:pPr>
              <w:rPr>
                <w:sz w:val="20"/>
              </w:rPr>
            </w:pPr>
            <w:r w:rsidRPr="00864C18">
              <w:rPr>
                <w:sz w:val="20"/>
              </w:rPr>
              <w:t>Den samme overtrædelse har derfor en markant større konsekvens under den nye ordning for</w:t>
            </w:r>
          </w:p>
          <w:p w14:paraId="36730DF9" w14:textId="77777777" w:rsidR="00A05F60" w:rsidRPr="00864C18" w:rsidRDefault="00A05F60" w:rsidP="009F15D2">
            <w:pPr>
              <w:rPr>
                <w:sz w:val="20"/>
              </w:rPr>
            </w:pPr>
            <w:r w:rsidRPr="00864C18">
              <w:rPr>
                <w:sz w:val="20"/>
              </w:rPr>
              <w:t>engangskompensation. Dette er i Landbrug &amp; Fødevarers øjne ikke proportionalt, og derfor bør</w:t>
            </w:r>
          </w:p>
          <w:p w14:paraId="76EBD31C" w14:textId="77777777" w:rsidR="00A05F60" w:rsidRPr="00864C18" w:rsidRDefault="00A05F60" w:rsidP="009F15D2">
            <w:pPr>
              <w:rPr>
                <w:sz w:val="20"/>
              </w:rPr>
            </w:pPr>
            <w:r w:rsidRPr="00864C18">
              <w:rPr>
                <w:sz w:val="20"/>
              </w:rPr>
              <w:t>sanktionerne lempes yderligere.</w:t>
            </w:r>
          </w:p>
          <w:p w14:paraId="500EC837" w14:textId="77777777" w:rsidR="00A05F60" w:rsidRPr="00864C18" w:rsidRDefault="00A05F60" w:rsidP="009F15D2">
            <w:pPr>
              <w:rPr>
                <w:sz w:val="20"/>
              </w:rPr>
            </w:pPr>
            <w:r w:rsidRPr="00864C18">
              <w:rPr>
                <w:sz w:val="20"/>
              </w:rPr>
              <w:t>Landbrug &amp; Fødevarer kan ikke umiddelbart følge, hvorvidt man risikerer, at en anden form for</w:t>
            </w:r>
          </w:p>
          <w:p w14:paraId="6223C750" w14:textId="77777777" w:rsidR="00A05F60" w:rsidRPr="00864C18" w:rsidRDefault="00A05F60" w:rsidP="009F15D2">
            <w:pPr>
              <w:rPr>
                <w:sz w:val="20"/>
              </w:rPr>
            </w:pPr>
            <w:r w:rsidRPr="00864C18">
              <w:rPr>
                <w:sz w:val="20"/>
              </w:rPr>
              <w:t>kontrol - efter tilsagnsperiodens udløb - får konsekvenser tilbage i tid til forhold under</w:t>
            </w:r>
          </w:p>
          <w:p w14:paraId="11A22008" w14:textId="77777777" w:rsidR="00A05F60" w:rsidRPr="00864C18" w:rsidRDefault="00A05F60" w:rsidP="009F15D2">
            <w:pPr>
              <w:rPr>
                <w:sz w:val="20"/>
              </w:rPr>
            </w:pPr>
            <w:proofErr w:type="spellStart"/>
            <w:r w:rsidRPr="00864C18">
              <w:rPr>
                <w:sz w:val="20"/>
              </w:rPr>
              <w:t>tilsagsnperioden</w:t>
            </w:r>
            <w:proofErr w:type="spellEnd"/>
            <w:r w:rsidRPr="00864C18">
              <w:rPr>
                <w:sz w:val="20"/>
              </w:rPr>
              <w:t>. Hvad sker der, hvis man i år 6 konstaterer et forhold, der i tilsagnsår 5, ville have</w:t>
            </w:r>
          </w:p>
          <w:p w14:paraId="13B38FD3" w14:textId="77777777" w:rsidR="00A05F60" w:rsidRPr="00864C18" w:rsidRDefault="00A05F60" w:rsidP="009F15D2">
            <w:pPr>
              <w:rPr>
                <w:sz w:val="20"/>
              </w:rPr>
            </w:pPr>
            <w:r w:rsidRPr="00864C18">
              <w:rPr>
                <w:sz w:val="20"/>
              </w:rPr>
              <w:t>udgjort en overtrædelse (og som kan dokumenteres tilbage til år 5)?</w:t>
            </w:r>
          </w:p>
          <w:p w14:paraId="61607333" w14:textId="659DC152" w:rsidR="00A05F60" w:rsidRPr="00864C18" w:rsidRDefault="00A05F60" w:rsidP="009F15D2">
            <w:pPr>
              <w:rPr>
                <w:sz w:val="20"/>
              </w:rPr>
            </w:pPr>
            <w:r w:rsidRPr="00864C18">
              <w:rPr>
                <w:sz w:val="20"/>
              </w:rPr>
              <w:t>Der er i øvrigt et potentielt misforhold i forhold til revidering af tilsagn og servitutforpligtelser, hvilket</w:t>
            </w:r>
            <w:r w:rsidR="003C5F8D" w:rsidRPr="00864C18">
              <w:rPr>
                <w:sz w:val="20"/>
              </w:rPr>
              <w:t xml:space="preserve"> </w:t>
            </w:r>
            <w:r w:rsidRPr="00864C18">
              <w:rPr>
                <w:sz w:val="20"/>
              </w:rPr>
              <w:t>vi særskilt adresserer i høringen vedr. vejledningsudkast til engangskompensation (styrelsens</w:t>
            </w:r>
            <w:r w:rsidR="003C5F8D" w:rsidRPr="00864C18">
              <w:rPr>
                <w:sz w:val="20"/>
              </w:rPr>
              <w:t xml:space="preserve"> </w:t>
            </w:r>
            <w:r w:rsidRPr="00864C18">
              <w:rPr>
                <w:sz w:val="20"/>
              </w:rPr>
              <w:t>journalnummer 23-12-000021). Tinglysning af servitutter er alene en sikringsakt og det er</w:t>
            </w:r>
            <w:r w:rsidR="003C5F8D" w:rsidRPr="00864C18">
              <w:rPr>
                <w:sz w:val="20"/>
              </w:rPr>
              <w:t xml:space="preserve"> </w:t>
            </w:r>
            <w:r w:rsidRPr="00864C18">
              <w:rPr>
                <w:sz w:val="20"/>
              </w:rPr>
              <w:t>afgørende, at vi får en bedre forståelse af, hvordan Landbrugsstyrelsen vil håndtere</w:t>
            </w:r>
          </w:p>
          <w:p w14:paraId="1600D844" w14:textId="77777777" w:rsidR="00A05F60" w:rsidRDefault="00A05F60" w:rsidP="009F15D2">
            <w:pPr>
              <w:rPr>
                <w:sz w:val="20"/>
              </w:rPr>
            </w:pPr>
            <w:r w:rsidRPr="00864C18">
              <w:rPr>
                <w:sz w:val="20"/>
              </w:rPr>
              <w:t>kontrollen/tidsudstrækningen.</w:t>
            </w:r>
          </w:p>
          <w:p w14:paraId="2DE5AC9B" w14:textId="3EE2987D" w:rsidR="007F7575" w:rsidRPr="00864C18" w:rsidRDefault="007F7575" w:rsidP="009F15D2">
            <w:pPr>
              <w:rPr>
                <w:sz w:val="20"/>
              </w:rPr>
            </w:pPr>
          </w:p>
        </w:tc>
        <w:tc>
          <w:tcPr>
            <w:tcW w:w="4673" w:type="dxa"/>
          </w:tcPr>
          <w:p w14:paraId="3F3FEC81" w14:textId="77777777" w:rsidR="00953D12" w:rsidRDefault="00953D12" w:rsidP="00953D12">
            <w:pPr>
              <w:rPr>
                <w:i/>
                <w:sz w:val="20"/>
              </w:rPr>
            </w:pPr>
          </w:p>
          <w:p w14:paraId="6B51AE9C" w14:textId="37A49048" w:rsidR="00953D12" w:rsidRDefault="00953D12" w:rsidP="00953D12">
            <w:pPr>
              <w:rPr>
                <w:i/>
                <w:sz w:val="20"/>
              </w:rPr>
            </w:pPr>
            <w:r>
              <w:rPr>
                <w:i/>
                <w:sz w:val="20"/>
              </w:rPr>
              <w:t>Bemærkningerne g</w:t>
            </w:r>
            <w:r w:rsidRPr="00864C18">
              <w:rPr>
                <w:i/>
                <w:sz w:val="20"/>
              </w:rPr>
              <w:t>iver ikke anledning til ændringer i bekendtgørelsen.</w:t>
            </w:r>
          </w:p>
          <w:p w14:paraId="39082C6B" w14:textId="77777777" w:rsidR="00953D12" w:rsidRPr="00953D12" w:rsidRDefault="00953D12" w:rsidP="00953D12">
            <w:pPr>
              <w:rPr>
                <w:rFonts w:asciiTheme="minorHAnsi" w:hAnsiTheme="minorHAnsi"/>
                <w:sz w:val="20"/>
                <w:u w:val="single"/>
              </w:rPr>
            </w:pPr>
          </w:p>
          <w:p w14:paraId="099CC59D" w14:textId="7F90B135" w:rsidR="00953D12" w:rsidRPr="00953D12" w:rsidRDefault="00953D12" w:rsidP="00953D12">
            <w:pPr>
              <w:rPr>
                <w:rFonts w:asciiTheme="minorHAnsi" w:hAnsiTheme="minorHAnsi"/>
                <w:sz w:val="20"/>
              </w:rPr>
            </w:pPr>
            <w:r w:rsidRPr="00953D12">
              <w:rPr>
                <w:rFonts w:asciiTheme="minorHAnsi" w:hAnsiTheme="minorHAnsi"/>
                <w:sz w:val="20"/>
              </w:rPr>
              <w:t>Sanktionerne er i vidt omfang de samme, som hidtil</w:t>
            </w:r>
            <w:r w:rsidR="005544A8">
              <w:rPr>
                <w:rFonts w:asciiTheme="minorHAnsi" w:hAnsiTheme="minorHAnsi"/>
                <w:sz w:val="20"/>
              </w:rPr>
              <w:t>,</w:t>
            </w:r>
            <w:r w:rsidRPr="00953D12">
              <w:rPr>
                <w:rFonts w:asciiTheme="minorHAnsi" w:hAnsiTheme="minorHAnsi"/>
                <w:sz w:val="20"/>
              </w:rPr>
              <w:t xml:space="preserve"> og de er ikke skærpet ift. vægtning af overtrædelser. </w:t>
            </w:r>
          </w:p>
          <w:p w14:paraId="5E55C91D" w14:textId="77777777" w:rsidR="00953D12" w:rsidRPr="00953D12" w:rsidRDefault="00953D12" w:rsidP="00953D12">
            <w:pPr>
              <w:rPr>
                <w:rFonts w:asciiTheme="minorHAnsi" w:hAnsiTheme="minorHAnsi"/>
                <w:sz w:val="20"/>
              </w:rPr>
            </w:pPr>
          </w:p>
          <w:p w14:paraId="1C113667" w14:textId="146F46CB" w:rsidR="00953D12" w:rsidRPr="00953D12" w:rsidRDefault="00953D12" w:rsidP="00953D12">
            <w:pPr>
              <w:rPr>
                <w:rFonts w:asciiTheme="minorHAnsi" w:hAnsiTheme="minorHAnsi"/>
                <w:sz w:val="20"/>
              </w:rPr>
            </w:pPr>
            <w:r w:rsidRPr="00953D12">
              <w:rPr>
                <w:rFonts w:asciiTheme="minorHAnsi" w:hAnsiTheme="minorHAnsi"/>
                <w:sz w:val="20"/>
              </w:rPr>
              <w:t>Der er dog forskel ift. evt. tilbagebetaling af udbetalt tilskud, da udgangspunktet er, at tilsagnet er femårigt</w:t>
            </w:r>
            <w:r w:rsidR="005544A8">
              <w:rPr>
                <w:rFonts w:asciiTheme="minorHAnsi" w:hAnsiTheme="minorHAnsi"/>
                <w:sz w:val="20"/>
              </w:rPr>
              <w:t>,</w:t>
            </w:r>
            <w:r w:rsidRPr="00953D12">
              <w:rPr>
                <w:rFonts w:asciiTheme="minorHAnsi" w:hAnsiTheme="minorHAnsi"/>
                <w:sz w:val="20"/>
              </w:rPr>
              <w:t xml:space="preserve"> og hvis ikke der eksempelvis indberettes et år, er det 1/5, der skal tilbagebetales som en logisk følge af</w:t>
            </w:r>
            <w:r w:rsidR="005544A8">
              <w:rPr>
                <w:rFonts w:asciiTheme="minorHAnsi" w:hAnsiTheme="minorHAnsi"/>
                <w:sz w:val="20"/>
              </w:rPr>
              <w:t>,</w:t>
            </w:r>
            <w:r w:rsidRPr="00953D12">
              <w:rPr>
                <w:rFonts w:asciiTheme="minorHAnsi" w:hAnsiTheme="minorHAnsi"/>
                <w:sz w:val="20"/>
              </w:rPr>
              <w:t xml:space="preserve"> at tilsagnsperioden </w:t>
            </w:r>
            <w:r w:rsidRPr="00953D12">
              <w:rPr>
                <w:rFonts w:asciiTheme="minorHAnsi" w:hAnsiTheme="minorHAnsi"/>
                <w:sz w:val="20"/>
              </w:rPr>
              <w:lastRenderedPageBreak/>
              <w:t>afkortes. Før var det 1/20 i tyve år og dermed en meget længere periode med risiko for nedsættelse af tilskuddet. Dermed er det ikke umiddelbart sammenligneligt. Se også svar på punkt 1.5 ovenfor.</w:t>
            </w:r>
          </w:p>
          <w:p w14:paraId="5B60D13A" w14:textId="77777777" w:rsidR="00953D12" w:rsidRPr="00953D12" w:rsidRDefault="00953D12" w:rsidP="00953D12">
            <w:pPr>
              <w:rPr>
                <w:rFonts w:asciiTheme="minorHAnsi" w:hAnsiTheme="minorHAnsi"/>
                <w:sz w:val="20"/>
              </w:rPr>
            </w:pPr>
          </w:p>
          <w:p w14:paraId="5F1B9431" w14:textId="4D73C939" w:rsidR="00B772E9" w:rsidRPr="00953D12" w:rsidRDefault="00953D12" w:rsidP="00953D12">
            <w:pPr>
              <w:rPr>
                <w:i/>
                <w:sz w:val="20"/>
                <w:u w:val="single"/>
              </w:rPr>
            </w:pPr>
            <w:r w:rsidRPr="00953D12">
              <w:rPr>
                <w:rFonts w:asciiTheme="minorHAnsi" w:hAnsiTheme="minorHAnsi"/>
                <w:sz w:val="20"/>
              </w:rPr>
              <w:t>I de første 15 år</w:t>
            </w:r>
            <w:r w:rsidR="005544A8">
              <w:rPr>
                <w:rFonts w:asciiTheme="minorHAnsi" w:hAnsiTheme="minorHAnsi"/>
                <w:sz w:val="20"/>
              </w:rPr>
              <w:t>,</w:t>
            </w:r>
            <w:r w:rsidRPr="00953D12">
              <w:rPr>
                <w:rFonts w:asciiTheme="minorHAnsi" w:hAnsiTheme="minorHAnsi"/>
                <w:sz w:val="20"/>
              </w:rPr>
              <w:t xml:space="preserve"> der følger efter tilsagnsperioden</w:t>
            </w:r>
            <w:r w:rsidR="005544A8">
              <w:rPr>
                <w:rFonts w:asciiTheme="minorHAnsi" w:hAnsiTheme="minorHAnsi"/>
                <w:sz w:val="20"/>
              </w:rPr>
              <w:t>,</w:t>
            </w:r>
            <w:r w:rsidRPr="00953D12">
              <w:rPr>
                <w:rFonts w:asciiTheme="minorHAnsi" w:hAnsiTheme="minorHAnsi"/>
                <w:sz w:val="20"/>
              </w:rPr>
              <w:t xml:space="preserve"> skal Landbrugsstyrelsen kontrollere arealerne gennem monitorering og er også ”påtaleberettiget”, hvis der måtte blive informeret om potentielle overtrædelser.  Det fremgår af § 14, stk. 2, i lov om administration af den fælles landbrugspolitik m.v., at der kan meddeles de forbud og påbud, der er nødvendige for overholdelse af forpligtelser fastsat i en tinglyst servitut for ejendommens ejer efter regler fastsat i medfør af lovens § 5 og efter regler fastsat i medfør af lov om Landdistriktsfonden. Det fremgår endvidere af lovens § 28, at medmindre højere straf er forskyldt efter straffelovens § 289 a, straffes med bøde den, der overtræder forbud meddelt efter lovens § 14 eller undlader at efterkomme påbud meddelt efter lovens § 14.</w:t>
            </w:r>
          </w:p>
        </w:tc>
      </w:tr>
      <w:tr w:rsidR="00B772E9" w:rsidRPr="00864C18" w14:paraId="60D34014" w14:textId="77777777" w:rsidTr="00595821">
        <w:tc>
          <w:tcPr>
            <w:tcW w:w="4672" w:type="dxa"/>
          </w:tcPr>
          <w:p w14:paraId="2DD76E02" w14:textId="77777777" w:rsidR="00B772E9" w:rsidRPr="00864C18" w:rsidRDefault="00B772E9" w:rsidP="009F15D2">
            <w:pPr>
              <w:rPr>
                <w:b/>
                <w:sz w:val="20"/>
              </w:rPr>
            </w:pPr>
            <w:r w:rsidRPr="00864C18">
              <w:rPr>
                <w:b/>
                <w:sz w:val="20"/>
              </w:rPr>
              <w:lastRenderedPageBreak/>
              <w:t>1.14</w:t>
            </w:r>
          </w:p>
          <w:p w14:paraId="626C62DC" w14:textId="77777777" w:rsidR="00A05F60" w:rsidRPr="00864C18" w:rsidRDefault="00A05F60" w:rsidP="009F15D2">
            <w:pPr>
              <w:rPr>
                <w:sz w:val="20"/>
              </w:rPr>
            </w:pPr>
            <w:r w:rsidRPr="00864C18">
              <w:rPr>
                <w:b/>
                <w:bCs/>
                <w:sz w:val="20"/>
              </w:rPr>
              <w:t xml:space="preserve">Henvisninger i bilag 1-3 </w:t>
            </w:r>
          </w:p>
          <w:p w14:paraId="52CF39C8" w14:textId="73197DAA" w:rsidR="00B772E9" w:rsidRPr="00864C18" w:rsidRDefault="00A05F60" w:rsidP="009F15D2">
            <w:pPr>
              <w:rPr>
                <w:b/>
                <w:sz w:val="20"/>
              </w:rPr>
            </w:pPr>
            <w:r w:rsidRPr="00864C18">
              <w:rPr>
                <w:sz w:val="20"/>
              </w:rPr>
              <w:t xml:space="preserve">Det formodes, at henvisningerne under tabellerne i bilag 1-3 skal justeres fra § 19, stk. 2 til § 19, stk. 3, da vægtningsfaktorerne kun finder anvendelse på det godkendte ansøgte areal, hvis der er tale </w:t>
            </w:r>
            <w:r w:rsidRPr="00864C18">
              <w:rPr>
                <w:sz w:val="20"/>
              </w:rPr>
              <w:lastRenderedPageBreak/>
              <w:t>om en overtrædelse, der ikke knytter sig til de enkelte arealer.</w:t>
            </w:r>
          </w:p>
        </w:tc>
        <w:tc>
          <w:tcPr>
            <w:tcW w:w="4673" w:type="dxa"/>
          </w:tcPr>
          <w:p w14:paraId="42029EBF" w14:textId="77777777" w:rsidR="00B772E9" w:rsidRPr="00864C18" w:rsidRDefault="00B772E9" w:rsidP="009F15D2">
            <w:pPr>
              <w:rPr>
                <w:i/>
                <w:sz w:val="20"/>
                <w:u w:val="single"/>
              </w:rPr>
            </w:pPr>
          </w:p>
          <w:p w14:paraId="6845A4A4" w14:textId="77777777" w:rsidR="006905F5" w:rsidRDefault="006905F5" w:rsidP="006905F5">
            <w:pPr>
              <w:rPr>
                <w:i/>
                <w:sz w:val="20"/>
              </w:rPr>
            </w:pPr>
            <w:r>
              <w:rPr>
                <w:i/>
                <w:sz w:val="20"/>
              </w:rPr>
              <w:t>Bemærkningerne g</w:t>
            </w:r>
            <w:r w:rsidRPr="00864C18">
              <w:rPr>
                <w:i/>
                <w:sz w:val="20"/>
              </w:rPr>
              <w:t>iver ikke anledning til ændringer i bekendtgørelsen.</w:t>
            </w:r>
          </w:p>
          <w:p w14:paraId="0AB75EBD" w14:textId="77777777" w:rsidR="00EF0E65" w:rsidRPr="00864C18" w:rsidRDefault="00EF0E65" w:rsidP="009F15D2">
            <w:pPr>
              <w:rPr>
                <w:i/>
                <w:sz w:val="20"/>
              </w:rPr>
            </w:pPr>
          </w:p>
          <w:p w14:paraId="01726340" w14:textId="6DFB6559" w:rsidR="00EF0E65" w:rsidRPr="00864C18" w:rsidRDefault="00EF0E65" w:rsidP="009F15D2">
            <w:pPr>
              <w:rPr>
                <w:sz w:val="20"/>
              </w:rPr>
            </w:pPr>
            <w:r w:rsidRPr="00864C18">
              <w:rPr>
                <w:sz w:val="20"/>
              </w:rPr>
              <w:t xml:space="preserve">Landbrugsstyrelsen gør opmærksom på, at </w:t>
            </w:r>
            <w:r w:rsidR="001532DF">
              <w:rPr>
                <w:sz w:val="20"/>
              </w:rPr>
              <w:t>det er korrekt, når der</w:t>
            </w:r>
            <w:r w:rsidRPr="00864C18">
              <w:rPr>
                <w:sz w:val="20"/>
              </w:rPr>
              <w:t xml:space="preserve"> under tabellerne i bilag 1-3 </w:t>
            </w:r>
            <w:r w:rsidRPr="00864C18">
              <w:rPr>
                <w:sz w:val="20"/>
              </w:rPr>
              <w:lastRenderedPageBreak/>
              <w:t xml:space="preserve">henvises til bekendtgørelsens § 19, stk. 2. De vægtningsfaktorer, </w:t>
            </w:r>
            <w:r w:rsidR="001532DF">
              <w:rPr>
                <w:sz w:val="20"/>
              </w:rPr>
              <w:t>som</w:t>
            </w:r>
            <w:r w:rsidRPr="00864C18">
              <w:rPr>
                <w:sz w:val="20"/>
              </w:rPr>
              <w:t xml:space="preserve"> </w:t>
            </w:r>
            <w:r w:rsidR="001532DF">
              <w:rPr>
                <w:sz w:val="20"/>
              </w:rPr>
              <w:t>fremgår af</w:t>
            </w:r>
            <w:r w:rsidRPr="00864C18">
              <w:rPr>
                <w:sz w:val="20"/>
              </w:rPr>
              <w:t xml:space="preserve"> bilag 1-3</w:t>
            </w:r>
            <w:r w:rsidR="005544A8">
              <w:rPr>
                <w:sz w:val="20"/>
              </w:rPr>
              <w:t>,</w:t>
            </w:r>
            <w:r w:rsidRPr="00864C18">
              <w:rPr>
                <w:sz w:val="20"/>
              </w:rPr>
              <w:t xml:space="preserve"> anvendes netop på overtrædelser, der er knyttet til de enkelte arealer (arealovertrædelser)</w:t>
            </w:r>
          </w:p>
          <w:p w14:paraId="50E44AB4" w14:textId="77777777" w:rsidR="00EF0E65" w:rsidRPr="00864C18" w:rsidRDefault="00EF0E65" w:rsidP="009F15D2">
            <w:pPr>
              <w:rPr>
                <w:sz w:val="20"/>
              </w:rPr>
            </w:pPr>
          </w:p>
          <w:p w14:paraId="09AE0913" w14:textId="0D718936" w:rsidR="00EF0E65" w:rsidRPr="00864C18" w:rsidRDefault="00EF0E65" w:rsidP="009F15D2">
            <w:pPr>
              <w:rPr>
                <w:sz w:val="20"/>
              </w:rPr>
            </w:pPr>
            <w:r w:rsidRPr="00864C18">
              <w:rPr>
                <w:sz w:val="20"/>
              </w:rPr>
              <w:t xml:space="preserve">Dette </w:t>
            </w:r>
            <w:r w:rsidR="001532DF">
              <w:rPr>
                <w:sz w:val="20"/>
              </w:rPr>
              <w:t xml:space="preserve">står </w:t>
            </w:r>
            <w:r w:rsidRPr="00864C18">
              <w:rPr>
                <w:sz w:val="20"/>
              </w:rPr>
              <w:t xml:space="preserve">i modsætning til de vægtningsfaktorer, </w:t>
            </w:r>
            <w:r w:rsidR="003F3D03">
              <w:rPr>
                <w:sz w:val="20"/>
              </w:rPr>
              <w:t>som</w:t>
            </w:r>
            <w:r w:rsidRPr="00864C18">
              <w:rPr>
                <w:sz w:val="20"/>
              </w:rPr>
              <w:t xml:space="preserve"> </w:t>
            </w:r>
            <w:r w:rsidR="001532DF">
              <w:rPr>
                <w:sz w:val="20"/>
              </w:rPr>
              <w:t>fremgår af</w:t>
            </w:r>
            <w:r w:rsidRPr="00864C18">
              <w:rPr>
                <w:sz w:val="20"/>
              </w:rPr>
              <w:t xml:space="preserve"> bilag 4-5, der </w:t>
            </w:r>
            <w:r w:rsidRPr="003F3D03">
              <w:rPr>
                <w:sz w:val="20"/>
                <w:u w:val="single"/>
              </w:rPr>
              <w:t>ikke</w:t>
            </w:r>
            <w:r w:rsidRPr="00864C18">
              <w:rPr>
                <w:sz w:val="20"/>
              </w:rPr>
              <w:t xml:space="preserve"> knytter sig til de enkelte arealer</w:t>
            </w:r>
            <w:r w:rsidR="003F3D03">
              <w:rPr>
                <w:sz w:val="20"/>
              </w:rPr>
              <w:t>, h</w:t>
            </w:r>
            <w:r w:rsidRPr="00864C18">
              <w:rPr>
                <w:sz w:val="20"/>
              </w:rPr>
              <w:t>vorfor der under tabellerne i disse bilag henvises til bekendtgørelsens § 19, stk. 3.</w:t>
            </w:r>
          </w:p>
          <w:p w14:paraId="72E89CC6" w14:textId="41D7AA53" w:rsidR="00EF0E65" w:rsidRPr="00864C18" w:rsidRDefault="00EF0E65" w:rsidP="009F15D2">
            <w:pPr>
              <w:rPr>
                <w:sz w:val="20"/>
              </w:rPr>
            </w:pPr>
          </w:p>
        </w:tc>
      </w:tr>
      <w:tr w:rsidR="00B772E9" w:rsidRPr="00864C18" w14:paraId="018ED89A" w14:textId="77777777" w:rsidTr="00595821">
        <w:tc>
          <w:tcPr>
            <w:tcW w:w="4672" w:type="dxa"/>
          </w:tcPr>
          <w:p w14:paraId="2292FBED" w14:textId="77777777" w:rsidR="00B772E9" w:rsidRPr="00864C18" w:rsidRDefault="00B772E9" w:rsidP="009F15D2">
            <w:pPr>
              <w:rPr>
                <w:b/>
                <w:sz w:val="20"/>
              </w:rPr>
            </w:pPr>
            <w:bookmarkStart w:id="0" w:name="_Hlk151632651"/>
            <w:r w:rsidRPr="00864C18">
              <w:rPr>
                <w:b/>
                <w:sz w:val="20"/>
              </w:rPr>
              <w:lastRenderedPageBreak/>
              <w:t>1.15</w:t>
            </w:r>
          </w:p>
          <w:p w14:paraId="41FB9934" w14:textId="77777777" w:rsidR="00A05F60" w:rsidRPr="00864C18" w:rsidRDefault="00A05F60" w:rsidP="009F15D2">
            <w:pPr>
              <w:rPr>
                <w:b/>
                <w:sz w:val="20"/>
              </w:rPr>
            </w:pPr>
            <w:r w:rsidRPr="00864C18">
              <w:rPr>
                <w:b/>
                <w:sz w:val="20"/>
              </w:rPr>
              <w:t>Bilag 1 – Pleje af græs- og naturarealer</w:t>
            </w:r>
          </w:p>
          <w:p w14:paraId="6C313216" w14:textId="77777777" w:rsidR="00A05F60" w:rsidRPr="00864C18" w:rsidRDefault="00A05F60" w:rsidP="009F15D2">
            <w:pPr>
              <w:rPr>
                <w:sz w:val="20"/>
              </w:rPr>
            </w:pPr>
            <w:r w:rsidRPr="00864C18">
              <w:rPr>
                <w:sz w:val="20"/>
              </w:rPr>
              <w:t>Det er overordnet set svært at gennemskue, hvad ændringen af vægtningsfaktorerne for de enkelte</w:t>
            </w:r>
          </w:p>
          <w:p w14:paraId="365B59CC" w14:textId="77777777" w:rsidR="00A05F60" w:rsidRPr="00864C18" w:rsidRDefault="00A05F60" w:rsidP="009F15D2">
            <w:pPr>
              <w:rPr>
                <w:sz w:val="20"/>
              </w:rPr>
            </w:pPr>
            <w:r w:rsidRPr="00864C18">
              <w:rPr>
                <w:sz w:val="20"/>
              </w:rPr>
              <w:t>overtrædelser (jf. bilaget til bekendtgørelsen) får af samlet betydning. Dog ser det ud til, at visse</w:t>
            </w:r>
          </w:p>
          <w:p w14:paraId="6990BED9" w14:textId="77777777" w:rsidR="00A05F60" w:rsidRPr="00864C18" w:rsidRDefault="00A05F60" w:rsidP="009F15D2">
            <w:pPr>
              <w:rPr>
                <w:sz w:val="20"/>
              </w:rPr>
            </w:pPr>
            <w:r w:rsidRPr="00864C18">
              <w:rPr>
                <w:sz w:val="20"/>
              </w:rPr>
              <w:t>intervaller i bilaget, vil blive ramt af en strammere vægtningsfaktor end i den nuværende</w:t>
            </w:r>
          </w:p>
          <w:p w14:paraId="70F67F91" w14:textId="77777777" w:rsidR="00A05F60" w:rsidRPr="00864C18" w:rsidRDefault="00A05F60" w:rsidP="009F15D2">
            <w:pPr>
              <w:rPr>
                <w:sz w:val="20"/>
              </w:rPr>
            </w:pPr>
            <w:r w:rsidRPr="00864C18">
              <w:rPr>
                <w:sz w:val="20"/>
              </w:rPr>
              <w:t>bekendtgørelse. Landbrug &amp; Fødevarer ser ikke umiddelbart nogen saglig grund til at indføre</w:t>
            </w:r>
          </w:p>
          <w:p w14:paraId="3B88DDBB" w14:textId="77777777" w:rsidR="00A05F60" w:rsidRPr="00864C18" w:rsidRDefault="00A05F60" w:rsidP="009F15D2">
            <w:pPr>
              <w:rPr>
                <w:sz w:val="20"/>
              </w:rPr>
            </w:pPr>
            <w:r w:rsidRPr="00864C18">
              <w:rPr>
                <w:sz w:val="20"/>
              </w:rPr>
              <w:t>stramninger i den nye bekendtgørelse for sammenlignelige overtrædelser.</w:t>
            </w:r>
          </w:p>
          <w:p w14:paraId="0CAF12BF" w14:textId="77777777" w:rsidR="00A05F60" w:rsidRPr="00864C18" w:rsidRDefault="00A05F60" w:rsidP="009F15D2">
            <w:pPr>
              <w:rPr>
                <w:sz w:val="20"/>
              </w:rPr>
            </w:pPr>
            <w:r w:rsidRPr="00864C18">
              <w:rPr>
                <w:sz w:val="20"/>
              </w:rPr>
              <w:t>Et eksempel kunne være vægtningsfaktorerne på forpligtelsen ’fast græsningstryk’:</w:t>
            </w:r>
          </w:p>
          <w:p w14:paraId="336EEBA0" w14:textId="77777777" w:rsidR="00A05F60" w:rsidRPr="00864C18" w:rsidRDefault="00A05F60" w:rsidP="009F15D2">
            <w:pPr>
              <w:rPr>
                <w:sz w:val="20"/>
              </w:rPr>
            </w:pPr>
            <w:r w:rsidRPr="00864C18">
              <w:rPr>
                <w:sz w:val="20"/>
              </w:rPr>
              <w:t>En landbruger har fået et tilsagn på 10 ha under en tilskudskategori under ordningen om tilskud til</w:t>
            </w:r>
          </w:p>
          <w:p w14:paraId="4152227B" w14:textId="77777777" w:rsidR="00A05F60" w:rsidRPr="00864C18" w:rsidRDefault="00A05F60" w:rsidP="009F15D2">
            <w:pPr>
              <w:rPr>
                <w:sz w:val="20"/>
              </w:rPr>
            </w:pPr>
            <w:r w:rsidRPr="00864C18">
              <w:rPr>
                <w:sz w:val="20"/>
              </w:rPr>
              <w:t>pleje af græs- og naturarealer.</w:t>
            </w:r>
          </w:p>
          <w:p w14:paraId="07019BDC" w14:textId="77777777" w:rsidR="00A05F60" w:rsidRPr="00864C18" w:rsidRDefault="00A05F60" w:rsidP="009F15D2">
            <w:pPr>
              <w:rPr>
                <w:sz w:val="20"/>
              </w:rPr>
            </w:pPr>
            <w:r w:rsidRPr="00864C18">
              <w:rPr>
                <w:sz w:val="20"/>
              </w:rPr>
              <w:t>Ved kontrollen af arealet viser det sig, at der ikke har været et tilstrækkeligt antal dyr på arealet,</w:t>
            </w:r>
          </w:p>
          <w:p w14:paraId="56E30841" w14:textId="08A7817E" w:rsidR="00A05F60" w:rsidRPr="00864C18" w:rsidRDefault="00A05F60" w:rsidP="009F15D2">
            <w:pPr>
              <w:rPr>
                <w:sz w:val="20"/>
              </w:rPr>
            </w:pPr>
            <w:r w:rsidRPr="00864C18">
              <w:rPr>
                <w:sz w:val="20"/>
              </w:rPr>
              <w:t>men kun 65 pct. Dette ville i den gamle bekendtgørelse udløse en kategori 3 vægtning på 0,5. Det</w:t>
            </w:r>
            <w:r w:rsidR="00EF0E65" w:rsidRPr="00864C18">
              <w:rPr>
                <w:sz w:val="20"/>
              </w:rPr>
              <w:t xml:space="preserve"> </w:t>
            </w:r>
            <w:r w:rsidRPr="00864C18">
              <w:rPr>
                <w:sz w:val="20"/>
              </w:rPr>
              <w:t>vægtede overtrådte areal udgør derfor 5 ha. I den nye bekendtgørelse vil den samme overtrædelse</w:t>
            </w:r>
            <w:r w:rsidR="00EF0E65" w:rsidRPr="00864C18">
              <w:rPr>
                <w:sz w:val="20"/>
              </w:rPr>
              <w:t xml:space="preserve"> </w:t>
            </w:r>
            <w:r w:rsidRPr="00864C18">
              <w:rPr>
                <w:sz w:val="20"/>
              </w:rPr>
              <w:t>udløse en vægtningsfaktor på 1,0 med en tilhørende arealovertrædelse på 10 ha.</w:t>
            </w:r>
          </w:p>
          <w:p w14:paraId="5EC09062" w14:textId="77777777" w:rsidR="00A05F60" w:rsidRPr="00864C18" w:rsidRDefault="00A05F60" w:rsidP="009F15D2">
            <w:pPr>
              <w:rPr>
                <w:sz w:val="20"/>
              </w:rPr>
            </w:pPr>
            <w:r w:rsidRPr="00864C18">
              <w:rPr>
                <w:sz w:val="20"/>
              </w:rPr>
              <w:t>Der ses ligeledes en stramning på vægtningsfaktorerne indenfor følgende intervaller: 84-89% samt</w:t>
            </w:r>
          </w:p>
          <w:p w14:paraId="692CC20D" w14:textId="77777777" w:rsidR="00A05F60" w:rsidRDefault="00A05F60" w:rsidP="009F15D2">
            <w:pPr>
              <w:rPr>
                <w:sz w:val="20"/>
              </w:rPr>
            </w:pPr>
            <w:r w:rsidRPr="00864C18">
              <w:rPr>
                <w:sz w:val="20"/>
              </w:rPr>
              <w:t>95-99%.</w:t>
            </w:r>
          </w:p>
          <w:p w14:paraId="4FED9394" w14:textId="39756EE9" w:rsidR="007F7575" w:rsidRPr="00864C18" w:rsidRDefault="007F7575" w:rsidP="009F15D2">
            <w:pPr>
              <w:rPr>
                <w:b/>
                <w:sz w:val="20"/>
              </w:rPr>
            </w:pPr>
          </w:p>
        </w:tc>
        <w:tc>
          <w:tcPr>
            <w:tcW w:w="4673" w:type="dxa"/>
          </w:tcPr>
          <w:p w14:paraId="0A1E5B92" w14:textId="77777777" w:rsidR="00EF0E65" w:rsidRPr="00864C18" w:rsidRDefault="00EF0E65" w:rsidP="009F15D2">
            <w:pPr>
              <w:rPr>
                <w:i/>
                <w:sz w:val="20"/>
              </w:rPr>
            </w:pPr>
          </w:p>
          <w:p w14:paraId="52CA2083" w14:textId="77777777" w:rsidR="006905F5" w:rsidRDefault="006905F5" w:rsidP="006905F5">
            <w:pPr>
              <w:rPr>
                <w:i/>
                <w:sz w:val="20"/>
              </w:rPr>
            </w:pPr>
            <w:r>
              <w:rPr>
                <w:i/>
                <w:sz w:val="20"/>
              </w:rPr>
              <w:t>Bemærkningerne g</w:t>
            </w:r>
            <w:r w:rsidRPr="00864C18">
              <w:rPr>
                <w:i/>
                <w:sz w:val="20"/>
              </w:rPr>
              <w:t>iver ikke anledning til ændringer i bekendtgørelsen.</w:t>
            </w:r>
          </w:p>
          <w:p w14:paraId="1A6C000E" w14:textId="77777777" w:rsidR="0052166D" w:rsidRPr="00864C18" w:rsidRDefault="0052166D" w:rsidP="009F15D2">
            <w:pPr>
              <w:rPr>
                <w:i/>
                <w:sz w:val="20"/>
                <w:u w:val="single"/>
              </w:rPr>
            </w:pPr>
          </w:p>
          <w:p w14:paraId="68438694" w14:textId="37DAE0AB" w:rsidR="005247FD" w:rsidRDefault="0052166D" w:rsidP="009F15D2">
            <w:pPr>
              <w:rPr>
                <w:i/>
                <w:sz w:val="20"/>
              </w:rPr>
            </w:pPr>
            <w:r w:rsidRPr="00864C18">
              <w:rPr>
                <w:sz w:val="20"/>
              </w:rPr>
              <w:t>Landbrugsstyrelsen har med overgang til den nye reformperiode indført en tværgående sanktionsmodel for alle arealordninger i CAP-planen. Landbrugsstyrelsen har bevaret den differentierede sanktionering på pleje af græs- og naturarealer med bilaget til bekendtgørelsen om kontrol og administrative sanktioner.</w:t>
            </w:r>
          </w:p>
          <w:p w14:paraId="5AD1A6A1" w14:textId="77777777" w:rsidR="005247FD" w:rsidRPr="005247FD" w:rsidRDefault="005247FD" w:rsidP="005247FD">
            <w:pPr>
              <w:rPr>
                <w:sz w:val="20"/>
              </w:rPr>
            </w:pPr>
          </w:p>
          <w:p w14:paraId="3AA25293" w14:textId="77777777" w:rsidR="005247FD" w:rsidRPr="005247FD" w:rsidRDefault="005247FD" w:rsidP="005247FD">
            <w:pPr>
              <w:rPr>
                <w:sz w:val="20"/>
              </w:rPr>
            </w:pPr>
            <w:r w:rsidRPr="005247FD">
              <w:rPr>
                <w:sz w:val="20"/>
              </w:rPr>
              <w:t>Der er ikke i den foreslåede bekendtgørelse sket ændringer i sanktioneringen i forhold til den tidligere bekendtgørelse, der trådte i kraft den 1. juli 2023.</w:t>
            </w:r>
          </w:p>
          <w:p w14:paraId="0046A840" w14:textId="77777777" w:rsidR="005247FD" w:rsidRPr="005247FD" w:rsidRDefault="005247FD" w:rsidP="005247FD">
            <w:pPr>
              <w:rPr>
                <w:sz w:val="20"/>
              </w:rPr>
            </w:pPr>
          </w:p>
          <w:p w14:paraId="62E9D77C" w14:textId="31B1405F" w:rsidR="00B772E9" w:rsidRPr="005247FD" w:rsidRDefault="005247FD" w:rsidP="005247FD">
            <w:pPr>
              <w:rPr>
                <w:sz w:val="20"/>
              </w:rPr>
            </w:pPr>
            <w:r w:rsidRPr="005247FD">
              <w:rPr>
                <w:sz w:val="20"/>
              </w:rPr>
              <w:t>I forhold til vægtningsprocenterne under Landdistriktsprogrammet er der sket en opstramning i forhold til overtrædelser relateret til antallet af dyr under plejeformen Fast Græsningstryk. Denne opstramning skete på baggrund af, at kravet til græsningstryk helt generelt blev lempet fra 1,2 SK/ha til 0,3 SK/ha, hvorfor sanktionen også skulle justeres, da forpligtelsen blev desto nemmere at opfylde.</w:t>
            </w:r>
          </w:p>
        </w:tc>
      </w:tr>
      <w:tr w:rsidR="00B772E9" w:rsidRPr="00864C18" w14:paraId="449EE15C" w14:textId="77777777" w:rsidTr="00595821">
        <w:tc>
          <w:tcPr>
            <w:tcW w:w="4672" w:type="dxa"/>
          </w:tcPr>
          <w:p w14:paraId="45638488" w14:textId="1DE83996" w:rsidR="00B772E9" w:rsidRPr="00864C18" w:rsidRDefault="00B772E9" w:rsidP="009F15D2">
            <w:pPr>
              <w:rPr>
                <w:b/>
                <w:sz w:val="20"/>
              </w:rPr>
            </w:pPr>
            <w:r w:rsidRPr="00864C18">
              <w:rPr>
                <w:b/>
                <w:sz w:val="20"/>
              </w:rPr>
              <w:t>1.1</w:t>
            </w:r>
            <w:r w:rsidR="00EF0E65" w:rsidRPr="00864C18">
              <w:rPr>
                <w:b/>
                <w:sz w:val="20"/>
              </w:rPr>
              <w:t>6</w:t>
            </w:r>
          </w:p>
          <w:p w14:paraId="781EFDB7" w14:textId="77777777" w:rsidR="00A05F60" w:rsidRPr="00864C18" w:rsidRDefault="00A05F60" w:rsidP="009F15D2">
            <w:pPr>
              <w:rPr>
                <w:b/>
                <w:sz w:val="20"/>
              </w:rPr>
            </w:pPr>
            <w:r w:rsidRPr="00864C18">
              <w:rPr>
                <w:b/>
                <w:sz w:val="20"/>
              </w:rPr>
              <w:t>Bilag 2 – kvælstofreducerende virkemidler</w:t>
            </w:r>
          </w:p>
          <w:p w14:paraId="7B7A74F8" w14:textId="01DBA346" w:rsidR="00A05F60" w:rsidRPr="00864C18" w:rsidRDefault="00A05F60" w:rsidP="009F15D2">
            <w:pPr>
              <w:rPr>
                <w:sz w:val="20"/>
              </w:rPr>
            </w:pPr>
            <w:r w:rsidRPr="00864C18">
              <w:rPr>
                <w:sz w:val="20"/>
              </w:rPr>
              <w:t>Der er i tabel 1, indsat en række vægtningsfaktorer, som ikke findes som vægtningskategorier i den</w:t>
            </w:r>
            <w:r w:rsidR="006905F5">
              <w:rPr>
                <w:sz w:val="20"/>
              </w:rPr>
              <w:t xml:space="preserve"> </w:t>
            </w:r>
            <w:r w:rsidRPr="00864C18">
              <w:rPr>
                <w:sz w:val="20"/>
              </w:rPr>
              <w:t>nuværende regulering. Det gælder f.eks. ”Fristen for at så efterafgrøden er ikke overholdt” og</w:t>
            </w:r>
            <w:r w:rsidR="006905F5">
              <w:rPr>
                <w:sz w:val="20"/>
              </w:rPr>
              <w:t xml:space="preserve"> </w:t>
            </w:r>
            <w:r w:rsidRPr="00864C18">
              <w:rPr>
                <w:sz w:val="20"/>
              </w:rPr>
              <w:t xml:space="preserve">”Efterafgrøden er hverken efterfulgt af en </w:t>
            </w:r>
            <w:proofErr w:type="spellStart"/>
            <w:r w:rsidRPr="00864C18">
              <w:rPr>
                <w:sz w:val="20"/>
              </w:rPr>
              <w:t>forårsået</w:t>
            </w:r>
            <w:proofErr w:type="spellEnd"/>
            <w:r w:rsidRPr="00864C18">
              <w:rPr>
                <w:sz w:val="20"/>
              </w:rPr>
              <w:t xml:space="preserve"> afgrøde eller blomster/bestøverbrak”. Landbrug</w:t>
            </w:r>
            <w:r w:rsidR="006905F5">
              <w:rPr>
                <w:sz w:val="20"/>
              </w:rPr>
              <w:t xml:space="preserve"> </w:t>
            </w:r>
            <w:r w:rsidRPr="00864C18">
              <w:rPr>
                <w:sz w:val="20"/>
              </w:rPr>
              <w:t xml:space="preserve">&amp; Fødevarer </w:t>
            </w:r>
            <w:r w:rsidRPr="00864C18">
              <w:rPr>
                <w:sz w:val="20"/>
              </w:rPr>
              <w:lastRenderedPageBreak/>
              <w:t>opfordrer generelt til, at så mange vægtningsfaktorer som muligt fastsættes til faktor</w:t>
            </w:r>
          </w:p>
          <w:p w14:paraId="23E63D24" w14:textId="77777777" w:rsidR="00A05F60" w:rsidRPr="00864C18" w:rsidRDefault="00A05F60" w:rsidP="009F15D2">
            <w:pPr>
              <w:rPr>
                <w:sz w:val="20"/>
              </w:rPr>
            </w:pPr>
            <w:r w:rsidRPr="00864C18">
              <w:rPr>
                <w:sz w:val="20"/>
              </w:rPr>
              <w:t>0,5 eller lavere. Hvert efterår bliver efterafgrøder under kvælstofreducerende virkemidler</w:t>
            </w:r>
          </w:p>
          <w:p w14:paraId="52C4490C" w14:textId="77777777" w:rsidR="00A05F60" w:rsidRPr="00864C18" w:rsidRDefault="00A05F60" w:rsidP="009F15D2">
            <w:pPr>
              <w:rPr>
                <w:sz w:val="20"/>
              </w:rPr>
            </w:pPr>
            <w:r w:rsidRPr="00864C18">
              <w:rPr>
                <w:sz w:val="20"/>
              </w:rPr>
              <w:t>underkendt som følge af, at de ikke overholder kravet til dækningsgrad. Det skyldes i mange</w:t>
            </w:r>
          </w:p>
          <w:p w14:paraId="4F332953" w14:textId="77777777" w:rsidR="00A05F60" w:rsidRPr="00864C18" w:rsidRDefault="00A05F60" w:rsidP="009F15D2">
            <w:pPr>
              <w:rPr>
                <w:sz w:val="20"/>
              </w:rPr>
            </w:pPr>
            <w:r w:rsidRPr="00864C18">
              <w:rPr>
                <w:sz w:val="20"/>
              </w:rPr>
              <w:t>tilfælde vejrmæssige årsager, men årsager der ikke kan indeholdes under force majeure-begrebet.</w:t>
            </w:r>
          </w:p>
          <w:p w14:paraId="78C5386E" w14:textId="77777777" w:rsidR="00A05F60" w:rsidRPr="00864C18" w:rsidRDefault="00A05F60" w:rsidP="009F15D2">
            <w:pPr>
              <w:rPr>
                <w:sz w:val="20"/>
              </w:rPr>
            </w:pPr>
            <w:r w:rsidRPr="00864C18">
              <w:rPr>
                <w:sz w:val="20"/>
              </w:rPr>
              <w:t>Det er derfor afgørende at vægtningsfaktoren for denne type underkendelse sættes så lavt som</w:t>
            </w:r>
          </w:p>
          <w:p w14:paraId="4112C7A7" w14:textId="77777777" w:rsidR="00A05F60" w:rsidRPr="00864C18" w:rsidRDefault="00A05F60" w:rsidP="009F15D2">
            <w:pPr>
              <w:rPr>
                <w:sz w:val="20"/>
              </w:rPr>
            </w:pPr>
            <w:r w:rsidRPr="00864C18">
              <w:rPr>
                <w:sz w:val="20"/>
              </w:rPr>
              <w:t>muligt – gerne faktor 0,25 eller lavere. Landmanden får ved underkendelse af efterafgrøderne,</w:t>
            </w:r>
          </w:p>
          <w:p w14:paraId="08821688" w14:textId="77777777" w:rsidR="00A05F60" w:rsidRPr="00864C18" w:rsidRDefault="00A05F60" w:rsidP="009F15D2">
            <w:pPr>
              <w:rPr>
                <w:sz w:val="20"/>
              </w:rPr>
            </w:pPr>
            <w:r w:rsidRPr="00864C18">
              <w:rPr>
                <w:sz w:val="20"/>
              </w:rPr>
              <w:t>udover støttenedsættelse, et fradrag i kvælstofkvoten det kommende år. I 2024/2025 øges dette</w:t>
            </w:r>
          </w:p>
          <w:p w14:paraId="01A7101D" w14:textId="77777777" w:rsidR="00A05F60" w:rsidRPr="00864C18" w:rsidRDefault="00A05F60" w:rsidP="009F15D2">
            <w:pPr>
              <w:rPr>
                <w:sz w:val="20"/>
              </w:rPr>
            </w:pPr>
            <w:r w:rsidRPr="00864C18">
              <w:rPr>
                <w:sz w:val="20"/>
              </w:rPr>
              <w:t>kvælstof-fradrag betydeligt, fra hhv. 93 kg N pr. ha til 110 kg N pr. ha og 150 kg N pr. ha til 175 kg</w:t>
            </w:r>
          </w:p>
          <w:p w14:paraId="0121DE90" w14:textId="77777777" w:rsidR="00A05F60" w:rsidRPr="00864C18" w:rsidRDefault="00A05F60" w:rsidP="009F15D2">
            <w:pPr>
              <w:rPr>
                <w:sz w:val="20"/>
              </w:rPr>
            </w:pPr>
            <w:r w:rsidRPr="00864C18">
              <w:rPr>
                <w:sz w:val="20"/>
              </w:rPr>
              <w:t>N pr. ha, afhængig af udbragt husdyrgødning på bedriften. Det vil sige, at landmanden straffes</w:t>
            </w:r>
          </w:p>
          <w:p w14:paraId="2D29C960" w14:textId="0B63EC5F" w:rsidR="00A05F60" w:rsidRPr="00864C18" w:rsidRDefault="00A05F60" w:rsidP="009F15D2">
            <w:pPr>
              <w:rPr>
                <w:b/>
                <w:sz w:val="20"/>
              </w:rPr>
            </w:pPr>
            <w:r w:rsidRPr="00864C18">
              <w:rPr>
                <w:sz w:val="20"/>
              </w:rPr>
              <w:t>rigeligt i ift. kvælstof, og derfor bør tabet af tilskud sættes så lavt som muligt.</w:t>
            </w:r>
          </w:p>
        </w:tc>
        <w:tc>
          <w:tcPr>
            <w:tcW w:w="4673" w:type="dxa"/>
          </w:tcPr>
          <w:p w14:paraId="25C8E1FB" w14:textId="77777777" w:rsidR="00EF0E65" w:rsidRPr="00864C18" w:rsidRDefault="00EF0E65" w:rsidP="009F15D2">
            <w:pPr>
              <w:rPr>
                <w:i/>
                <w:sz w:val="20"/>
              </w:rPr>
            </w:pPr>
          </w:p>
          <w:p w14:paraId="2F4E21E0" w14:textId="77777777" w:rsidR="006905F5" w:rsidRDefault="006905F5" w:rsidP="006905F5">
            <w:pPr>
              <w:rPr>
                <w:i/>
                <w:sz w:val="20"/>
              </w:rPr>
            </w:pPr>
            <w:r>
              <w:rPr>
                <w:i/>
                <w:sz w:val="20"/>
              </w:rPr>
              <w:t>Bemærkningerne g</w:t>
            </w:r>
            <w:r w:rsidRPr="00864C18">
              <w:rPr>
                <w:i/>
                <w:sz w:val="20"/>
              </w:rPr>
              <w:t>iver ikke anledning til ændringer i bekendtgørelsen.</w:t>
            </w:r>
          </w:p>
          <w:p w14:paraId="1FE9C04C" w14:textId="77777777" w:rsidR="0052166D" w:rsidRPr="00864C18" w:rsidRDefault="0052166D" w:rsidP="009F15D2">
            <w:pPr>
              <w:rPr>
                <w:i/>
                <w:sz w:val="20"/>
              </w:rPr>
            </w:pPr>
          </w:p>
          <w:p w14:paraId="6582ED90" w14:textId="77777777" w:rsidR="0052166D" w:rsidRPr="00864C18" w:rsidRDefault="0052166D" w:rsidP="009F15D2">
            <w:pPr>
              <w:rPr>
                <w:sz w:val="20"/>
              </w:rPr>
            </w:pPr>
            <w:r w:rsidRPr="00864C18">
              <w:rPr>
                <w:sz w:val="20"/>
              </w:rPr>
              <w:t xml:space="preserve">Arealer med overtrædelser af forpligtelser, som er af afgørende betydning for tilskudsberettigelsen eller den ønskede effekt, kan ikke tillægges en vægtningsfaktor, som er mindre end 1. Dette er en konsekvens af reglen om hensyntagen til alvor, </w:t>
            </w:r>
            <w:r w:rsidRPr="00864C18">
              <w:rPr>
                <w:sz w:val="20"/>
              </w:rPr>
              <w:lastRenderedPageBreak/>
              <w:t>omfang og varighed i artikel 5 i Europa-Parlamentets og Rådets forordning (EU) 2021/2116 af 2. december 2021.</w:t>
            </w:r>
          </w:p>
          <w:p w14:paraId="6AE091DD" w14:textId="77777777" w:rsidR="0052166D" w:rsidRPr="00864C18" w:rsidRDefault="0052166D" w:rsidP="009F15D2">
            <w:pPr>
              <w:rPr>
                <w:sz w:val="20"/>
              </w:rPr>
            </w:pPr>
          </w:p>
          <w:p w14:paraId="4448C259" w14:textId="77777777" w:rsidR="0052166D" w:rsidRPr="00864C18" w:rsidRDefault="0052166D" w:rsidP="009F15D2">
            <w:pPr>
              <w:rPr>
                <w:sz w:val="20"/>
              </w:rPr>
            </w:pPr>
            <w:r w:rsidRPr="00864C18">
              <w:rPr>
                <w:sz w:val="20"/>
              </w:rPr>
              <w:t>Ved fastsættelse af vægtingsfaktorer har Landbrugsstyrelsen lagt afgørende vægt på, at formålet med ordningen målrettede efterafgrøder kan opnås.</w:t>
            </w:r>
          </w:p>
          <w:p w14:paraId="36549BF0" w14:textId="77777777" w:rsidR="0052166D" w:rsidRPr="00864C18" w:rsidRDefault="0052166D" w:rsidP="009F15D2">
            <w:pPr>
              <w:rPr>
                <w:sz w:val="20"/>
              </w:rPr>
            </w:pPr>
          </w:p>
          <w:p w14:paraId="371F3E1E" w14:textId="6D06E7CA" w:rsidR="00B772E9" w:rsidRPr="00864C18" w:rsidRDefault="0052166D" w:rsidP="009F15D2">
            <w:pPr>
              <w:rPr>
                <w:i/>
                <w:sz w:val="20"/>
                <w:u w:val="single"/>
              </w:rPr>
            </w:pPr>
            <w:r w:rsidRPr="00864C18">
              <w:rPr>
                <w:sz w:val="20"/>
              </w:rPr>
              <w:t>Fradraget i kvoten er for at sikre kvælstofeffekten af ordninge</w:t>
            </w:r>
            <w:r w:rsidRPr="00911694">
              <w:rPr>
                <w:sz w:val="20"/>
              </w:rPr>
              <w:t>n</w:t>
            </w:r>
            <w:r w:rsidR="00D94139" w:rsidRPr="00911694">
              <w:rPr>
                <w:rFonts w:asciiTheme="minorHAnsi" w:hAnsiTheme="minorHAnsi"/>
                <w:sz w:val="20"/>
              </w:rPr>
              <w:t>, og er ikke en del af sanktionen.</w:t>
            </w:r>
          </w:p>
        </w:tc>
      </w:tr>
      <w:tr w:rsidR="00B772E9" w:rsidRPr="00864C18" w14:paraId="0A491B5F" w14:textId="77777777" w:rsidTr="00595821">
        <w:tc>
          <w:tcPr>
            <w:tcW w:w="4672" w:type="dxa"/>
          </w:tcPr>
          <w:p w14:paraId="60104688" w14:textId="6E316BD4" w:rsidR="00B772E9" w:rsidRPr="00864C18" w:rsidRDefault="00A05F60" w:rsidP="009F15D2">
            <w:pPr>
              <w:rPr>
                <w:b/>
                <w:sz w:val="20"/>
              </w:rPr>
            </w:pPr>
            <w:r w:rsidRPr="00864C18">
              <w:rPr>
                <w:b/>
                <w:sz w:val="20"/>
              </w:rPr>
              <w:lastRenderedPageBreak/>
              <w:t>1.1</w:t>
            </w:r>
            <w:r w:rsidR="00EF0E65" w:rsidRPr="00864C18">
              <w:rPr>
                <w:b/>
                <w:sz w:val="20"/>
              </w:rPr>
              <w:t>7</w:t>
            </w:r>
          </w:p>
          <w:p w14:paraId="74668F04" w14:textId="77777777" w:rsidR="00A05F60" w:rsidRPr="00864C18" w:rsidRDefault="00A05F60" w:rsidP="009F15D2">
            <w:pPr>
              <w:rPr>
                <w:b/>
                <w:sz w:val="20"/>
              </w:rPr>
            </w:pPr>
            <w:r w:rsidRPr="00864C18">
              <w:rPr>
                <w:b/>
                <w:sz w:val="20"/>
              </w:rPr>
              <w:t>Bilag 5 – vægtningsfaktorer under økologisk arealstøtte</w:t>
            </w:r>
          </w:p>
          <w:p w14:paraId="1D899559" w14:textId="77777777" w:rsidR="00A05F60" w:rsidRPr="00864C18" w:rsidRDefault="00A05F60" w:rsidP="009F15D2">
            <w:pPr>
              <w:rPr>
                <w:sz w:val="20"/>
              </w:rPr>
            </w:pPr>
            <w:r w:rsidRPr="00864C18">
              <w:rPr>
                <w:sz w:val="20"/>
              </w:rPr>
              <w:t>Landbrug &amp; Fødevarer opfordrer til, at der indføres sanktionsniveauer svarende til kategori 0 med</w:t>
            </w:r>
          </w:p>
          <w:p w14:paraId="42334BC7" w14:textId="77777777" w:rsidR="00A05F60" w:rsidRPr="00864C18" w:rsidRDefault="00A05F60" w:rsidP="009F15D2">
            <w:pPr>
              <w:rPr>
                <w:sz w:val="20"/>
              </w:rPr>
            </w:pPr>
            <w:r w:rsidRPr="00864C18">
              <w:rPr>
                <w:sz w:val="20"/>
              </w:rPr>
              <w:t>et støttetræk på 1 pct. (vægtningsfaktor 0,01) for de laveste niveauer af overtrædelser. Dvs. laveste</w:t>
            </w:r>
          </w:p>
          <w:p w14:paraId="44EEDFF8" w14:textId="77777777" w:rsidR="00A05F60" w:rsidRPr="00864C18" w:rsidRDefault="00A05F60" w:rsidP="009F15D2">
            <w:pPr>
              <w:rPr>
                <w:sz w:val="20"/>
              </w:rPr>
            </w:pPr>
            <w:r w:rsidRPr="00864C18">
              <w:rPr>
                <w:sz w:val="20"/>
              </w:rPr>
              <w:t>niveauinddeling vedr. overgødskning samt laveste niveauinddeling vedr. for sen indberetning af</w:t>
            </w:r>
          </w:p>
          <w:p w14:paraId="1B12FC4C" w14:textId="77777777" w:rsidR="00A05F60" w:rsidRPr="00864C18" w:rsidRDefault="00A05F60" w:rsidP="009F15D2">
            <w:pPr>
              <w:rPr>
                <w:sz w:val="20"/>
              </w:rPr>
            </w:pPr>
            <w:r w:rsidRPr="00864C18">
              <w:rPr>
                <w:sz w:val="20"/>
              </w:rPr>
              <w:t>gødningsregnskab. Det skal tages i betragtning, at man under bioordningen, vil få en yderligere</w:t>
            </w:r>
          </w:p>
          <w:p w14:paraId="4265A2DC" w14:textId="77777777" w:rsidR="00A05F60" w:rsidRPr="00864C18" w:rsidRDefault="00A05F60" w:rsidP="009F15D2">
            <w:pPr>
              <w:rPr>
                <w:sz w:val="20"/>
              </w:rPr>
            </w:pPr>
            <w:r w:rsidRPr="00864C18">
              <w:rPr>
                <w:sz w:val="20"/>
              </w:rPr>
              <w:t>sanktion udover støttetrækket, derfor er det ekstra vigtigt, at minimale overtrædelser ikke begynder</w:t>
            </w:r>
          </w:p>
          <w:p w14:paraId="6FB283DD" w14:textId="5025B50D" w:rsidR="00A05F60" w:rsidRPr="00864C18" w:rsidRDefault="00A05F60" w:rsidP="009F15D2">
            <w:pPr>
              <w:rPr>
                <w:sz w:val="20"/>
              </w:rPr>
            </w:pPr>
            <w:r w:rsidRPr="00864C18">
              <w:rPr>
                <w:sz w:val="20"/>
              </w:rPr>
              <w:t>med et sanktionsniveau på 10 pct.</w:t>
            </w:r>
          </w:p>
        </w:tc>
        <w:tc>
          <w:tcPr>
            <w:tcW w:w="4673" w:type="dxa"/>
          </w:tcPr>
          <w:p w14:paraId="07DFF577" w14:textId="12639A1A" w:rsidR="00654F84" w:rsidRPr="00864C18" w:rsidRDefault="00654F84" w:rsidP="009F15D2">
            <w:pPr>
              <w:rPr>
                <w:sz w:val="20"/>
              </w:rPr>
            </w:pPr>
          </w:p>
          <w:p w14:paraId="504E3201" w14:textId="77777777" w:rsidR="00FA5211" w:rsidRDefault="00FA5211" w:rsidP="00FA5211">
            <w:pPr>
              <w:rPr>
                <w:i/>
                <w:sz w:val="20"/>
              </w:rPr>
            </w:pPr>
            <w:r>
              <w:rPr>
                <w:i/>
                <w:sz w:val="20"/>
              </w:rPr>
              <w:t>Bemærkningerne g</w:t>
            </w:r>
            <w:r w:rsidRPr="00864C18">
              <w:rPr>
                <w:i/>
                <w:sz w:val="20"/>
              </w:rPr>
              <w:t>iver ikke anledning til ændringer i bekendtgørelsen.</w:t>
            </w:r>
          </w:p>
          <w:p w14:paraId="121B8D9F" w14:textId="77777777" w:rsidR="00EF0E65" w:rsidRPr="00864C18" w:rsidRDefault="00EF0E65" w:rsidP="009F15D2">
            <w:pPr>
              <w:rPr>
                <w:sz w:val="20"/>
              </w:rPr>
            </w:pPr>
          </w:p>
          <w:p w14:paraId="2E799B57" w14:textId="5E7BE3A7" w:rsidR="00B772E9" w:rsidRPr="00864C18" w:rsidRDefault="00654F84" w:rsidP="009F15D2">
            <w:pPr>
              <w:rPr>
                <w:i/>
                <w:sz w:val="20"/>
                <w:u w:val="single"/>
              </w:rPr>
            </w:pPr>
            <w:r w:rsidRPr="00864C18">
              <w:rPr>
                <w:sz w:val="20"/>
              </w:rPr>
              <w:t xml:space="preserve">Landbrugsstyrelsen har for økologisk arealstøtte valgt ikke at bruge kategori </w:t>
            </w:r>
            <w:r w:rsidR="00FF0159">
              <w:rPr>
                <w:sz w:val="20"/>
              </w:rPr>
              <w:t>0</w:t>
            </w:r>
            <w:r w:rsidRPr="00864C18">
              <w:rPr>
                <w:sz w:val="20"/>
              </w:rPr>
              <w:t>. Dette skyldes dels, at effekten af en sanktion baseret på kategori 0 ikke vil stå mål med alvoren af overtrædelser af reglerne for ordningen. Derudover vil brugen af kategori 0 også vil medføre et behov for flere intervaller f</w:t>
            </w:r>
            <w:r w:rsidR="005544A8">
              <w:rPr>
                <w:sz w:val="20"/>
              </w:rPr>
              <w:t>.eks.</w:t>
            </w:r>
            <w:r w:rsidRPr="00864C18">
              <w:rPr>
                <w:sz w:val="20"/>
              </w:rPr>
              <w:t xml:space="preserve"> ift. overtrædelse af kvælstofloft, hvilket ikke er hensigtsmæssigt af administrative hensyn.   </w:t>
            </w:r>
          </w:p>
        </w:tc>
      </w:tr>
      <w:bookmarkEnd w:id="0"/>
      <w:tr w:rsidR="00B772E9" w:rsidRPr="003C5F8D" w14:paraId="0D9357D3" w14:textId="77777777" w:rsidTr="00595821">
        <w:tc>
          <w:tcPr>
            <w:tcW w:w="4672" w:type="dxa"/>
          </w:tcPr>
          <w:p w14:paraId="5CEA5EDA" w14:textId="1F571AE2" w:rsidR="00EF0E65" w:rsidRPr="00864C18" w:rsidRDefault="00A05F60" w:rsidP="009F15D2">
            <w:pPr>
              <w:rPr>
                <w:b/>
                <w:sz w:val="20"/>
              </w:rPr>
            </w:pPr>
            <w:r w:rsidRPr="00864C18">
              <w:rPr>
                <w:b/>
                <w:sz w:val="20"/>
              </w:rPr>
              <w:t>1.1</w:t>
            </w:r>
            <w:r w:rsidR="00EF0E65" w:rsidRPr="00864C18">
              <w:rPr>
                <w:b/>
                <w:sz w:val="20"/>
              </w:rPr>
              <w:t>8</w:t>
            </w:r>
          </w:p>
          <w:p w14:paraId="00366B7F" w14:textId="77777777" w:rsidR="00A05F60" w:rsidRPr="00864C18" w:rsidRDefault="00A05F60" w:rsidP="009F15D2">
            <w:pPr>
              <w:rPr>
                <w:b/>
                <w:sz w:val="20"/>
              </w:rPr>
            </w:pPr>
            <w:r w:rsidRPr="00864C18">
              <w:rPr>
                <w:b/>
                <w:sz w:val="20"/>
              </w:rPr>
              <w:t>Bemærkning ift. stivelseskartofler</w:t>
            </w:r>
          </w:p>
          <w:p w14:paraId="42C691C5" w14:textId="77777777" w:rsidR="00A05F60" w:rsidRPr="00864C18" w:rsidRDefault="00A05F60" w:rsidP="009F15D2">
            <w:pPr>
              <w:rPr>
                <w:sz w:val="20"/>
              </w:rPr>
            </w:pPr>
            <w:r w:rsidRPr="00864C18">
              <w:rPr>
                <w:sz w:val="20"/>
              </w:rPr>
              <w:t>Specifikt i forhold til ordningen for stivelseskartofler, foreslås det, at der indføres en</w:t>
            </w:r>
          </w:p>
          <w:p w14:paraId="7B981A6E" w14:textId="3133C2FF" w:rsidR="00A05F60" w:rsidRPr="00864C18" w:rsidRDefault="00A05F60" w:rsidP="009F15D2">
            <w:pPr>
              <w:rPr>
                <w:sz w:val="20"/>
              </w:rPr>
            </w:pPr>
            <w:r w:rsidRPr="00864C18">
              <w:rPr>
                <w:sz w:val="20"/>
              </w:rPr>
              <w:t>vægtningsfaktor, som er væsentligt under 1 i de tilfælde, hvor der ved en kontrol konstateres, at der</w:t>
            </w:r>
            <w:r w:rsidR="00864C18" w:rsidRPr="00864C18">
              <w:rPr>
                <w:sz w:val="20"/>
              </w:rPr>
              <w:t xml:space="preserve"> </w:t>
            </w:r>
            <w:r w:rsidRPr="00864C18">
              <w:rPr>
                <w:sz w:val="20"/>
              </w:rPr>
              <w:t>dyrkes en stivelseskartoffelsort, som ikke står på positivlisten, og som ej heller er nævnt i</w:t>
            </w:r>
          </w:p>
          <w:p w14:paraId="33BC98B0" w14:textId="153AD7EA" w:rsidR="00A05F60" w:rsidRPr="00864C18" w:rsidRDefault="00A05F60" w:rsidP="009F15D2">
            <w:pPr>
              <w:rPr>
                <w:b/>
                <w:sz w:val="20"/>
              </w:rPr>
            </w:pPr>
            <w:r w:rsidRPr="00864C18">
              <w:rPr>
                <w:sz w:val="20"/>
              </w:rPr>
              <w:t>dyrkningskontrakten.</w:t>
            </w:r>
          </w:p>
        </w:tc>
        <w:tc>
          <w:tcPr>
            <w:tcW w:w="4673" w:type="dxa"/>
          </w:tcPr>
          <w:p w14:paraId="3C7E9982" w14:textId="77777777" w:rsidR="00EF0E65" w:rsidRPr="00864C18" w:rsidRDefault="00EF0E65" w:rsidP="00EF0E65">
            <w:pPr>
              <w:rPr>
                <w:sz w:val="20"/>
              </w:rPr>
            </w:pPr>
          </w:p>
          <w:p w14:paraId="62E136DD" w14:textId="77777777" w:rsidR="00FA5211" w:rsidRDefault="00FA5211" w:rsidP="00FA5211">
            <w:pPr>
              <w:rPr>
                <w:i/>
                <w:sz w:val="20"/>
              </w:rPr>
            </w:pPr>
            <w:r>
              <w:rPr>
                <w:i/>
                <w:sz w:val="20"/>
              </w:rPr>
              <w:t>Bemærkningerne g</w:t>
            </w:r>
            <w:r w:rsidRPr="00864C18">
              <w:rPr>
                <w:i/>
                <w:sz w:val="20"/>
              </w:rPr>
              <w:t>iver ikke anledning til ændringer i bekendtgørelsen.</w:t>
            </w:r>
          </w:p>
          <w:p w14:paraId="73B22098" w14:textId="77777777" w:rsidR="00EA17A5" w:rsidRPr="00864C18" w:rsidRDefault="00EA17A5" w:rsidP="00EF0E65">
            <w:pPr>
              <w:rPr>
                <w:i/>
                <w:sz w:val="20"/>
              </w:rPr>
            </w:pPr>
          </w:p>
          <w:p w14:paraId="79029D52" w14:textId="26FFC03D" w:rsidR="00EF0E65" w:rsidRPr="00864C18" w:rsidRDefault="00EF0E65" w:rsidP="00EF0E65">
            <w:pPr>
              <w:rPr>
                <w:sz w:val="20"/>
              </w:rPr>
            </w:pPr>
            <w:r w:rsidRPr="00864C18">
              <w:rPr>
                <w:sz w:val="20"/>
              </w:rPr>
              <w:t>Arealer med overtrædelser af forpligtelser, som er af afgørende betydning for tilskudsberettigelsen eller den ønskede effekt, kan ikke tillægges en vægtningsfaktor, som er mindre end 1. Dette er en konsekvens af reglen om hensyntagen til alvor, omfang og varighed i artikel 5 i Europa-Parlamentets og Rådets forordning (EU) 2021/2116 af 2. december 2021.</w:t>
            </w:r>
          </w:p>
          <w:p w14:paraId="745A55FC" w14:textId="77777777" w:rsidR="00EF0E65" w:rsidRPr="00864C18" w:rsidRDefault="00EF0E65" w:rsidP="00EF0E65">
            <w:pPr>
              <w:rPr>
                <w:sz w:val="20"/>
              </w:rPr>
            </w:pPr>
          </w:p>
          <w:p w14:paraId="7C8AA7DF" w14:textId="30B12427" w:rsidR="00EF0E65" w:rsidRPr="003C5F8D" w:rsidRDefault="00EF0E65" w:rsidP="00EF0E65">
            <w:pPr>
              <w:rPr>
                <w:sz w:val="20"/>
              </w:rPr>
            </w:pPr>
            <w:r w:rsidRPr="00864C18">
              <w:rPr>
                <w:sz w:val="20"/>
              </w:rPr>
              <w:lastRenderedPageBreak/>
              <w:t>Ved fastsættelse af vægtingsfaktorer har Landbrugsstyrelsen lagt afgørende vægt på, at formålet med ordningen kan opnås.</w:t>
            </w:r>
            <w:r w:rsidR="00864C18" w:rsidRPr="00864C18">
              <w:rPr>
                <w:sz w:val="20"/>
              </w:rPr>
              <w:t xml:space="preserve"> Når tilskudsordningen har til formål, </w:t>
            </w:r>
            <w:r w:rsidR="00FF0159">
              <w:rPr>
                <w:sz w:val="20"/>
              </w:rPr>
              <w:t xml:space="preserve">at </w:t>
            </w:r>
            <w:r w:rsidR="00864C18" w:rsidRPr="00864C18">
              <w:rPr>
                <w:sz w:val="20"/>
              </w:rPr>
              <w:t>der ydes tilskud til bestemte, godkendte stivelseskartofler, er det således afgørende, at det er disse sorter, der dyrkes på de ansøgte arealer.</w:t>
            </w:r>
          </w:p>
          <w:p w14:paraId="653A6DCE" w14:textId="29CC8947" w:rsidR="00B772E9" w:rsidRPr="003C5F8D" w:rsidRDefault="00B772E9" w:rsidP="00EF0E65">
            <w:pPr>
              <w:rPr>
                <w:i/>
                <w:sz w:val="20"/>
                <w:u w:val="single"/>
              </w:rPr>
            </w:pPr>
          </w:p>
        </w:tc>
      </w:tr>
    </w:tbl>
    <w:p w14:paraId="3F64CA52" w14:textId="77777777" w:rsidR="00595821" w:rsidRPr="003C5F8D" w:rsidRDefault="00595821" w:rsidP="009F15D2">
      <w:pPr>
        <w:rPr>
          <w:sz w:val="20"/>
        </w:rPr>
      </w:pPr>
    </w:p>
    <w:sectPr w:rsidR="00595821" w:rsidRPr="003C5F8D" w:rsidSect="00BA4AB4">
      <w:headerReference w:type="even" r:id="rId7"/>
      <w:headerReference w:type="default" r:id="rId8"/>
      <w:footerReference w:type="even" r:id="rId9"/>
      <w:footerReference w:type="default" r:id="rId10"/>
      <w:headerReference w:type="first" r:id="rId11"/>
      <w:footerReference w:type="first" r:id="rId12"/>
      <w:pgSz w:w="11906" w:h="16838" w:code="9"/>
      <w:pgMar w:top="2041" w:right="1133" w:bottom="1701" w:left="1418" w:header="45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E48D9" w14:textId="77777777" w:rsidR="00746BCE" w:rsidRDefault="00746BCE">
      <w:r>
        <w:separator/>
      </w:r>
    </w:p>
  </w:endnote>
  <w:endnote w:type="continuationSeparator" w:id="0">
    <w:p w14:paraId="6CD8D73A" w14:textId="77777777" w:rsidR="00746BCE" w:rsidRDefault="0074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17F1E" w14:textId="77777777" w:rsidR="00EF0E65" w:rsidRDefault="00EF0E65" w:rsidP="00495993">
    <w:pPr>
      <w:framePr w:wrap="around" w:vAnchor="text" w:hAnchor="margin" w:xAlign="right" w:y="1"/>
    </w:pPr>
    <w:r>
      <w:fldChar w:fldCharType="begin"/>
    </w:r>
    <w:r>
      <w:instrText xml:space="preserve">PAGE  </w:instrText>
    </w:r>
    <w:r>
      <w:fldChar w:fldCharType="separate"/>
    </w:r>
    <w:r>
      <w:rPr>
        <w:noProof/>
      </w:rPr>
      <w:t>1</w:t>
    </w:r>
    <w:r>
      <w:fldChar w:fldCharType="end"/>
    </w:r>
  </w:p>
  <w:p w14:paraId="05F699B6" w14:textId="77777777" w:rsidR="00EF0E65" w:rsidRDefault="00EF0E65" w:rsidP="00E9485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EB188" w14:textId="77777777" w:rsidR="00EF0E65" w:rsidRDefault="00EF0E65" w:rsidP="00BC1C77">
    <w:pPr>
      <w:jc w:val="right"/>
    </w:pPr>
    <w:r>
      <w:fldChar w:fldCharType="begin"/>
    </w:r>
    <w:r>
      <w:instrText xml:space="preserve"> PAGE </w:instrText>
    </w:r>
    <w:r>
      <w:fldChar w:fldCharType="separate"/>
    </w:r>
    <w:r>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5D826" w14:textId="77777777" w:rsidR="00EF0E65" w:rsidRPr="00595821" w:rsidRDefault="00EF0E65" w:rsidP="001701A9">
    <w:pPr>
      <w:pStyle w:val="Template-Address"/>
    </w:pPr>
    <w:bookmarkStart w:id="20" w:name="OFF_Institution"/>
    <w:bookmarkStart w:id="21" w:name="OFF_InstitutionHIF"/>
    <w:bookmarkStart w:id="22" w:name="XIF_MMFirstAddressLine"/>
    <w:bookmarkStart w:id="23" w:name="CNT_FooterFirst"/>
    <w:r w:rsidRPr="00595821">
      <w:t>Landbrugsstyrelsen</w:t>
    </w:r>
    <w:bookmarkEnd w:id="20"/>
    <w:r w:rsidRPr="00595821">
      <w:t xml:space="preserve"> </w:t>
    </w:r>
    <w:bookmarkEnd w:id="21"/>
    <w:r w:rsidRPr="00595821">
      <w:t xml:space="preserve">• </w:t>
    </w:r>
    <w:bookmarkStart w:id="24" w:name="OFF_AddressA"/>
    <w:bookmarkStart w:id="25" w:name="OFF_AddressAHIF"/>
    <w:r w:rsidRPr="00595821">
      <w:t>Nyropsgade 30</w:t>
    </w:r>
    <w:bookmarkEnd w:id="24"/>
    <w:r w:rsidRPr="00595821">
      <w:t xml:space="preserve"> </w:t>
    </w:r>
    <w:bookmarkEnd w:id="25"/>
    <w:r w:rsidRPr="00595821">
      <w:rPr>
        <w:vanish/>
      </w:rPr>
      <w:t xml:space="preserve">• </w:t>
    </w:r>
    <w:bookmarkStart w:id="26" w:name="OFF_AddressB"/>
    <w:bookmarkStart w:id="27" w:name="OFF_AddressBHIF"/>
    <w:bookmarkEnd w:id="26"/>
    <w:r w:rsidRPr="00595821">
      <w:rPr>
        <w:vanish/>
      </w:rPr>
      <w:t xml:space="preserve"> </w:t>
    </w:r>
    <w:bookmarkEnd w:id="27"/>
    <w:r w:rsidRPr="00595821">
      <w:rPr>
        <w:vanish/>
      </w:rPr>
      <w:t xml:space="preserve">• </w:t>
    </w:r>
    <w:bookmarkStart w:id="28" w:name="OFF_AddressC"/>
    <w:bookmarkStart w:id="29" w:name="OFF_AddressCHIF"/>
    <w:bookmarkEnd w:id="28"/>
    <w:r w:rsidRPr="00595821">
      <w:rPr>
        <w:vanish/>
      </w:rPr>
      <w:t xml:space="preserve"> </w:t>
    </w:r>
    <w:bookmarkEnd w:id="29"/>
    <w:r w:rsidRPr="00595821">
      <w:t xml:space="preserve">• </w:t>
    </w:r>
    <w:bookmarkStart w:id="30" w:name="OFF_AddressD"/>
    <w:bookmarkStart w:id="31" w:name="OFF_AddressDHIF"/>
    <w:r w:rsidRPr="00595821">
      <w:t>1780</w:t>
    </w:r>
    <w:bookmarkEnd w:id="30"/>
    <w:r w:rsidRPr="00595821">
      <w:t xml:space="preserve"> </w:t>
    </w:r>
    <w:bookmarkStart w:id="32" w:name="OFF_City"/>
    <w:r>
      <w:t>København V</w:t>
    </w:r>
    <w:bookmarkEnd w:id="32"/>
    <w:r w:rsidRPr="00595821">
      <w:t xml:space="preserve"> </w:t>
    </w:r>
    <w:bookmarkEnd w:id="31"/>
  </w:p>
  <w:p w14:paraId="1F521D6C" w14:textId="77777777" w:rsidR="00EF0E65" w:rsidRDefault="00EF0E65" w:rsidP="001701A9">
    <w:pPr>
      <w:pStyle w:val="Template-Address"/>
    </w:pPr>
    <w:bookmarkStart w:id="33" w:name="LAN_Phone"/>
    <w:bookmarkStart w:id="34" w:name="OFF_PhoneHIF"/>
    <w:bookmarkStart w:id="35" w:name="XIF_MMSecondAddressLine"/>
    <w:bookmarkEnd w:id="22"/>
    <w:r w:rsidRPr="00595821">
      <w:t>Tlf.</w:t>
    </w:r>
    <w:bookmarkEnd w:id="33"/>
    <w:r w:rsidRPr="00595821">
      <w:t xml:space="preserve"> </w:t>
    </w:r>
    <w:bookmarkStart w:id="36" w:name="OFF_Phone"/>
    <w:r w:rsidRPr="00595821">
      <w:t>33 95 80 00</w:t>
    </w:r>
    <w:bookmarkEnd w:id="36"/>
    <w:r w:rsidRPr="00595821">
      <w:t xml:space="preserve"> </w:t>
    </w:r>
    <w:bookmarkEnd w:id="34"/>
    <w:r w:rsidRPr="00595821">
      <w:rPr>
        <w:vanish/>
      </w:rPr>
      <w:t xml:space="preserve">• </w:t>
    </w:r>
    <w:bookmarkStart w:id="37" w:name="LAN_Fax"/>
    <w:bookmarkStart w:id="38" w:name="OFF_FaxHIF"/>
    <w:r w:rsidRPr="00595821">
      <w:rPr>
        <w:vanish/>
      </w:rPr>
      <w:t>Fax</w:t>
    </w:r>
    <w:bookmarkEnd w:id="37"/>
    <w:r w:rsidRPr="00595821">
      <w:rPr>
        <w:vanish/>
      </w:rPr>
      <w:t xml:space="preserve"> </w:t>
    </w:r>
    <w:bookmarkStart w:id="39" w:name="OFF_Fax"/>
    <w:bookmarkEnd w:id="39"/>
    <w:r w:rsidRPr="00595821">
      <w:rPr>
        <w:vanish/>
      </w:rPr>
      <w:t xml:space="preserve"> </w:t>
    </w:r>
    <w:bookmarkEnd w:id="38"/>
    <w:r w:rsidRPr="00595821">
      <w:t xml:space="preserve">• </w:t>
    </w:r>
    <w:bookmarkStart w:id="40" w:name="OFF_CVRHIF"/>
    <w:r w:rsidRPr="00595821">
      <w:t xml:space="preserve">CVR </w:t>
    </w:r>
    <w:bookmarkStart w:id="41" w:name="OFF_CVR"/>
    <w:r w:rsidRPr="00595821">
      <w:t>20814616</w:t>
    </w:r>
    <w:bookmarkEnd w:id="41"/>
    <w:r w:rsidRPr="00595821">
      <w:t xml:space="preserve"> </w:t>
    </w:r>
    <w:bookmarkEnd w:id="40"/>
    <w:r w:rsidRPr="00595821">
      <w:t xml:space="preserve">• </w:t>
    </w:r>
    <w:bookmarkStart w:id="42" w:name="OFF_EANHIF"/>
    <w:r w:rsidRPr="00595821">
      <w:t xml:space="preserve">EAN </w:t>
    </w:r>
    <w:bookmarkStart w:id="43" w:name="OFF_EAN"/>
    <w:r w:rsidRPr="00595821">
      <w:t>5798000877955</w:t>
    </w:r>
    <w:bookmarkEnd w:id="43"/>
    <w:r w:rsidRPr="00595821">
      <w:t xml:space="preserve"> </w:t>
    </w:r>
    <w:bookmarkEnd w:id="42"/>
    <w:r w:rsidRPr="00595821">
      <w:t xml:space="preserve">• </w:t>
    </w:r>
    <w:bookmarkStart w:id="44" w:name="OFF_Email"/>
    <w:bookmarkStart w:id="45" w:name="OFF_EmailHIF"/>
    <w:r w:rsidRPr="00595821">
      <w:t>mail@lbst.dk</w:t>
    </w:r>
    <w:bookmarkEnd w:id="44"/>
    <w:r w:rsidRPr="00595821">
      <w:t xml:space="preserve"> </w:t>
    </w:r>
    <w:bookmarkEnd w:id="45"/>
    <w:r w:rsidRPr="00595821">
      <w:t xml:space="preserve">• </w:t>
    </w:r>
    <w:bookmarkStart w:id="46" w:name="OFF_Web"/>
    <w:bookmarkStart w:id="47" w:name="OFF_WebHIF"/>
    <w:r w:rsidRPr="00595821">
      <w:t>www.lbst.dk</w:t>
    </w:r>
    <w:bookmarkEnd w:id="46"/>
    <w:r w:rsidRPr="00595821">
      <w:t xml:space="preserve"> </w:t>
    </w:r>
    <w:bookmarkEnd w:id="35"/>
    <w:bookmarkEnd w:id="47"/>
  </w:p>
  <w:bookmarkEnd w:id="23"/>
  <w:p w14:paraId="2C3F7620" w14:textId="77777777" w:rsidR="00EF0E65" w:rsidRDefault="00EF0E65" w:rsidP="001701A9">
    <w:pPr>
      <w:pStyle w:val="Template-Addres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BBF2E" w14:textId="77777777" w:rsidR="00746BCE" w:rsidRDefault="00746BCE">
      <w:r>
        <w:separator/>
      </w:r>
    </w:p>
  </w:footnote>
  <w:footnote w:type="continuationSeparator" w:id="0">
    <w:p w14:paraId="112F1A51" w14:textId="77777777" w:rsidR="00746BCE" w:rsidRDefault="00746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EB9F4" w14:textId="77777777" w:rsidR="002C63B0" w:rsidRDefault="002C63B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A8B7" w14:textId="77777777" w:rsidR="00EF0E65" w:rsidRDefault="00EF0E65">
    <w:bookmarkStart w:id="1" w:name="BIT_PrimaryHeader"/>
  </w:p>
  <w:bookmarkEnd w:id="1"/>
  <w:p w14:paraId="2E2F56A3" w14:textId="77777777" w:rsidR="00EF0E65" w:rsidRDefault="00EF0E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8E29A" w14:textId="77777777" w:rsidR="00EF0E65" w:rsidRDefault="00EF0E65" w:rsidP="00CF614F">
    <w:bookmarkStart w:id="2" w:name="CNT_HeaderFirst"/>
    <w:r>
      <w:rPr>
        <w:noProof/>
      </w:rPr>
      <w:drawing>
        <wp:anchor distT="0" distB="0" distL="114300" distR="114300" simplePos="0" relativeHeight="251659264" behindDoc="0" locked="1" layoutInCell="1" allowOverlap="1" wp14:anchorId="59021257" wp14:editId="3F866893">
          <wp:simplePos x="0" y="0"/>
          <wp:positionH relativeFrom="rightMargin">
            <wp:align>right</wp:align>
          </wp:positionH>
          <wp:positionV relativeFrom="page">
            <wp:posOffset>431800</wp:posOffset>
          </wp:positionV>
          <wp:extent cx="2555232" cy="610235"/>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5971"/>
                  <a:stretch>
                    <a:fillRect/>
                  </a:stretch>
                </pic:blipFill>
                <pic:spPr>
                  <a:xfrm>
                    <a:off x="0" y="0"/>
                    <a:ext cx="2555232" cy="6102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1" layoutInCell="1" allowOverlap="1" wp14:anchorId="2266A87F" wp14:editId="575AC27D">
              <wp:simplePos x="0" y="0"/>
              <wp:positionH relativeFrom="page">
                <wp:align>right</wp:align>
              </wp:positionH>
              <wp:positionV relativeFrom="margin">
                <wp:posOffset>0</wp:posOffset>
              </wp:positionV>
              <wp:extent cx="2016000" cy="874800"/>
              <wp:effectExtent l="0" t="0" r="3810" b="1905"/>
              <wp:wrapNone/>
              <wp:docPr id="1" name="Kolofon"/>
              <wp:cNvGraphicFramePr/>
              <a:graphic xmlns:a="http://schemas.openxmlformats.org/drawingml/2006/main">
                <a:graphicData uri="http://schemas.microsoft.com/office/word/2010/wordprocessingShape">
                  <wps:wsp>
                    <wps:cNvSpPr txBox="1"/>
                    <wps:spPr>
                      <a:xfrm>
                        <a:off x="0" y="0"/>
                        <a:ext cx="2016000" cy="87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28" w:type="dxa"/>
                              <w:right w:w="0" w:type="dxa"/>
                            </w:tblCellMar>
                            <w:tblLook w:val="01E0" w:firstRow="1" w:lastRow="1" w:firstColumn="1" w:lastColumn="1" w:noHBand="0" w:noVBand="0"/>
                          </w:tblPr>
                          <w:tblGrid>
                            <w:gridCol w:w="2977"/>
                          </w:tblGrid>
                          <w:tr w:rsidR="00EF0E65" w:rsidRPr="00C5218D" w14:paraId="77C54DA0" w14:textId="77777777" w:rsidTr="000762F8">
                            <w:trPr>
                              <w:cantSplit/>
                              <w:trHeight w:val="2778"/>
                              <w:hidden/>
                            </w:trPr>
                            <w:tc>
                              <w:tcPr>
                                <w:tcW w:w="2977" w:type="dxa"/>
                                <w:tcMar>
                                  <w:top w:w="34" w:type="dxa"/>
                                  <w:left w:w="0" w:type="dxa"/>
                                  <w:bottom w:w="28" w:type="dxa"/>
                                  <w:right w:w="0" w:type="dxa"/>
                                </w:tcMar>
                              </w:tcPr>
                              <w:p w14:paraId="4FE411A5" w14:textId="77777777" w:rsidR="00EF0E65" w:rsidRPr="00595821" w:rsidRDefault="00EF0E65" w:rsidP="001701A9">
                                <w:pPr>
                                  <w:pStyle w:val="Kolofontekst"/>
                                  <w:rPr>
                                    <w:vanish/>
                                  </w:rPr>
                                </w:pPr>
                                <w:bookmarkStart w:id="3" w:name="OFF_Department"/>
                                <w:bookmarkStart w:id="4" w:name="OFF_DepartmentHIF"/>
                                <w:bookmarkEnd w:id="3"/>
                              </w:p>
                              <w:p w14:paraId="6AB2E7F1" w14:textId="77777777" w:rsidR="00EF0E65" w:rsidRDefault="00EF0E65" w:rsidP="001701A9">
                                <w:pPr>
                                  <w:pStyle w:val="Kolofontekst"/>
                                </w:pPr>
                                <w:bookmarkStart w:id="5" w:name="LAN_CaseNo"/>
                                <w:bookmarkStart w:id="6" w:name="sagsnrHIF"/>
                                <w:bookmarkEnd w:id="4"/>
                                <w:r w:rsidRPr="00654C57">
                                  <w:t>J.nr.</w:t>
                                </w:r>
                                <w:bookmarkEnd w:id="5"/>
                                <w:r w:rsidRPr="00654C57">
                                  <w:t xml:space="preserve"> </w:t>
                                </w:r>
                                <w:r w:rsidRPr="00B772E9">
                                  <w:t>23-11-000023</w:t>
                                </w:r>
                                <w:bookmarkStart w:id="7" w:name="LAN_Ref"/>
                                <w:bookmarkStart w:id="8" w:name="USR_InitialsHIF"/>
                                <w:bookmarkEnd w:id="6"/>
                              </w:p>
                              <w:p w14:paraId="58B402A0" w14:textId="4360ECBE" w:rsidR="00EF0E65" w:rsidRPr="00C5218D" w:rsidRDefault="00EF0E65" w:rsidP="001701A9">
                                <w:pPr>
                                  <w:pStyle w:val="Kolofontekst"/>
                                </w:pPr>
                                <w:r w:rsidRPr="00C5218D">
                                  <w:t>Ref.</w:t>
                                </w:r>
                                <w:bookmarkEnd w:id="7"/>
                                <w:r w:rsidRPr="00C5218D">
                                  <w:t xml:space="preserve"> </w:t>
                                </w:r>
                                <w:r>
                                  <w:t>HED/THUPHA</w:t>
                                </w:r>
                              </w:p>
                              <w:p w14:paraId="0CD58E6B" w14:textId="6C059FAA" w:rsidR="00EF0E65" w:rsidRPr="00C5218D" w:rsidRDefault="00EF0E65" w:rsidP="00FC7066">
                                <w:pPr>
                                  <w:pStyle w:val="Kolofontekst"/>
                                </w:pPr>
                                <w:bookmarkStart w:id="9" w:name="FLD_DocumentDate"/>
                                <w:bookmarkEnd w:id="8"/>
                                <w:r w:rsidRPr="00C5218D">
                                  <w:rPr>
                                    <w:noProof/>
                                  </w:rPr>
                                  <w:t xml:space="preserve">Den </w:t>
                                </w:r>
                                <w:r w:rsidR="002C63B0">
                                  <w:rPr>
                                    <w:noProof/>
                                  </w:rPr>
                                  <w:t>29</w:t>
                                </w:r>
                                <w:bookmarkStart w:id="10" w:name="_GoBack"/>
                                <w:bookmarkEnd w:id="10"/>
                                <w:r w:rsidRPr="00C5218D">
                                  <w:rPr>
                                    <w:noProof/>
                                  </w:rPr>
                                  <w:t xml:space="preserve">. </w:t>
                                </w:r>
                                <w:r>
                                  <w:rPr>
                                    <w:noProof/>
                                  </w:rPr>
                                  <w:t>november</w:t>
                                </w:r>
                                <w:r w:rsidRPr="00C5218D">
                                  <w:rPr>
                                    <w:noProof/>
                                  </w:rPr>
                                  <w:t xml:space="preserve"> 2023</w:t>
                                </w:r>
                                <w:bookmarkEnd w:id="9"/>
                              </w:p>
                            </w:tc>
                          </w:tr>
                        </w:tbl>
                        <w:p w14:paraId="673FDA26" w14:textId="77777777" w:rsidR="00EF0E65" w:rsidRPr="00C5218D" w:rsidRDefault="00EF0E65" w:rsidP="00CF614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6A87F" id="_x0000_t202" coordsize="21600,21600" o:spt="202" path="m,l,21600r21600,l21600,xe">
              <v:stroke joinstyle="miter"/>
              <v:path gradientshapeok="t" o:connecttype="rect"/>
            </v:shapetype>
            <v:shape id="Kolofon" o:spid="_x0000_s1026" type="#_x0000_t202" style="position:absolute;margin-left:107.55pt;margin-top:0;width:158.75pt;height:68.9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" filled="f" stroked="f" strokeweight=".5pt">
              <v:textbox inset="0,0,0,0">
                <w:txbxContent>
                  <w:tbl>
                    <w:tblPr>
                      <w:tblW w:w="0" w:type="auto"/>
                      <w:tblLayout w:type="fixed"/>
                      <w:tblCellMar>
                        <w:left w:w="28" w:type="dxa"/>
                        <w:right w:w="0" w:type="dxa"/>
                      </w:tblCellMar>
                      <w:tblLook w:val="01E0" w:firstRow="1" w:lastRow="1" w:firstColumn="1" w:lastColumn="1" w:noHBand="0" w:noVBand="0"/>
                    </w:tblPr>
                    <w:tblGrid>
                      <w:gridCol w:w="2977"/>
                    </w:tblGrid>
                    <w:tr w:rsidR="00EF0E65" w:rsidRPr="00C5218D" w14:paraId="77C54DA0" w14:textId="77777777" w:rsidTr="000762F8">
                      <w:trPr>
                        <w:cantSplit/>
                        <w:trHeight w:val="2778"/>
                        <w:hidden/>
                      </w:trPr>
                      <w:tc>
                        <w:tcPr>
                          <w:tcW w:w="2977" w:type="dxa"/>
                          <w:tcMar>
                            <w:top w:w="34" w:type="dxa"/>
                            <w:left w:w="0" w:type="dxa"/>
                            <w:bottom w:w="28" w:type="dxa"/>
                            <w:right w:w="0" w:type="dxa"/>
                          </w:tcMar>
                        </w:tcPr>
                        <w:p w14:paraId="4FE411A5" w14:textId="77777777" w:rsidR="00EF0E65" w:rsidRPr="00595821" w:rsidRDefault="00EF0E65" w:rsidP="001701A9">
                          <w:pPr>
                            <w:pStyle w:val="Kolofontekst"/>
                            <w:rPr>
                              <w:vanish/>
                            </w:rPr>
                          </w:pPr>
                          <w:bookmarkStart w:id="11" w:name="OFF_Department"/>
                          <w:bookmarkStart w:id="12" w:name="OFF_DepartmentHIF"/>
                          <w:bookmarkEnd w:id="11"/>
                        </w:p>
                        <w:p w14:paraId="6AB2E7F1" w14:textId="77777777" w:rsidR="00EF0E65" w:rsidRDefault="00EF0E65" w:rsidP="001701A9">
                          <w:pPr>
                            <w:pStyle w:val="Kolofontekst"/>
                          </w:pPr>
                          <w:bookmarkStart w:id="13" w:name="LAN_CaseNo"/>
                          <w:bookmarkStart w:id="14" w:name="sagsnrHIF"/>
                          <w:bookmarkEnd w:id="12"/>
                          <w:r w:rsidRPr="00654C57">
                            <w:t>J.nr.</w:t>
                          </w:r>
                          <w:bookmarkEnd w:id="13"/>
                          <w:r w:rsidRPr="00654C57">
                            <w:t xml:space="preserve"> </w:t>
                          </w:r>
                          <w:r w:rsidRPr="00B772E9">
                            <w:t>23-11-000023</w:t>
                          </w:r>
                          <w:bookmarkStart w:id="15" w:name="LAN_Ref"/>
                          <w:bookmarkStart w:id="16" w:name="USR_InitialsHIF"/>
                          <w:bookmarkEnd w:id="14"/>
                        </w:p>
                        <w:p w14:paraId="58B402A0" w14:textId="4360ECBE" w:rsidR="00EF0E65" w:rsidRPr="00C5218D" w:rsidRDefault="00EF0E65" w:rsidP="001701A9">
                          <w:pPr>
                            <w:pStyle w:val="Kolofontekst"/>
                          </w:pPr>
                          <w:r w:rsidRPr="00C5218D">
                            <w:t>Ref.</w:t>
                          </w:r>
                          <w:bookmarkEnd w:id="15"/>
                          <w:r w:rsidRPr="00C5218D">
                            <w:t xml:space="preserve"> </w:t>
                          </w:r>
                          <w:r>
                            <w:t>HED/THUPHA</w:t>
                          </w:r>
                        </w:p>
                        <w:p w14:paraId="0CD58E6B" w14:textId="6C059FAA" w:rsidR="00EF0E65" w:rsidRPr="00C5218D" w:rsidRDefault="00EF0E65" w:rsidP="00FC7066">
                          <w:pPr>
                            <w:pStyle w:val="Kolofontekst"/>
                          </w:pPr>
                          <w:bookmarkStart w:id="17" w:name="FLD_DocumentDate"/>
                          <w:bookmarkEnd w:id="16"/>
                          <w:r w:rsidRPr="00C5218D">
                            <w:rPr>
                              <w:noProof/>
                            </w:rPr>
                            <w:t xml:space="preserve">Den </w:t>
                          </w:r>
                          <w:r w:rsidR="002C63B0">
                            <w:rPr>
                              <w:noProof/>
                            </w:rPr>
                            <w:t>29</w:t>
                          </w:r>
                          <w:bookmarkStart w:id="18" w:name="_GoBack"/>
                          <w:bookmarkEnd w:id="18"/>
                          <w:r w:rsidRPr="00C5218D">
                            <w:rPr>
                              <w:noProof/>
                            </w:rPr>
                            <w:t xml:space="preserve">. </w:t>
                          </w:r>
                          <w:r>
                            <w:rPr>
                              <w:noProof/>
                            </w:rPr>
                            <w:t>november</w:t>
                          </w:r>
                          <w:r w:rsidRPr="00C5218D">
                            <w:rPr>
                              <w:noProof/>
                            </w:rPr>
                            <w:t xml:space="preserve"> 2023</w:t>
                          </w:r>
                          <w:bookmarkEnd w:id="17"/>
                        </w:p>
                      </w:tc>
                    </w:tr>
                  </w:tbl>
                  <w:p w14:paraId="673FDA26" w14:textId="77777777" w:rsidR="00EF0E65" w:rsidRPr="00C5218D" w:rsidRDefault="00EF0E65" w:rsidP="00CF614F"/>
                </w:txbxContent>
              </v:textbox>
              <w10:wrap anchorx="page" anchory="margin"/>
              <w10:anchorlock/>
            </v:shape>
          </w:pict>
        </mc:Fallback>
      </mc:AlternateContent>
    </w:r>
  </w:p>
  <w:p w14:paraId="1CA9D98E" w14:textId="77777777" w:rsidR="00EF0E65" w:rsidRDefault="00EF0E65" w:rsidP="00CF1627">
    <w:bookmarkStart w:id="19" w:name="FLD_DocumentName"/>
    <w:bookmarkEnd w:id="2"/>
    <w:r>
      <w:t>Notat</w:t>
    </w:r>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F2D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69C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426C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3" w15:restartNumberingAfterBreak="0">
    <w:nsid w:val="28F74608"/>
    <w:multiLevelType w:val="hybridMultilevel"/>
    <w:tmpl w:val="06E4AD84"/>
    <w:lvl w:ilvl="0" w:tplc="8794C236">
      <w:start w:val="10"/>
      <w:numFmt w:val="bullet"/>
      <w:lvlText w:val="-"/>
      <w:lvlJc w:val="left"/>
      <w:pPr>
        <w:ind w:left="405" w:hanging="360"/>
      </w:pPr>
      <w:rPr>
        <w:rFonts w:ascii="Georgia" w:eastAsia="Times New Roman" w:hAnsi="Georgia"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14"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5" w15:restartNumberingAfterBreak="0">
    <w:nsid w:val="390A78B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CE26E97"/>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5990B93"/>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9AB2BEB"/>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B342D77"/>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EF03C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num w:numId="1">
    <w:abstractNumId w:val="12"/>
  </w:num>
  <w:num w:numId="2">
    <w:abstractNumId w:val="7"/>
  </w:num>
  <w:num w:numId="3">
    <w:abstractNumId w:val="6"/>
  </w:num>
  <w:num w:numId="4">
    <w:abstractNumId w:val="5"/>
  </w:num>
  <w:num w:numId="5">
    <w:abstractNumId w:val="4"/>
  </w:num>
  <w:num w:numId="6">
    <w:abstractNumId w:val="14"/>
  </w:num>
  <w:num w:numId="7">
    <w:abstractNumId w:val="3"/>
  </w:num>
  <w:num w:numId="8">
    <w:abstractNumId w:val="2"/>
  </w:num>
  <w:num w:numId="9">
    <w:abstractNumId w:val="1"/>
  </w:num>
  <w:num w:numId="10">
    <w:abstractNumId w:val="0"/>
  </w:num>
  <w:num w:numId="11">
    <w:abstractNumId w:val="21"/>
  </w:num>
  <w:num w:numId="12">
    <w:abstractNumId w:val="19"/>
  </w:num>
  <w:num w:numId="13">
    <w:abstractNumId w:val="18"/>
  </w:num>
  <w:num w:numId="14">
    <w:abstractNumId w:val="8"/>
  </w:num>
  <w:num w:numId="15">
    <w:abstractNumId w:val="10"/>
  </w:num>
  <w:num w:numId="16">
    <w:abstractNumId w:val="11"/>
  </w:num>
  <w:num w:numId="17">
    <w:abstractNumId w:val="17"/>
  </w:num>
  <w:num w:numId="18">
    <w:abstractNumId w:val="20"/>
  </w:num>
  <w:num w:numId="19">
    <w:abstractNumId w:val="16"/>
  </w:num>
  <w:num w:numId="20">
    <w:abstractNumId w:val="15"/>
  </w:num>
  <w:num w:numId="21">
    <w:abstractNumId w:val="22"/>
  </w:num>
  <w:num w:numId="22">
    <w:abstractNumId w:val="9"/>
  </w:num>
  <w:num w:numId="23">
    <w:abstractNumId w:val="12"/>
  </w:num>
  <w:num w:numId="24">
    <w:abstractNumId w:val="7"/>
  </w:num>
  <w:num w:numId="25">
    <w:abstractNumId w:val="6"/>
  </w:num>
  <w:num w:numId="26">
    <w:abstractNumId w:val="5"/>
  </w:num>
  <w:num w:numId="27">
    <w:abstractNumId w:val="4"/>
  </w:num>
  <w:num w:numId="28">
    <w:abstractNumId w:val="14"/>
  </w:num>
  <w:num w:numId="29">
    <w:abstractNumId w:val="3"/>
  </w:num>
  <w:num w:numId="30">
    <w:abstractNumId w:val="2"/>
  </w:num>
  <w:num w:numId="31">
    <w:abstractNumId w:val="1"/>
  </w:num>
  <w:num w:numId="32">
    <w:abstractNumId w:val="0"/>
  </w:num>
  <w:num w:numId="33">
    <w:abstractNumId w:val="11"/>
  </w:num>
  <w:num w:numId="34">
    <w:abstractNumId w:val="20"/>
  </w:num>
  <w:num w:numId="35">
    <w:abstractNumId w:val="15"/>
  </w:num>
  <w:num w:numId="36">
    <w:abstractNumId w:val="22"/>
  </w:num>
  <w:num w:numId="37">
    <w:abstractNumId w:val="12"/>
  </w:num>
  <w:num w:numId="38">
    <w:abstractNumId w:val="7"/>
  </w:num>
  <w:num w:numId="39">
    <w:abstractNumId w:val="6"/>
  </w:num>
  <w:num w:numId="40">
    <w:abstractNumId w:val="5"/>
  </w:num>
  <w:num w:numId="41">
    <w:abstractNumId w:val="4"/>
  </w:num>
  <w:num w:numId="42">
    <w:abstractNumId w:val="14"/>
  </w:num>
  <w:num w:numId="43">
    <w:abstractNumId w:val="3"/>
  </w:num>
  <w:num w:numId="44">
    <w:abstractNumId w:val="2"/>
  </w:num>
  <w:num w:numId="45">
    <w:abstractNumId w:val="1"/>
  </w:num>
  <w:num w:numId="46">
    <w:abstractNumId w:val="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wcv4B+0j6hgdtSSU90wegQ5opm0YA5c1MrSTZKjtM/5zqH6aNZKSvbHtTcT4Fqim"/>
  </w:docVars>
  <w:rsids>
    <w:rsidRoot w:val="00595821"/>
    <w:rsid w:val="00002EA0"/>
    <w:rsid w:val="00003636"/>
    <w:rsid w:val="00005FAA"/>
    <w:rsid w:val="000069D8"/>
    <w:rsid w:val="00010163"/>
    <w:rsid w:val="0001032A"/>
    <w:rsid w:val="0001457C"/>
    <w:rsid w:val="0001528D"/>
    <w:rsid w:val="000166A0"/>
    <w:rsid w:val="00021E8C"/>
    <w:rsid w:val="00030051"/>
    <w:rsid w:val="00037E7E"/>
    <w:rsid w:val="000448A2"/>
    <w:rsid w:val="00060BC5"/>
    <w:rsid w:val="000647F2"/>
    <w:rsid w:val="0006510E"/>
    <w:rsid w:val="00070BA1"/>
    <w:rsid w:val="00072E8B"/>
    <w:rsid w:val="00073466"/>
    <w:rsid w:val="00074F1A"/>
    <w:rsid w:val="000758FD"/>
    <w:rsid w:val="000762F8"/>
    <w:rsid w:val="00082404"/>
    <w:rsid w:val="000825EC"/>
    <w:rsid w:val="00085001"/>
    <w:rsid w:val="000863CE"/>
    <w:rsid w:val="00086B6B"/>
    <w:rsid w:val="00091191"/>
    <w:rsid w:val="00096AA1"/>
    <w:rsid w:val="000A1C92"/>
    <w:rsid w:val="000A26F5"/>
    <w:rsid w:val="000A7219"/>
    <w:rsid w:val="000B1B74"/>
    <w:rsid w:val="000B26E7"/>
    <w:rsid w:val="000B2E5E"/>
    <w:rsid w:val="000B5461"/>
    <w:rsid w:val="000B5C70"/>
    <w:rsid w:val="000C0594"/>
    <w:rsid w:val="000C13E6"/>
    <w:rsid w:val="000C2014"/>
    <w:rsid w:val="000C3D52"/>
    <w:rsid w:val="000C45B7"/>
    <w:rsid w:val="000C62D3"/>
    <w:rsid w:val="000D0F4C"/>
    <w:rsid w:val="000D1CF4"/>
    <w:rsid w:val="000D28C1"/>
    <w:rsid w:val="000D422D"/>
    <w:rsid w:val="000D5FBF"/>
    <w:rsid w:val="000D600E"/>
    <w:rsid w:val="000D7126"/>
    <w:rsid w:val="000D7A87"/>
    <w:rsid w:val="000D7F41"/>
    <w:rsid w:val="000E0C04"/>
    <w:rsid w:val="000E25AA"/>
    <w:rsid w:val="000E3992"/>
    <w:rsid w:val="000E4332"/>
    <w:rsid w:val="000E717B"/>
    <w:rsid w:val="000F0B81"/>
    <w:rsid w:val="001062D0"/>
    <w:rsid w:val="00114DE6"/>
    <w:rsid w:val="00120F7C"/>
    <w:rsid w:val="001210A9"/>
    <w:rsid w:val="00127B96"/>
    <w:rsid w:val="00133780"/>
    <w:rsid w:val="001354CC"/>
    <w:rsid w:val="0014150F"/>
    <w:rsid w:val="00141726"/>
    <w:rsid w:val="001420AE"/>
    <w:rsid w:val="00144670"/>
    <w:rsid w:val="0014616C"/>
    <w:rsid w:val="00147799"/>
    <w:rsid w:val="00150899"/>
    <w:rsid w:val="00152CB8"/>
    <w:rsid w:val="001532DF"/>
    <w:rsid w:val="00156908"/>
    <w:rsid w:val="00160721"/>
    <w:rsid w:val="00164D4B"/>
    <w:rsid w:val="001650CB"/>
    <w:rsid w:val="001701A9"/>
    <w:rsid w:val="001743E7"/>
    <w:rsid w:val="00183D05"/>
    <w:rsid w:val="00183FD2"/>
    <w:rsid w:val="001A0525"/>
    <w:rsid w:val="001A4CEE"/>
    <w:rsid w:val="001A4D56"/>
    <w:rsid w:val="001A58BF"/>
    <w:rsid w:val="001A6CB5"/>
    <w:rsid w:val="001A7E4B"/>
    <w:rsid w:val="001B3F10"/>
    <w:rsid w:val="001B72A9"/>
    <w:rsid w:val="001C2544"/>
    <w:rsid w:val="001C417D"/>
    <w:rsid w:val="001C426A"/>
    <w:rsid w:val="001C4328"/>
    <w:rsid w:val="001C4EDF"/>
    <w:rsid w:val="001C59DB"/>
    <w:rsid w:val="001C7630"/>
    <w:rsid w:val="001D1196"/>
    <w:rsid w:val="001D19D8"/>
    <w:rsid w:val="001D54C3"/>
    <w:rsid w:val="001E21EF"/>
    <w:rsid w:val="001E38EF"/>
    <w:rsid w:val="001E7A98"/>
    <w:rsid w:val="001E7F16"/>
    <w:rsid w:val="001F3A47"/>
    <w:rsid w:val="001F763E"/>
    <w:rsid w:val="00200B86"/>
    <w:rsid w:val="0020134B"/>
    <w:rsid w:val="00202BC0"/>
    <w:rsid w:val="0020402C"/>
    <w:rsid w:val="002044E3"/>
    <w:rsid w:val="00204BF4"/>
    <w:rsid w:val="00206632"/>
    <w:rsid w:val="00207F46"/>
    <w:rsid w:val="00211AC9"/>
    <w:rsid w:val="00212497"/>
    <w:rsid w:val="002239C6"/>
    <w:rsid w:val="00225534"/>
    <w:rsid w:val="00230614"/>
    <w:rsid w:val="00231991"/>
    <w:rsid w:val="00235C1F"/>
    <w:rsid w:val="002366E2"/>
    <w:rsid w:val="002518CD"/>
    <w:rsid w:val="002629A8"/>
    <w:rsid w:val="002639DB"/>
    <w:rsid w:val="00264240"/>
    <w:rsid w:val="002654F9"/>
    <w:rsid w:val="00267F76"/>
    <w:rsid w:val="00267FA8"/>
    <w:rsid w:val="0027546B"/>
    <w:rsid w:val="0027556D"/>
    <w:rsid w:val="00281ADE"/>
    <w:rsid w:val="00283D52"/>
    <w:rsid w:val="00284176"/>
    <w:rsid w:val="00285CBF"/>
    <w:rsid w:val="0029173A"/>
    <w:rsid w:val="00293240"/>
    <w:rsid w:val="002933E6"/>
    <w:rsid w:val="0029629D"/>
    <w:rsid w:val="002972DC"/>
    <w:rsid w:val="0029791E"/>
    <w:rsid w:val="002A29B1"/>
    <w:rsid w:val="002A7860"/>
    <w:rsid w:val="002B1088"/>
    <w:rsid w:val="002B2540"/>
    <w:rsid w:val="002C042D"/>
    <w:rsid w:val="002C07B2"/>
    <w:rsid w:val="002C4595"/>
    <w:rsid w:val="002C4D00"/>
    <w:rsid w:val="002C63B0"/>
    <w:rsid w:val="002D00C9"/>
    <w:rsid w:val="002D07A5"/>
    <w:rsid w:val="002D1970"/>
    <w:rsid w:val="002D268E"/>
    <w:rsid w:val="002D4827"/>
    <w:rsid w:val="002D73AC"/>
    <w:rsid w:val="002D7F0F"/>
    <w:rsid w:val="002F229E"/>
    <w:rsid w:val="003001A2"/>
    <w:rsid w:val="00304BA9"/>
    <w:rsid w:val="00310C3C"/>
    <w:rsid w:val="00313642"/>
    <w:rsid w:val="00315AC9"/>
    <w:rsid w:val="00320951"/>
    <w:rsid w:val="003209AA"/>
    <w:rsid w:val="00322BBE"/>
    <w:rsid w:val="00326ED5"/>
    <w:rsid w:val="0032713E"/>
    <w:rsid w:val="00330A28"/>
    <w:rsid w:val="00331970"/>
    <w:rsid w:val="00334562"/>
    <w:rsid w:val="00337CA9"/>
    <w:rsid w:val="00343A37"/>
    <w:rsid w:val="00345FA9"/>
    <w:rsid w:val="003465B4"/>
    <w:rsid w:val="00350582"/>
    <w:rsid w:val="00352299"/>
    <w:rsid w:val="00353FAA"/>
    <w:rsid w:val="00355263"/>
    <w:rsid w:val="003558D9"/>
    <w:rsid w:val="00362EAC"/>
    <w:rsid w:val="003636BF"/>
    <w:rsid w:val="00365BC4"/>
    <w:rsid w:val="00366511"/>
    <w:rsid w:val="0037701D"/>
    <w:rsid w:val="003819FF"/>
    <w:rsid w:val="00385C06"/>
    <w:rsid w:val="003864CC"/>
    <w:rsid w:val="00386D0C"/>
    <w:rsid w:val="003966D8"/>
    <w:rsid w:val="00397271"/>
    <w:rsid w:val="0039737A"/>
    <w:rsid w:val="003A0376"/>
    <w:rsid w:val="003A2071"/>
    <w:rsid w:val="003A3350"/>
    <w:rsid w:val="003A3369"/>
    <w:rsid w:val="003A3F67"/>
    <w:rsid w:val="003A44A9"/>
    <w:rsid w:val="003B6C74"/>
    <w:rsid w:val="003C2E3D"/>
    <w:rsid w:val="003C2E92"/>
    <w:rsid w:val="003C5F8D"/>
    <w:rsid w:val="003C67E6"/>
    <w:rsid w:val="003D3CB2"/>
    <w:rsid w:val="003D4C85"/>
    <w:rsid w:val="003D518E"/>
    <w:rsid w:val="003D5928"/>
    <w:rsid w:val="003E06B4"/>
    <w:rsid w:val="003E09D1"/>
    <w:rsid w:val="003E1377"/>
    <w:rsid w:val="003E3617"/>
    <w:rsid w:val="003F0D75"/>
    <w:rsid w:val="003F319A"/>
    <w:rsid w:val="003F3D03"/>
    <w:rsid w:val="0040506D"/>
    <w:rsid w:val="00406784"/>
    <w:rsid w:val="00406AF1"/>
    <w:rsid w:val="00407C2F"/>
    <w:rsid w:val="00412F05"/>
    <w:rsid w:val="0041385B"/>
    <w:rsid w:val="004141FA"/>
    <w:rsid w:val="00415BC0"/>
    <w:rsid w:val="00416FC7"/>
    <w:rsid w:val="004208E6"/>
    <w:rsid w:val="00421262"/>
    <w:rsid w:val="00421C99"/>
    <w:rsid w:val="004232F9"/>
    <w:rsid w:val="00433A1E"/>
    <w:rsid w:val="00434FC1"/>
    <w:rsid w:val="004353B0"/>
    <w:rsid w:val="00437E02"/>
    <w:rsid w:val="00440668"/>
    <w:rsid w:val="004421D7"/>
    <w:rsid w:val="00447B83"/>
    <w:rsid w:val="00450475"/>
    <w:rsid w:val="00451A4A"/>
    <w:rsid w:val="004561B3"/>
    <w:rsid w:val="00457882"/>
    <w:rsid w:val="00460B5A"/>
    <w:rsid w:val="0046600E"/>
    <w:rsid w:val="00467E79"/>
    <w:rsid w:val="00476722"/>
    <w:rsid w:val="00480125"/>
    <w:rsid w:val="00481EEB"/>
    <w:rsid w:val="0048414C"/>
    <w:rsid w:val="0048667B"/>
    <w:rsid w:val="00495993"/>
    <w:rsid w:val="004979B6"/>
    <w:rsid w:val="004A1AC2"/>
    <w:rsid w:val="004A3AAA"/>
    <w:rsid w:val="004A4315"/>
    <w:rsid w:val="004B04F3"/>
    <w:rsid w:val="004B1263"/>
    <w:rsid w:val="004B5995"/>
    <w:rsid w:val="004B5AC3"/>
    <w:rsid w:val="004B6A8B"/>
    <w:rsid w:val="004C0742"/>
    <w:rsid w:val="004C237E"/>
    <w:rsid w:val="004C491E"/>
    <w:rsid w:val="004C63FE"/>
    <w:rsid w:val="004D2194"/>
    <w:rsid w:val="004D23C9"/>
    <w:rsid w:val="004D6645"/>
    <w:rsid w:val="004E33EF"/>
    <w:rsid w:val="004E4BC3"/>
    <w:rsid w:val="004E562B"/>
    <w:rsid w:val="004E642A"/>
    <w:rsid w:val="004E7C82"/>
    <w:rsid w:val="004F7C92"/>
    <w:rsid w:val="005009DC"/>
    <w:rsid w:val="00500EFC"/>
    <w:rsid w:val="00501E2E"/>
    <w:rsid w:val="00510C7F"/>
    <w:rsid w:val="00513AAF"/>
    <w:rsid w:val="00513B56"/>
    <w:rsid w:val="0051781E"/>
    <w:rsid w:val="00520971"/>
    <w:rsid w:val="0052166D"/>
    <w:rsid w:val="005247FD"/>
    <w:rsid w:val="005267CB"/>
    <w:rsid w:val="005271D6"/>
    <w:rsid w:val="00531869"/>
    <w:rsid w:val="00532A03"/>
    <w:rsid w:val="00533C6A"/>
    <w:rsid w:val="00535B7D"/>
    <w:rsid w:val="0053660A"/>
    <w:rsid w:val="00541D1B"/>
    <w:rsid w:val="00550D85"/>
    <w:rsid w:val="005544A8"/>
    <w:rsid w:val="00554FAA"/>
    <w:rsid w:val="00557A69"/>
    <w:rsid w:val="00560471"/>
    <w:rsid w:val="005630B4"/>
    <w:rsid w:val="00563773"/>
    <w:rsid w:val="005650F2"/>
    <w:rsid w:val="00565EF7"/>
    <w:rsid w:val="005672CB"/>
    <w:rsid w:val="00567BA1"/>
    <w:rsid w:val="0057523D"/>
    <w:rsid w:val="00576B90"/>
    <w:rsid w:val="0058155D"/>
    <w:rsid w:val="00590A5B"/>
    <w:rsid w:val="00590C13"/>
    <w:rsid w:val="0059175F"/>
    <w:rsid w:val="0059560E"/>
    <w:rsid w:val="00595821"/>
    <w:rsid w:val="00596C25"/>
    <w:rsid w:val="005A01E1"/>
    <w:rsid w:val="005A0290"/>
    <w:rsid w:val="005A1F29"/>
    <w:rsid w:val="005A29CB"/>
    <w:rsid w:val="005A50B9"/>
    <w:rsid w:val="005C286C"/>
    <w:rsid w:val="005C51A1"/>
    <w:rsid w:val="005D2B26"/>
    <w:rsid w:val="005D3CF2"/>
    <w:rsid w:val="005D475B"/>
    <w:rsid w:val="005D49CA"/>
    <w:rsid w:val="005D543F"/>
    <w:rsid w:val="005D7152"/>
    <w:rsid w:val="005E1730"/>
    <w:rsid w:val="005E352B"/>
    <w:rsid w:val="005E4484"/>
    <w:rsid w:val="005F172E"/>
    <w:rsid w:val="005F5260"/>
    <w:rsid w:val="005F61FB"/>
    <w:rsid w:val="0060110F"/>
    <w:rsid w:val="00604DC5"/>
    <w:rsid w:val="006067F0"/>
    <w:rsid w:val="006079D5"/>
    <w:rsid w:val="00610541"/>
    <w:rsid w:val="00610A43"/>
    <w:rsid w:val="00612296"/>
    <w:rsid w:val="00614773"/>
    <w:rsid w:val="006161E8"/>
    <w:rsid w:val="006217FF"/>
    <w:rsid w:val="00623A75"/>
    <w:rsid w:val="0063242D"/>
    <w:rsid w:val="0063273A"/>
    <w:rsid w:val="00632DB3"/>
    <w:rsid w:val="00632EB9"/>
    <w:rsid w:val="00641AE1"/>
    <w:rsid w:val="00652A39"/>
    <w:rsid w:val="00654C57"/>
    <w:rsid w:val="00654F84"/>
    <w:rsid w:val="00655780"/>
    <w:rsid w:val="00656763"/>
    <w:rsid w:val="00656C96"/>
    <w:rsid w:val="006665A1"/>
    <w:rsid w:val="006706E8"/>
    <w:rsid w:val="0067316E"/>
    <w:rsid w:val="0067392B"/>
    <w:rsid w:val="0067771A"/>
    <w:rsid w:val="00684B85"/>
    <w:rsid w:val="0068783F"/>
    <w:rsid w:val="006905F5"/>
    <w:rsid w:val="00696E85"/>
    <w:rsid w:val="006A18C5"/>
    <w:rsid w:val="006B23A4"/>
    <w:rsid w:val="006C3A07"/>
    <w:rsid w:val="006D09A7"/>
    <w:rsid w:val="006D1769"/>
    <w:rsid w:val="006D1E10"/>
    <w:rsid w:val="006E7F1D"/>
    <w:rsid w:val="006F3EB3"/>
    <w:rsid w:val="006F4577"/>
    <w:rsid w:val="006F4DCD"/>
    <w:rsid w:val="00702FF2"/>
    <w:rsid w:val="00703B66"/>
    <w:rsid w:val="00705800"/>
    <w:rsid w:val="00705EAB"/>
    <w:rsid w:val="00723047"/>
    <w:rsid w:val="00723455"/>
    <w:rsid w:val="00724762"/>
    <w:rsid w:val="00724D6D"/>
    <w:rsid w:val="00727B36"/>
    <w:rsid w:val="0073474C"/>
    <w:rsid w:val="007373E6"/>
    <w:rsid w:val="0073754C"/>
    <w:rsid w:val="00746BCE"/>
    <w:rsid w:val="0074716F"/>
    <w:rsid w:val="0074737F"/>
    <w:rsid w:val="00753673"/>
    <w:rsid w:val="007540BD"/>
    <w:rsid w:val="00755AD3"/>
    <w:rsid w:val="00755EA9"/>
    <w:rsid w:val="00762205"/>
    <w:rsid w:val="0076323D"/>
    <w:rsid w:val="00764201"/>
    <w:rsid w:val="00766829"/>
    <w:rsid w:val="00774773"/>
    <w:rsid w:val="007830BE"/>
    <w:rsid w:val="007940C9"/>
    <w:rsid w:val="00795FCF"/>
    <w:rsid w:val="00796312"/>
    <w:rsid w:val="00797162"/>
    <w:rsid w:val="007A00E9"/>
    <w:rsid w:val="007A04FE"/>
    <w:rsid w:val="007A4A4B"/>
    <w:rsid w:val="007B1A4F"/>
    <w:rsid w:val="007B1B23"/>
    <w:rsid w:val="007B21FA"/>
    <w:rsid w:val="007B2ADE"/>
    <w:rsid w:val="007B3940"/>
    <w:rsid w:val="007B3BE8"/>
    <w:rsid w:val="007B5F9C"/>
    <w:rsid w:val="007B62FF"/>
    <w:rsid w:val="007C57BF"/>
    <w:rsid w:val="007D3890"/>
    <w:rsid w:val="007D492E"/>
    <w:rsid w:val="007E0C49"/>
    <w:rsid w:val="007E3A3B"/>
    <w:rsid w:val="007E51F2"/>
    <w:rsid w:val="007E5E97"/>
    <w:rsid w:val="007E7688"/>
    <w:rsid w:val="007F340F"/>
    <w:rsid w:val="007F4A4B"/>
    <w:rsid w:val="007F73B3"/>
    <w:rsid w:val="007F7575"/>
    <w:rsid w:val="007F770C"/>
    <w:rsid w:val="00802CB9"/>
    <w:rsid w:val="00802D97"/>
    <w:rsid w:val="00807BA4"/>
    <w:rsid w:val="0081105F"/>
    <w:rsid w:val="00821133"/>
    <w:rsid w:val="008236B5"/>
    <w:rsid w:val="0082437B"/>
    <w:rsid w:val="00826739"/>
    <w:rsid w:val="008324B0"/>
    <w:rsid w:val="0083320F"/>
    <w:rsid w:val="008407EC"/>
    <w:rsid w:val="00842991"/>
    <w:rsid w:val="0084333E"/>
    <w:rsid w:val="0084379B"/>
    <w:rsid w:val="00844CA9"/>
    <w:rsid w:val="00847491"/>
    <w:rsid w:val="00850194"/>
    <w:rsid w:val="008559E9"/>
    <w:rsid w:val="00860D2C"/>
    <w:rsid w:val="00861CBA"/>
    <w:rsid w:val="0086390B"/>
    <w:rsid w:val="00863B4C"/>
    <w:rsid w:val="00864C18"/>
    <w:rsid w:val="00872AC0"/>
    <w:rsid w:val="00875531"/>
    <w:rsid w:val="00881265"/>
    <w:rsid w:val="00882741"/>
    <w:rsid w:val="00892B13"/>
    <w:rsid w:val="008A1350"/>
    <w:rsid w:val="008A1C6B"/>
    <w:rsid w:val="008A4864"/>
    <w:rsid w:val="008A6D27"/>
    <w:rsid w:val="008B1B83"/>
    <w:rsid w:val="008B3ADA"/>
    <w:rsid w:val="008B5758"/>
    <w:rsid w:val="008C0C0C"/>
    <w:rsid w:val="008C5F4A"/>
    <w:rsid w:val="008D1FB0"/>
    <w:rsid w:val="008E3990"/>
    <w:rsid w:val="008F272E"/>
    <w:rsid w:val="008F6B2B"/>
    <w:rsid w:val="00905C37"/>
    <w:rsid w:val="00906916"/>
    <w:rsid w:val="00911694"/>
    <w:rsid w:val="0092514B"/>
    <w:rsid w:val="009264AA"/>
    <w:rsid w:val="009354A9"/>
    <w:rsid w:val="00944EE8"/>
    <w:rsid w:val="009461F0"/>
    <w:rsid w:val="00947BEC"/>
    <w:rsid w:val="00953D12"/>
    <w:rsid w:val="00956482"/>
    <w:rsid w:val="009601F5"/>
    <w:rsid w:val="00963DC8"/>
    <w:rsid w:val="00963E43"/>
    <w:rsid w:val="00970F21"/>
    <w:rsid w:val="00975F3B"/>
    <w:rsid w:val="0098382A"/>
    <w:rsid w:val="009943CD"/>
    <w:rsid w:val="00994E91"/>
    <w:rsid w:val="009A16CB"/>
    <w:rsid w:val="009C37F8"/>
    <w:rsid w:val="009C6BB2"/>
    <w:rsid w:val="009D1130"/>
    <w:rsid w:val="009D7808"/>
    <w:rsid w:val="009E27B6"/>
    <w:rsid w:val="009E7920"/>
    <w:rsid w:val="009F15D2"/>
    <w:rsid w:val="009F368F"/>
    <w:rsid w:val="009F4367"/>
    <w:rsid w:val="009F54F6"/>
    <w:rsid w:val="009F7033"/>
    <w:rsid w:val="00A03CE6"/>
    <w:rsid w:val="00A03E48"/>
    <w:rsid w:val="00A05F60"/>
    <w:rsid w:val="00A11F5A"/>
    <w:rsid w:val="00A14476"/>
    <w:rsid w:val="00A158CB"/>
    <w:rsid w:val="00A16E28"/>
    <w:rsid w:val="00A20347"/>
    <w:rsid w:val="00A23BE1"/>
    <w:rsid w:val="00A34B40"/>
    <w:rsid w:val="00A34BFF"/>
    <w:rsid w:val="00A36292"/>
    <w:rsid w:val="00A36D64"/>
    <w:rsid w:val="00A44A6B"/>
    <w:rsid w:val="00A45E93"/>
    <w:rsid w:val="00A51DBA"/>
    <w:rsid w:val="00A53A52"/>
    <w:rsid w:val="00A5408B"/>
    <w:rsid w:val="00A556CE"/>
    <w:rsid w:val="00A67D37"/>
    <w:rsid w:val="00A72DDE"/>
    <w:rsid w:val="00A83AFB"/>
    <w:rsid w:val="00A853B7"/>
    <w:rsid w:val="00A85ECD"/>
    <w:rsid w:val="00A923E2"/>
    <w:rsid w:val="00A964CE"/>
    <w:rsid w:val="00A96C60"/>
    <w:rsid w:val="00AA4437"/>
    <w:rsid w:val="00AA6304"/>
    <w:rsid w:val="00AA66E8"/>
    <w:rsid w:val="00AB363A"/>
    <w:rsid w:val="00AC35D6"/>
    <w:rsid w:val="00AC5546"/>
    <w:rsid w:val="00AC5B6A"/>
    <w:rsid w:val="00AD678B"/>
    <w:rsid w:val="00AE125E"/>
    <w:rsid w:val="00AE41A1"/>
    <w:rsid w:val="00AE51FE"/>
    <w:rsid w:val="00AE5A17"/>
    <w:rsid w:val="00AE62C3"/>
    <w:rsid w:val="00AF5AF6"/>
    <w:rsid w:val="00B10473"/>
    <w:rsid w:val="00B13BB6"/>
    <w:rsid w:val="00B17A0C"/>
    <w:rsid w:val="00B204B8"/>
    <w:rsid w:val="00B21588"/>
    <w:rsid w:val="00B2565D"/>
    <w:rsid w:val="00B2710D"/>
    <w:rsid w:val="00B30727"/>
    <w:rsid w:val="00B358B3"/>
    <w:rsid w:val="00B37FEA"/>
    <w:rsid w:val="00B413AE"/>
    <w:rsid w:val="00B42248"/>
    <w:rsid w:val="00B441D7"/>
    <w:rsid w:val="00B54207"/>
    <w:rsid w:val="00B67E21"/>
    <w:rsid w:val="00B734BB"/>
    <w:rsid w:val="00B772E9"/>
    <w:rsid w:val="00B77950"/>
    <w:rsid w:val="00B77B3C"/>
    <w:rsid w:val="00B80700"/>
    <w:rsid w:val="00B86940"/>
    <w:rsid w:val="00B87347"/>
    <w:rsid w:val="00B90A33"/>
    <w:rsid w:val="00B91712"/>
    <w:rsid w:val="00B91D48"/>
    <w:rsid w:val="00B932C3"/>
    <w:rsid w:val="00B9526E"/>
    <w:rsid w:val="00B95422"/>
    <w:rsid w:val="00BA4AB4"/>
    <w:rsid w:val="00BA7059"/>
    <w:rsid w:val="00BA7C98"/>
    <w:rsid w:val="00BB40C8"/>
    <w:rsid w:val="00BB6985"/>
    <w:rsid w:val="00BC1C77"/>
    <w:rsid w:val="00BC500C"/>
    <w:rsid w:val="00BC6602"/>
    <w:rsid w:val="00BD2983"/>
    <w:rsid w:val="00BD3A32"/>
    <w:rsid w:val="00BD787B"/>
    <w:rsid w:val="00BE0CE4"/>
    <w:rsid w:val="00BE7D68"/>
    <w:rsid w:val="00BF101A"/>
    <w:rsid w:val="00BF23B4"/>
    <w:rsid w:val="00C03BAB"/>
    <w:rsid w:val="00C03ED1"/>
    <w:rsid w:val="00C1503E"/>
    <w:rsid w:val="00C16955"/>
    <w:rsid w:val="00C21584"/>
    <w:rsid w:val="00C2184A"/>
    <w:rsid w:val="00C22C94"/>
    <w:rsid w:val="00C26117"/>
    <w:rsid w:val="00C336C4"/>
    <w:rsid w:val="00C3559B"/>
    <w:rsid w:val="00C367F1"/>
    <w:rsid w:val="00C41BBD"/>
    <w:rsid w:val="00C44620"/>
    <w:rsid w:val="00C5218D"/>
    <w:rsid w:val="00C5322A"/>
    <w:rsid w:val="00C53CED"/>
    <w:rsid w:val="00C57362"/>
    <w:rsid w:val="00C57CA7"/>
    <w:rsid w:val="00C617FE"/>
    <w:rsid w:val="00C64F3D"/>
    <w:rsid w:val="00C7051E"/>
    <w:rsid w:val="00C70BEA"/>
    <w:rsid w:val="00C7103D"/>
    <w:rsid w:val="00C71B04"/>
    <w:rsid w:val="00C766CC"/>
    <w:rsid w:val="00C76B7D"/>
    <w:rsid w:val="00C8406C"/>
    <w:rsid w:val="00C87AAA"/>
    <w:rsid w:val="00C916EB"/>
    <w:rsid w:val="00CA543F"/>
    <w:rsid w:val="00CA6429"/>
    <w:rsid w:val="00CA6ADF"/>
    <w:rsid w:val="00CB5C14"/>
    <w:rsid w:val="00CC01C5"/>
    <w:rsid w:val="00CC12A8"/>
    <w:rsid w:val="00CC3F8A"/>
    <w:rsid w:val="00CC6892"/>
    <w:rsid w:val="00CC77A5"/>
    <w:rsid w:val="00CD1807"/>
    <w:rsid w:val="00CD31FE"/>
    <w:rsid w:val="00CD4F1D"/>
    <w:rsid w:val="00CE12BC"/>
    <w:rsid w:val="00CE1EC6"/>
    <w:rsid w:val="00CE3D0A"/>
    <w:rsid w:val="00CE5201"/>
    <w:rsid w:val="00CE7DD7"/>
    <w:rsid w:val="00CF1627"/>
    <w:rsid w:val="00CF2263"/>
    <w:rsid w:val="00CF614F"/>
    <w:rsid w:val="00CF657F"/>
    <w:rsid w:val="00CF760D"/>
    <w:rsid w:val="00D008ED"/>
    <w:rsid w:val="00D01984"/>
    <w:rsid w:val="00D01EDA"/>
    <w:rsid w:val="00D16472"/>
    <w:rsid w:val="00D30F98"/>
    <w:rsid w:val="00D321C9"/>
    <w:rsid w:val="00D35426"/>
    <w:rsid w:val="00D37FC2"/>
    <w:rsid w:val="00D42D94"/>
    <w:rsid w:val="00D43DB0"/>
    <w:rsid w:val="00D5355F"/>
    <w:rsid w:val="00D570C5"/>
    <w:rsid w:val="00D66B68"/>
    <w:rsid w:val="00D75FB6"/>
    <w:rsid w:val="00D831CD"/>
    <w:rsid w:val="00D922CF"/>
    <w:rsid w:val="00D94139"/>
    <w:rsid w:val="00D951B4"/>
    <w:rsid w:val="00DA32B3"/>
    <w:rsid w:val="00DA6734"/>
    <w:rsid w:val="00DB56B3"/>
    <w:rsid w:val="00DC10F7"/>
    <w:rsid w:val="00DC47FD"/>
    <w:rsid w:val="00DD2ACA"/>
    <w:rsid w:val="00DE0978"/>
    <w:rsid w:val="00DE24BE"/>
    <w:rsid w:val="00DE5B21"/>
    <w:rsid w:val="00DE7479"/>
    <w:rsid w:val="00DF128B"/>
    <w:rsid w:val="00DF2F94"/>
    <w:rsid w:val="00E018CE"/>
    <w:rsid w:val="00E11688"/>
    <w:rsid w:val="00E20097"/>
    <w:rsid w:val="00E26295"/>
    <w:rsid w:val="00E26EAA"/>
    <w:rsid w:val="00E27CC3"/>
    <w:rsid w:val="00E30FCA"/>
    <w:rsid w:val="00E329D4"/>
    <w:rsid w:val="00E332FE"/>
    <w:rsid w:val="00E36F97"/>
    <w:rsid w:val="00E42057"/>
    <w:rsid w:val="00E44C4F"/>
    <w:rsid w:val="00E52F69"/>
    <w:rsid w:val="00E62BEE"/>
    <w:rsid w:val="00E63075"/>
    <w:rsid w:val="00E644BF"/>
    <w:rsid w:val="00E73A40"/>
    <w:rsid w:val="00E806E3"/>
    <w:rsid w:val="00E81697"/>
    <w:rsid w:val="00E83744"/>
    <w:rsid w:val="00E928D4"/>
    <w:rsid w:val="00E94852"/>
    <w:rsid w:val="00E97FDB"/>
    <w:rsid w:val="00EA17A5"/>
    <w:rsid w:val="00EA23D9"/>
    <w:rsid w:val="00EA34BD"/>
    <w:rsid w:val="00EA4D25"/>
    <w:rsid w:val="00EA576F"/>
    <w:rsid w:val="00EB0255"/>
    <w:rsid w:val="00EB3838"/>
    <w:rsid w:val="00EB4C77"/>
    <w:rsid w:val="00EB68CC"/>
    <w:rsid w:val="00EC2095"/>
    <w:rsid w:val="00EC5E51"/>
    <w:rsid w:val="00EC76B0"/>
    <w:rsid w:val="00ED48AE"/>
    <w:rsid w:val="00ED5635"/>
    <w:rsid w:val="00EE1E50"/>
    <w:rsid w:val="00EE65A7"/>
    <w:rsid w:val="00EF0E65"/>
    <w:rsid w:val="00EF48EC"/>
    <w:rsid w:val="00EF6016"/>
    <w:rsid w:val="00F03C9A"/>
    <w:rsid w:val="00F05E03"/>
    <w:rsid w:val="00F175B9"/>
    <w:rsid w:val="00F2061A"/>
    <w:rsid w:val="00F30057"/>
    <w:rsid w:val="00F31EFD"/>
    <w:rsid w:val="00F32EB8"/>
    <w:rsid w:val="00F34750"/>
    <w:rsid w:val="00F37F14"/>
    <w:rsid w:val="00F44CF6"/>
    <w:rsid w:val="00F46114"/>
    <w:rsid w:val="00F47B3A"/>
    <w:rsid w:val="00F602C8"/>
    <w:rsid w:val="00F62595"/>
    <w:rsid w:val="00F7168A"/>
    <w:rsid w:val="00F71C13"/>
    <w:rsid w:val="00F77228"/>
    <w:rsid w:val="00F83DEE"/>
    <w:rsid w:val="00F85DAF"/>
    <w:rsid w:val="00F90567"/>
    <w:rsid w:val="00F908EE"/>
    <w:rsid w:val="00F91352"/>
    <w:rsid w:val="00F922ED"/>
    <w:rsid w:val="00F952E2"/>
    <w:rsid w:val="00F9648F"/>
    <w:rsid w:val="00F9651A"/>
    <w:rsid w:val="00FA1CE1"/>
    <w:rsid w:val="00FA5211"/>
    <w:rsid w:val="00FB7ADE"/>
    <w:rsid w:val="00FC164F"/>
    <w:rsid w:val="00FC7066"/>
    <w:rsid w:val="00FD2036"/>
    <w:rsid w:val="00FD4610"/>
    <w:rsid w:val="00FD50CF"/>
    <w:rsid w:val="00FE03FE"/>
    <w:rsid w:val="00FE45B3"/>
    <w:rsid w:val="00FE7E77"/>
    <w:rsid w:val="00FF0159"/>
    <w:rsid w:val="00FF192E"/>
    <w:rsid w:val="00FF2451"/>
    <w:rsid w:val="00FF458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22667E"/>
  <w15:docId w15:val="{8B2F1EC1-D2BD-4C13-A9B0-224A6942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773"/>
    <w:rPr>
      <w:sz w:val="22"/>
    </w:rPr>
  </w:style>
  <w:style w:type="paragraph" w:styleId="Overskrift1">
    <w:name w:val="heading 1"/>
    <w:basedOn w:val="Normal"/>
    <w:next w:val="Normal"/>
    <w:uiPriority w:val="1"/>
    <w:qFormat/>
    <w:rsid w:val="00A53A52"/>
    <w:pPr>
      <w:keepNext/>
      <w:spacing w:before="260"/>
      <w:outlineLvl w:val="0"/>
    </w:pPr>
    <w:rPr>
      <w:rFonts w:cs="Arial"/>
      <w:b/>
      <w:bCs/>
      <w:szCs w:val="32"/>
    </w:rPr>
  </w:style>
  <w:style w:type="paragraph" w:styleId="Overskrift2">
    <w:name w:val="heading 2"/>
    <w:basedOn w:val="Normal"/>
    <w:next w:val="Normal"/>
    <w:link w:val="Overskrift2Tegn"/>
    <w:uiPriority w:val="1"/>
    <w:qFormat/>
    <w:rsid w:val="00A53A52"/>
    <w:pPr>
      <w:keepNext/>
      <w:keepLines/>
      <w:spacing w:before="260"/>
      <w:contextualSpacing/>
      <w:outlineLvl w:val="1"/>
    </w:pPr>
    <w:rPr>
      <w:rFonts w:eastAsiaTheme="majorEastAsia" w:cstheme="majorBidi"/>
      <w:bCs/>
      <w:i/>
      <w:color w:val="003127"/>
      <w:szCs w:val="26"/>
    </w:rPr>
  </w:style>
  <w:style w:type="paragraph" w:styleId="Overskrift3">
    <w:name w:val="heading 3"/>
    <w:basedOn w:val="Normal"/>
    <w:next w:val="Normal"/>
    <w:link w:val="Overskrift3Tegn"/>
    <w:uiPriority w:val="1"/>
    <w:qFormat/>
    <w:rsid w:val="00A53A52"/>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53A52"/>
    <w:pPr>
      <w:outlineLvl w:val="3"/>
    </w:pPr>
  </w:style>
  <w:style w:type="paragraph" w:styleId="Overskrift5">
    <w:name w:val="heading 5"/>
    <w:basedOn w:val="Overskrift4"/>
    <w:next w:val="Normal"/>
    <w:link w:val="Overskrift5Tegn"/>
    <w:uiPriority w:val="1"/>
    <w:semiHidden/>
    <w:rsid w:val="00A53A52"/>
    <w:pPr>
      <w:outlineLvl w:val="4"/>
    </w:pPr>
  </w:style>
  <w:style w:type="paragraph" w:styleId="Overskrift6">
    <w:name w:val="heading 6"/>
    <w:basedOn w:val="Overskrift5"/>
    <w:next w:val="Normal"/>
    <w:link w:val="Overskrift6Tegn"/>
    <w:uiPriority w:val="1"/>
    <w:semiHidden/>
    <w:rsid w:val="00A53A52"/>
    <w:pPr>
      <w:outlineLvl w:val="5"/>
    </w:pPr>
  </w:style>
  <w:style w:type="paragraph" w:styleId="Overskrift7">
    <w:name w:val="heading 7"/>
    <w:basedOn w:val="Overskrift6"/>
    <w:next w:val="Normal"/>
    <w:link w:val="Overskrift7Tegn"/>
    <w:uiPriority w:val="1"/>
    <w:semiHidden/>
    <w:rsid w:val="00A53A52"/>
    <w:pPr>
      <w:outlineLvl w:val="6"/>
    </w:pPr>
  </w:style>
  <w:style w:type="paragraph" w:styleId="Overskrift8">
    <w:name w:val="heading 8"/>
    <w:basedOn w:val="Overskrift7"/>
    <w:next w:val="Normal"/>
    <w:link w:val="Overskrift8Tegn"/>
    <w:uiPriority w:val="1"/>
    <w:semiHidden/>
    <w:rsid w:val="00A53A52"/>
    <w:pPr>
      <w:outlineLvl w:val="7"/>
    </w:pPr>
  </w:style>
  <w:style w:type="paragraph" w:styleId="Overskrift9">
    <w:name w:val="heading 9"/>
    <w:basedOn w:val="Overskrift8"/>
    <w:next w:val="Normal"/>
    <w:link w:val="Overskrift9Tegn"/>
    <w:uiPriority w:val="1"/>
    <w:semiHidden/>
    <w:rsid w:val="00A53A52"/>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A53A52"/>
    <w:pPr>
      <w:numPr>
        <w:numId w:val="16"/>
      </w:numPr>
    </w:pPr>
  </w:style>
  <w:style w:type="numbering" w:styleId="1ai">
    <w:name w:val="Outline List 1"/>
    <w:basedOn w:val="Ingenoversigt"/>
    <w:uiPriority w:val="99"/>
    <w:semiHidden/>
    <w:rsid w:val="00A53A52"/>
    <w:pPr>
      <w:numPr>
        <w:numId w:val="18"/>
      </w:numPr>
    </w:pPr>
  </w:style>
  <w:style w:type="numbering" w:styleId="ArtikelSektion">
    <w:name w:val="Outline List 3"/>
    <w:basedOn w:val="Ingenoversigt"/>
    <w:uiPriority w:val="99"/>
    <w:semiHidden/>
    <w:rsid w:val="00A53A52"/>
    <w:pPr>
      <w:numPr>
        <w:numId w:val="19"/>
      </w:numPr>
    </w:pPr>
  </w:style>
  <w:style w:type="paragraph" w:styleId="Markeringsbobletekst">
    <w:name w:val="Balloon Text"/>
    <w:basedOn w:val="Normal"/>
    <w:link w:val="MarkeringsbobletekstTegn"/>
    <w:uiPriority w:val="99"/>
    <w:semiHidden/>
    <w:rsid w:val="00A53A5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53A52"/>
    <w:rPr>
      <w:rFonts w:ascii="Tahoma" w:hAnsi="Tahoma" w:cs="Tahoma"/>
      <w:sz w:val="16"/>
      <w:szCs w:val="16"/>
    </w:rPr>
  </w:style>
  <w:style w:type="paragraph" w:styleId="Bibliografi">
    <w:name w:val="Bibliography"/>
    <w:basedOn w:val="Normal"/>
    <w:next w:val="Normal"/>
    <w:uiPriority w:val="99"/>
    <w:semiHidden/>
    <w:rsid w:val="00A53A52"/>
  </w:style>
  <w:style w:type="paragraph" w:styleId="Bloktekst">
    <w:name w:val="Block Text"/>
    <w:basedOn w:val="Normal"/>
    <w:uiPriority w:val="99"/>
    <w:semiHidden/>
    <w:rsid w:val="00A53A52"/>
    <w:pPr>
      <w:pBdr>
        <w:top w:val="single" w:sz="2" w:space="10" w:color="00A7B5" w:themeColor="accent1" w:shadow="1"/>
        <w:left w:val="single" w:sz="2" w:space="10" w:color="00A7B5" w:themeColor="accent1" w:shadow="1"/>
        <w:bottom w:val="single" w:sz="2" w:space="10" w:color="00A7B5" w:themeColor="accent1" w:shadow="1"/>
        <w:right w:val="single" w:sz="2" w:space="10" w:color="00A7B5" w:themeColor="accent1" w:shadow="1"/>
      </w:pBdr>
      <w:ind w:left="1152" w:right="1152"/>
    </w:pPr>
    <w:rPr>
      <w:rFonts w:asciiTheme="minorHAnsi" w:eastAsiaTheme="minorEastAsia" w:hAnsiTheme="minorHAnsi" w:cstheme="minorBidi"/>
      <w:i/>
      <w:iCs/>
      <w:color w:val="00A7B5" w:themeColor="accent1"/>
    </w:rPr>
  </w:style>
  <w:style w:type="paragraph" w:styleId="Brdtekst">
    <w:name w:val="Body Text"/>
    <w:basedOn w:val="Normal"/>
    <w:link w:val="BrdtekstTegn"/>
    <w:uiPriority w:val="99"/>
    <w:semiHidden/>
    <w:rsid w:val="00A53A52"/>
    <w:pPr>
      <w:spacing w:after="120"/>
    </w:pPr>
  </w:style>
  <w:style w:type="character" w:customStyle="1" w:styleId="BrdtekstTegn">
    <w:name w:val="Brødtekst Tegn"/>
    <w:basedOn w:val="Standardskrifttypeiafsnit"/>
    <w:link w:val="Brdtekst"/>
    <w:uiPriority w:val="99"/>
    <w:semiHidden/>
    <w:rsid w:val="00A53A52"/>
    <w:rPr>
      <w:sz w:val="22"/>
    </w:rPr>
  </w:style>
  <w:style w:type="paragraph" w:styleId="Brdtekst2">
    <w:name w:val="Body Text 2"/>
    <w:basedOn w:val="Normal"/>
    <w:link w:val="Brdtekst2Tegn"/>
    <w:uiPriority w:val="99"/>
    <w:semiHidden/>
    <w:rsid w:val="00A53A52"/>
    <w:pPr>
      <w:spacing w:after="120" w:line="480" w:lineRule="auto"/>
    </w:pPr>
  </w:style>
  <w:style w:type="character" w:customStyle="1" w:styleId="Brdtekst2Tegn">
    <w:name w:val="Brødtekst 2 Tegn"/>
    <w:basedOn w:val="Standardskrifttypeiafsnit"/>
    <w:link w:val="Brdtekst2"/>
    <w:uiPriority w:val="99"/>
    <w:semiHidden/>
    <w:rsid w:val="00A53A52"/>
    <w:rPr>
      <w:sz w:val="22"/>
    </w:rPr>
  </w:style>
  <w:style w:type="paragraph" w:styleId="Brdtekst3">
    <w:name w:val="Body Text 3"/>
    <w:basedOn w:val="Normal"/>
    <w:link w:val="Brdtekst3Tegn"/>
    <w:uiPriority w:val="99"/>
    <w:semiHidden/>
    <w:rsid w:val="00A53A52"/>
    <w:pPr>
      <w:spacing w:after="120"/>
    </w:pPr>
    <w:rPr>
      <w:sz w:val="16"/>
      <w:szCs w:val="16"/>
    </w:rPr>
  </w:style>
  <w:style w:type="character" w:customStyle="1" w:styleId="Brdtekst3Tegn">
    <w:name w:val="Brødtekst 3 Tegn"/>
    <w:basedOn w:val="Standardskrifttypeiafsnit"/>
    <w:link w:val="Brdtekst3"/>
    <w:uiPriority w:val="99"/>
    <w:semiHidden/>
    <w:rsid w:val="00A53A52"/>
    <w:rPr>
      <w:sz w:val="16"/>
      <w:szCs w:val="16"/>
    </w:rPr>
  </w:style>
  <w:style w:type="paragraph" w:styleId="Brdtekst-frstelinjeindrykning1">
    <w:name w:val="Body Text First Indent"/>
    <w:basedOn w:val="Brdtekst"/>
    <w:link w:val="Brdtekst-frstelinjeindrykning1Tegn"/>
    <w:uiPriority w:val="99"/>
    <w:semiHidden/>
    <w:rsid w:val="00A53A5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53A52"/>
    <w:rPr>
      <w:sz w:val="22"/>
    </w:rPr>
  </w:style>
  <w:style w:type="paragraph" w:styleId="Brdtekstindrykning">
    <w:name w:val="Body Text Indent"/>
    <w:basedOn w:val="Normal"/>
    <w:link w:val="BrdtekstindrykningTegn"/>
    <w:uiPriority w:val="99"/>
    <w:semiHidden/>
    <w:rsid w:val="00A53A52"/>
    <w:pPr>
      <w:spacing w:after="120"/>
      <w:ind w:left="283"/>
    </w:pPr>
  </w:style>
  <w:style w:type="character" w:customStyle="1" w:styleId="BrdtekstindrykningTegn">
    <w:name w:val="Brødtekstindrykning Tegn"/>
    <w:basedOn w:val="Standardskrifttypeiafsnit"/>
    <w:link w:val="Brdtekstindrykning"/>
    <w:uiPriority w:val="99"/>
    <w:semiHidden/>
    <w:rsid w:val="00A53A52"/>
    <w:rPr>
      <w:sz w:val="22"/>
    </w:rPr>
  </w:style>
  <w:style w:type="character" w:customStyle="1" w:styleId="Overskrift2Tegn">
    <w:name w:val="Overskrift 2 Tegn"/>
    <w:basedOn w:val="Standardskrifttypeiafsnit"/>
    <w:link w:val="Overskrift2"/>
    <w:uiPriority w:val="1"/>
    <w:rsid w:val="00A53A52"/>
    <w:rPr>
      <w:rFonts w:eastAsiaTheme="majorEastAsia" w:cstheme="majorBidi"/>
      <w:bCs/>
      <w:i/>
      <w:color w:val="003127"/>
      <w:sz w:val="22"/>
      <w:szCs w:val="26"/>
    </w:rPr>
  </w:style>
  <w:style w:type="character" w:customStyle="1" w:styleId="Overskrift3Tegn">
    <w:name w:val="Overskrift 3 Tegn"/>
    <w:basedOn w:val="Standardskrifttypeiafsnit"/>
    <w:link w:val="Overskrift3"/>
    <w:uiPriority w:val="1"/>
    <w:rsid w:val="00A53A52"/>
    <w:rPr>
      <w:rFonts w:eastAsiaTheme="majorEastAsia" w:cstheme="majorBidi"/>
      <w:b/>
      <w:bCs/>
      <w:color w:val="003127"/>
      <w:sz w:val="22"/>
    </w:rPr>
  </w:style>
  <w:style w:type="character" w:customStyle="1" w:styleId="Overskrift4Tegn">
    <w:name w:val="Overskrift 4 Tegn"/>
    <w:basedOn w:val="Standardskrifttypeiafsnit"/>
    <w:link w:val="Overskrift4"/>
    <w:uiPriority w:val="1"/>
    <w:semiHidden/>
    <w:rsid w:val="00A53A52"/>
    <w:rPr>
      <w:rFonts w:eastAsiaTheme="majorEastAsia" w:cstheme="majorBidi"/>
      <w:b/>
      <w:bCs/>
      <w:color w:val="003127"/>
      <w:sz w:val="22"/>
    </w:rPr>
  </w:style>
  <w:style w:type="character" w:customStyle="1" w:styleId="Overskrift5Tegn">
    <w:name w:val="Overskrift 5 Tegn"/>
    <w:basedOn w:val="Standardskrifttypeiafsnit"/>
    <w:link w:val="Overskrift5"/>
    <w:uiPriority w:val="1"/>
    <w:semiHidden/>
    <w:rsid w:val="00A53A52"/>
    <w:rPr>
      <w:rFonts w:eastAsiaTheme="majorEastAsia" w:cstheme="majorBidi"/>
      <w:b/>
      <w:bCs/>
      <w:color w:val="003127"/>
      <w:sz w:val="22"/>
    </w:rPr>
  </w:style>
  <w:style w:type="character" w:customStyle="1" w:styleId="Overskrift6Tegn">
    <w:name w:val="Overskrift 6 Tegn"/>
    <w:basedOn w:val="Standardskrifttypeiafsnit"/>
    <w:link w:val="Overskrift6"/>
    <w:uiPriority w:val="1"/>
    <w:semiHidden/>
    <w:rsid w:val="00A53A52"/>
    <w:rPr>
      <w:rFonts w:eastAsiaTheme="majorEastAsia" w:cstheme="majorBidi"/>
      <w:b/>
      <w:bCs/>
      <w:color w:val="003127"/>
      <w:sz w:val="22"/>
    </w:rPr>
  </w:style>
  <w:style w:type="character" w:customStyle="1" w:styleId="Overskrift7Tegn">
    <w:name w:val="Overskrift 7 Tegn"/>
    <w:basedOn w:val="Standardskrifttypeiafsnit"/>
    <w:link w:val="Overskrift7"/>
    <w:uiPriority w:val="1"/>
    <w:semiHidden/>
    <w:rsid w:val="00A53A52"/>
    <w:rPr>
      <w:rFonts w:eastAsiaTheme="majorEastAsia" w:cstheme="majorBidi"/>
      <w:b/>
      <w:bCs/>
      <w:color w:val="003127"/>
      <w:sz w:val="22"/>
    </w:rPr>
  </w:style>
  <w:style w:type="character" w:customStyle="1" w:styleId="Overskrift8Tegn">
    <w:name w:val="Overskrift 8 Tegn"/>
    <w:basedOn w:val="Standardskrifttypeiafsnit"/>
    <w:link w:val="Overskrift8"/>
    <w:uiPriority w:val="1"/>
    <w:semiHidden/>
    <w:rsid w:val="00A53A52"/>
    <w:rPr>
      <w:rFonts w:eastAsiaTheme="majorEastAsia" w:cstheme="majorBidi"/>
      <w:b/>
      <w:bCs/>
      <w:color w:val="003127"/>
      <w:sz w:val="22"/>
    </w:rPr>
  </w:style>
  <w:style w:type="character" w:customStyle="1" w:styleId="Overskrift9Tegn">
    <w:name w:val="Overskrift 9 Tegn"/>
    <w:basedOn w:val="Standardskrifttypeiafsnit"/>
    <w:link w:val="Overskrift9"/>
    <w:uiPriority w:val="1"/>
    <w:semiHidden/>
    <w:rsid w:val="00A53A52"/>
    <w:rPr>
      <w:rFonts w:eastAsiaTheme="majorEastAsia" w:cstheme="majorBidi"/>
      <w:b/>
      <w:bCs/>
      <w:color w:val="003127"/>
      <w:sz w:val="22"/>
    </w:rPr>
  </w:style>
  <w:style w:type="paragraph" w:styleId="Brdtekst-frstelinjeindrykning2">
    <w:name w:val="Body Text First Indent 2"/>
    <w:basedOn w:val="Brdtekstindrykning"/>
    <w:link w:val="Brdtekst-frstelinjeindrykning2Tegn"/>
    <w:uiPriority w:val="99"/>
    <w:semiHidden/>
    <w:rsid w:val="00A53A5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53A52"/>
    <w:rPr>
      <w:sz w:val="22"/>
    </w:rPr>
  </w:style>
  <w:style w:type="paragraph" w:styleId="Brdtekstindrykning2">
    <w:name w:val="Body Text Indent 2"/>
    <w:basedOn w:val="Normal"/>
    <w:link w:val="Brdtekstindrykning2Tegn"/>
    <w:uiPriority w:val="99"/>
    <w:semiHidden/>
    <w:rsid w:val="00A53A5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53A52"/>
    <w:rPr>
      <w:sz w:val="22"/>
    </w:rPr>
  </w:style>
  <w:style w:type="paragraph" w:styleId="Brdtekstindrykning3">
    <w:name w:val="Body Text Indent 3"/>
    <w:basedOn w:val="Normal"/>
    <w:link w:val="Brdtekstindrykning3Tegn"/>
    <w:uiPriority w:val="99"/>
    <w:semiHidden/>
    <w:rsid w:val="00A53A5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53A52"/>
    <w:rPr>
      <w:sz w:val="16"/>
      <w:szCs w:val="16"/>
    </w:rPr>
  </w:style>
  <w:style w:type="character" w:styleId="Bogenstitel">
    <w:name w:val="Book Title"/>
    <w:basedOn w:val="Standardskrifttypeiafsnit"/>
    <w:uiPriority w:val="99"/>
    <w:semiHidden/>
    <w:qFormat/>
    <w:rsid w:val="00A53A52"/>
    <w:rPr>
      <w:b/>
      <w:bCs/>
      <w:smallCaps/>
      <w:spacing w:val="5"/>
    </w:rPr>
  </w:style>
  <w:style w:type="paragraph" w:styleId="Billedtekst">
    <w:name w:val="caption"/>
    <w:basedOn w:val="Normal"/>
    <w:next w:val="Normal"/>
    <w:uiPriority w:val="3"/>
    <w:rsid w:val="00A53A52"/>
    <w:pPr>
      <w:spacing w:after="200" w:line="240" w:lineRule="auto"/>
    </w:pPr>
    <w:rPr>
      <w:b/>
      <w:bCs/>
      <w:color w:val="00A7B5" w:themeColor="accent1"/>
      <w:sz w:val="18"/>
      <w:szCs w:val="18"/>
    </w:rPr>
  </w:style>
  <w:style w:type="paragraph" w:styleId="Sluthilsen">
    <w:name w:val="Closing"/>
    <w:basedOn w:val="Normal"/>
    <w:link w:val="SluthilsenTegn"/>
    <w:uiPriority w:val="99"/>
    <w:semiHidden/>
    <w:rsid w:val="00A53A52"/>
    <w:pPr>
      <w:spacing w:line="240" w:lineRule="auto"/>
      <w:ind w:left="4252"/>
    </w:pPr>
  </w:style>
  <w:style w:type="character" w:customStyle="1" w:styleId="SluthilsenTegn">
    <w:name w:val="Sluthilsen Tegn"/>
    <w:basedOn w:val="Standardskrifttypeiafsnit"/>
    <w:link w:val="Sluthilsen"/>
    <w:uiPriority w:val="99"/>
    <w:semiHidden/>
    <w:rsid w:val="00A53A52"/>
    <w:rPr>
      <w:sz w:val="22"/>
    </w:rPr>
  </w:style>
  <w:style w:type="table" w:styleId="Farvetgitter">
    <w:name w:val="Colorful Grid"/>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F9FF" w:themeFill="accent1" w:themeFillTint="33"/>
    </w:tcPr>
    <w:tblStylePr w:type="firstRow">
      <w:rPr>
        <w:b/>
        <w:bCs/>
      </w:rPr>
      <w:tblPr/>
      <w:tcPr>
        <w:shd w:val="clear" w:color="auto" w:fill="7BF4FF" w:themeFill="accent1" w:themeFillTint="66"/>
      </w:tcPr>
    </w:tblStylePr>
    <w:tblStylePr w:type="lastRow">
      <w:rPr>
        <w:b/>
        <w:bCs/>
        <w:color w:val="000000" w:themeColor="text1"/>
      </w:rPr>
      <w:tblPr/>
      <w:tcPr>
        <w:shd w:val="clear" w:color="auto" w:fill="7BF4FF" w:themeFill="accent1" w:themeFillTint="66"/>
      </w:tcPr>
    </w:tblStylePr>
    <w:tblStylePr w:type="firstCol">
      <w:rPr>
        <w:color w:val="FFFFFF" w:themeColor="background1"/>
      </w:rPr>
      <w:tblPr/>
      <w:tcPr>
        <w:shd w:val="clear" w:color="auto" w:fill="007C87" w:themeFill="accent1" w:themeFillShade="BF"/>
      </w:tcPr>
    </w:tblStylePr>
    <w:tblStylePr w:type="lastCol">
      <w:rPr>
        <w:color w:val="FFFFFF" w:themeColor="background1"/>
      </w:rPr>
      <w:tblPr/>
      <w:tcPr>
        <w:shd w:val="clear" w:color="auto" w:fill="007C87" w:themeFill="accent1" w:themeFillShade="BF"/>
      </w:tc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Farvetgitter-fremhvningsfarve2">
    <w:name w:val="Colorful Grid Accent 2"/>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3F3EC" w:themeFill="accent3" w:themeFillTint="33"/>
    </w:tcPr>
    <w:tblStylePr w:type="firstRow">
      <w:rPr>
        <w:b/>
        <w:bCs/>
      </w:rPr>
      <w:tblPr/>
      <w:tcPr>
        <w:shd w:val="clear" w:color="auto" w:fill="A9E7D9" w:themeFill="accent3" w:themeFillTint="66"/>
      </w:tcPr>
    </w:tblStylePr>
    <w:tblStylePr w:type="lastRow">
      <w:rPr>
        <w:b/>
        <w:bCs/>
        <w:color w:val="000000" w:themeColor="text1"/>
      </w:rPr>
      <w:tblPr/>
      <w:tcPr>
        <w:shd w:val="clear" w:color="auto" w:fill="A9E7D9" w:themeFill="accent3" w:themeFillTint="66"/>
      </w:tcPr>
    </w:tblStylePr>
    <w:tblStylePr w:type="firstCol">
      <w:rPr>
        <w:color w:val="FFFFFF" w:themeColor="background1"/>
      </w:rPr>
      <w:tblPr/>
      <w:tcPr>
        <w:shd w:val="clear" w:color="auto" w:fill="268A73" w:themeFill="accent3" w:themeFillShade="BF"/>
      </w:tcPr>
    </w:tblStylePr>
    <w:tblStylePr w:type="lastCol">
      <w:rPr>
        <w:color w:val="FFFFFF" w:themeColor="background1"/>
      </w:rPr>
      <w:tblPr/>
      <w:tcPr>
        <w:shd w:val="clear" w:color="auto" w:fill="268A73" w:themeFill="accent3" w:themeFillShade="BF"/>
      </w:tc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Farvetgitter-fremhvningsfarve4">
    <w:name w:val="Colorful Grid Accent 4"/>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5" w:themeFillTint="33"/>
    </w:tcPr>
    <w:tblStylePr w:type="firstRow">
      <w:rPr>
        <w:b/>
        <w:bCs/>
      </w:rPr>
      <w:tblPr/>
      <w:tcPr>
        <w:shd w:val="clear" w:color="auto" w:fill="F8F0C4" w:themeFill="accent5" w:themeFillTint="66"/>
      </w:tcPr>
    </w:tblStylePr>
    <w:tblStylePr w:type="lastRow">
      <w:rPr>
        <w:b/>
        <w:bCs/>
        <w:color w:val="000000" w:themeColor="text1"/>
      </w:rPr>
      <w:tblPr/>
      <w:tcPr>
        <w:shd w:val="clear" w:color="auto" w:fill="F8F0C4" w:themeFill="accent5" w:themeFillTint="66"/>
      </w:tcPr>
    </w:tblStylePr>
    <w:tblStylePr w:type="firstCol">
      <w:rPr>
        <w:color w:val="FFFFFF" w:themeColor="background1"/>
      </w:rPr>
      <w:tblPr/>
      <w:tcPr>
        <w:shd w:val="clear" w:color="auto" w:fill="E6C71D" w:themeFill="accent5" w:themeFillShade="BF"/>
      </w:tcPr>
    </w:tblStylePr>
    <w:tblStylePr w:type="lastCol">
      <w:rPr>
        <w:color w:val="FFFFFF" w:themeColor="background1"/>
      </w:rPr>
      <w:tblPr/>
      <w:tcPr>
        <w:shd w:val="clear" w:color="auto" w:fill="E6C71D" w:themeFill="accent5" w:themeFillShade="BF"/>
      </w:tc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Farvetgitter-fremhvningsfarve6">
    <w:name w:val="Colorful Grid Accent 6"/>
    <w:basedOn w:val="Tabel-Normal"/>
    <w:uiPriority w:val="99"/>
    <w:semiHidden/>
    <w:rsid w:val="00A53A5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6" w:themeFillTint="33"/>
    </w:tcPr>
    <w:tblStylePr w:type="firstRow">
      <w:rPr>
        <w:b/>
        <w:bCs/>
      </w:rPr>
      <w:tblPr/>
      <w:tcPr>
        <w:shd w:val="clear" w:color="auto" w:fill="BB9AD5" w:themeFill="accent6" w:themeFillTint="66"/>
      </w:tcPr>
    </w:tblStylePr>
    <w:tblStylePr w:type="lastRow">
      <w:rPr>
        <w:b/>
        <w:bCs/>
        <w:color w:val="000000" w:themeColor="text1"/>
      </w:rPr>
      <w:tblPr/>
      <w:tcPr>
        <w:shd w:val="clear" w:color="auto" w:fill="BB9AD5" w:themeFill="accent6" w:themeFillTint="66"/>
      </w:tcPr>
    </w:tblStylePr>
    <w:tblStylePr w:type="firstCol">
      <w:rPr>
        <w:color w:val="FFFFFF" w:themeColor="background1"/>
      </w:rPr>
      <w:tblPr/>
      <w:tcPr>
        <w:shd w:val="clear" w:color="auto" w:fill="3C2151" w:themeFill="accent6" w:themeFillShade="BF"/>
      </w:tcPr>
    </w:tblStylePr>
    <w:tblStylePr w:type="lastCol">
      <w:rPr>
        <w:color w:val="FFFFFF" w:themeColor="background1"/>
      </w:rPr>
      <w:tblPr/>
      <w:tcPr>
        <w:shd w:val="clear" w:color="auto" w:fill="3C2151" w:themeFill="accent6" w:themeFillShade="BF"/>
      </w:tc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Farvetliste">
    <w:name w:val="Colorful List"/>
    <w:basedOn w:val="Tabel-Normal"/>
    <w:uiPriority w:val="99"/>
    <w:semiHidden/>
    <w:rsid w:val="00A53A5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A53A52"/>
    <w:pPr>
      <w:spacing w:line="240" w:lineRule="auto"/>
    </w:pPr>
    <w:rPr>
      <w:color w:val="000000" w:themeColor="text1"/>
    </w:rPr>
    <w:tblPr>
      <w:tblStyleRowBandSize w:val="1"/>
      <w:tblStyleColBandSize w:val="1"/>
    </w:tblPr>
    <w:tcPr>
      <w:shd w:val="clear" w:color="auto" w:fill="DEFCFF"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1" w:themeFillTint="3F"/>
      </w:tcPr>
    </w:tblStylePr>
    <w:tblStylePr w:type="band1Horz">
      <w:tblPr/>
      <w:tcPr>
        <w:shd w:val="clear" w:color="auto" w:fill="BDF9FF" w:themeFill="accent1" w:themeFillTint="33"/>
      </w:tcPr>
    </w:tblStylePr>
  </w:style>
  <w:style w:type="table" w:styleId="Farvetliste-fremhvningsfarve2">
    <w:name w:val="Colorful List Accent 2"/>
    <w:basedOn w:val="Tabel-Normal"/>
    <w:uiPriority w:val="99"/>
    <w:semiHidden/>
    <w:rsid w:val="00A53A52"/>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A53A52"/>
    <w:pPr>
      <w:spacing w:line="240" w:lineRule="auto"/>
    </w:pPr>
    <w:rPr>
      <w:color w:val="000000" w:themeColor="text1"/>
    </w:rPr>
    <w:tblPr>
      <w:tblStyleRowBandSize w:val="1"/>
      <w:tblStyleColBandSize w:val="1"/>
    </w:tblPr>
    <w:tcPr>
      <w:shd w:val="clear" w:color="auto" w:fill="E9F9F5"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0E7" w:themeFill="accent3" w:themeFillTint="3F"/>
      </w:tcPr>
    </w:tblStylePr>
    <w:tblStylePr w:type="band1Horz">
      <w:tblPr/>
      <w:tcPr>
        <w:shd w:val="clear" w:color="auto" w:fill="D3F3EC" w:themeFill="accent3" w:themeFillTint="33"/>
      </w:tcPr>
    </w:tblStylePr>
  </w:style>
  <w:style w:type="table" w:styleId="Farvetliste-fremhvningsfarve4">
    <w:name w:val="Colorful List Accent 4"/>
    <w:basedOn w:val="Tabel-Normal"/>
    <w:uiPriority w:val="99"/>
    <w:semiHidden/>
    <w:rsid w:val="00A53A52"/>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7B" w:themeFill="accent3" w:themeFillShade="CC"/>
      </w:tcPr>
    </w:tblStylePr>
    <w:tblStylePr w:type="lastRow">
      <w:rPr>
        <w:b/>
        <w:bCs/>
        <w:color w:val="2893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A53A52"/>
    <w:pPr>
      <w:spacing w:line="240" w:lineRule="auto"/>
    </w:pPr>
    <w:rPr>
      <w:color w:val="000000" w:themeColor="text1"/>
    </w:rPr>
    <w:tblPr>
      <w:tblStyleRowBandSize w:val="1"/>
      <w:tblStyleColBandSize w:val="1"/>
    </w:tblPr>
    <w:tcPr>
      <w:shd w:val="clear" w:color="auto" w:fill="FDFBF0" w:themeFill="accent5" w:themeFillTint="19"/>
    </w:tcPr>
    <w:tblStylePr w:type="firstRow">
      <w:rPr>
        <w:b/>
        <w:bCs/>
        <w:color w:val="FFFFFF" w:themeColor="background1"/>
      </w:rPr>
      <w:tblPr/>
      <w:tcPr>
        <w:tcBorders>
          <w:bottom w:val="single" w:sz="12" w:space="0" w:color="FFFFFF" w:themeColor="background1"/>
        </w:tcBorders>
        <w:shd w:val="clear" w:color="auto" w:fill="402457" w:themeFill="accent6" w:themeFillShade="CC"/>
      </w:tcPr>
    </w:tblStylePr>
    <w:tblStylePr w:type="lastRow">
      <w:rPr>
        <w:b/>
        <w:bCs/>
        <w:color w:val="4024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5" w:themeFillTint="3F"/>
      </w:tcPr>
    </w:tblStylePr>
    <w:tblStylePr w:type="band1Horz">
      <w:tblPr/>
      <w:tcPr>
        <w:shd w:val="clear" w:color="auto" w:fill="FBF7E1" w:themeFill="accent5" w:themeFillTint="33"/>
      </w:tcPr>
    </w:tblStylePr>
  </w:style>
  <w:style w:type="table" w:styleId="Farvetliste-fremhvningsfarve6">
    <w:name w:val="Colorful List Accent 6"/>
    <w:basedOn w:val="Tabel-Normal"/>
    <w:uiPriority w:val="99"/>
    <w:semiHidden/>
    <w:rsid w:val="00A53A52"/>
    <w:pPr>
      <w:spacing w:line="240" w:lineRule="auto"/>
    </w:pPr>
    <w:rPr>
      <w:color w:val="000000" w:themeColor="text1"/>
    </w:rPr>
    <w:tblPr>
      <w:tblStyleRowBandSize w:val="1"/>
      <w:tblStyleColBandSize w:val="1"/>
    </w:tblPr>
    <w:tcPr>
      <w:shd w:val="clear" w:color="auto" w:fill="EEE6F4" w:themeFill="accent6" w:themeFillTint="19"/>
    </w:tcPr>
    <w:tblStylePr w:type="firstRow">
      <w:rPr>
        <w:b/>
        <w:bCs/>
        <w:color w:val="FFFFFF" w:themeColor="background1"/>
      </w:rPr>
      <w:tblPr/>
      <w:tcPr>
        <w:tcBorders>
          <w:bottom w:val="single" w:sz="12" w:space="0" w:color="FFFFFF" w:themeColor="background1"/>
        </w:tcBorders>
        <w:shd w:val="clear" w:color="auto" w:fill="E8CB2D" w:themeFill="accent5" w:themeFillShade="CC"/>
      </w:tcPr>
    </w:tblStylePr>
    <w:tblStylePr w:type="lastRow">
      <w:rPr>
        <w:b/>
        <w:bCs/>
        <w:color w:val="E8CB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6" w:themeFillTint="3F"/>
      </w:tcPr>
    </w:tblStylePr>
    <w:tblStylePr w:type="band1Horz">
      <w:tblPr/>
      <w:tcPr>
        <w:shd w:val="clear" w:color="auto" w:fill="DDCCEA" w:themeFill="accent6" w:themeFillTint="33"/>
      </w:tcPr>
    </w:tblStylePr>
  </w:style>
  <w:style w:type="table" w:styleId="Farvetskygge">
    <w:name w:val="Colorful Shading"/>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A7B5" w:themeColor="accent1"/>
        <w:bottom w:val="single" w:sz="4" w:space="0" w:color="00A7B5" w:themeColor="accent1"/>
        <w:right w:val="single" w:sz="4" w:space="0" w:color="00A7B5" w:themeColor="accent1"/>
        <w:insideH w:val="single" w:sz="4" w:space="0" w:color="FFFFFF" w:themeColor="background1"/>
        <w:insideV w:val="single" w:sz="4" w:space="0" w:color="FFFFFF" w:themeColor="background1"/>
      </w:tblBorders>
    </w:tblPr>
    <w:tcPr>
      <w:shd w:val="clear" w:color="auto" w:fill="DEFCFF"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1" w:themeFillShade="99"/>
      </w:tcPr>
    </w:tblStylePr>
    <w:tblStylePr w:type="firstCol">
      <w:rPr>
        <w:color w:val="FFFFFF" w:themeColor="background1"/>
      </w:rPr>
      <w:tblPr/>
      <w:tcPr>
        <w:tcBorders>
          <w:top w:val="nil"/>
          <w:left w:val="nil"/>
          <w:bottom w:val="nil"/>
          <w:right w:val="nil"/>
          <w:insideH w:val="single" w:sz="4" w:space="0" w:color="00636C" w:themeColor="accent1" w:themeShade="99"/>
          <w:insideV w:val="nil"/>
        </w:tcBorders>
        <w:shd w:val="clear" w:color="auto" w:fill="0063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1" w:themeFillShade="99"/>
      </w:tcPr>
    </w:tblStylePr>
    <w:tblStylePr w:type="band1Vert">
      <w:tblPr/>
      <w:tcPr>
        <w:shd w:val="clear" w:color="auto" w:fill="7BF4FF" w:themeFill="accent1" w:themeFillTint="66"/>
      </w:tcPr>
    </w:tblStylePr>
    <w:tblStylePr w:type="band1Horz">
      <w:tblPr/>
      <w:tcPr>
        <w:shd w:val="clear" w:color="auto" w:fill="5BF2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A53A52"/>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A53A52"/>
    <w:pPr>
      <w:spacing w:line="240" w:lineRule="auto"/>
    </w:pPr>
    <w:rPr>
      <w:color w:val="000000" w:themeColor="text1"/>
    </w:rPr>
    <w:tblPr>
      <w:tblStyleRowBandSize w:val="1"/>
      <w:tblStyleColBandSize w:val="1"/>
      <w:tblBorders>
        <w:top w:val="single" w:sz="24" w:space="0" w:color="0085AD" w:themeColor="accent4"/>
        <w:left w:val="single" w:sz="4" w:space="0" w:color="33B99B" w:themeColor="accent3"/>
        <w:bottom w:val="single" w:sz="4" w:space="0" w:color="33B99B" w:themeColor="accent3"/>
        <w:right w:val="single" w:sz="4" w:space="0" w:color="33B99B" w:themeColor="accent3"/>
        <w:insideH w:val="single" w:sz="4" w:space="0" w:color="FFFFFF" w:themeColor="background1"/>
        <w:insideV w:val="single" w:sz="4" w:space="0" w:color="FFFFFF" w:themeColor="background1"/>
      </w:tblBorders>
    </w:tblPr>
    <w:tcPr>
      <w:shd w:val="clear" w:color="auto" w:fill="E9F9F5"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5C" w:themeFill="accent3" w:themeFillShade="99"/>
      </w:tcPr>
    </w:tblStylePr>
    <w:tblStylePr w:type="firstCol">
      <w:rPr>
        <w:color w:val="FFFFFF" w:themeColor="background1"/>
      </w:rPr>
      <w:tblPr/>
      <w:tcPr>
        <w:tcBorders>
          <w:top w:val="nil"/>
          <w:left w:val="nil"/>
          <w:bottom w:val="nil"/>
          <w:right w:val="nil"/>
          <w:insideH w:val="single" w:sz="4" w:space="0" w:color="1E6E5C" w:themeColor="accent3" w:themeShade="99"/>
          <w:insideV w:val="nil"/>
        </w:tcBorders>
        <w:shd w:val="clear" w:color="auto" w:fill="1E6E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5C" w:themeFill="accent3" w:themeFillShade="99"/>
      </w:tcPr>
    </w:tblStylePr>
    <w:tblStylePr w:type="band1Vert">
      <w:tblPr/>
      <w:tcPr>
        <w:shd w:val="clear" w:color="auto" w:fill="A9E7D9" w:themeFill="accent3" w:themeFillTint="66"/>
      </w:tcPr>
    </w:tblStylePr>
    <w:tblStylePr w:type="band1Horz">
      <w:tblPr/>
      <w:tcPr>
        <w:shd w:val="clear" w:color="auto" w:fill="93E1CF" w:themeFill="accent3" w:themeFillTint="7F"/>
      </w:tcPr>
    </w:tblStylePr>
  </w:style>
  <w:style w:type="table" w:styleId="Farvetskygge-fremhvningsfarve4">
    <w:name w:val="Colorful Shading Accent 4"/>
    <w:basedOn w:val="Tabel-Normal"/>
    <w:uiPriority w:val="99"/>
    <w:semiHidden/>
    <w:rsid w:val="00A53A52"/>
    <w:pPr>
      <w:spacing w:line="240" w:lineRule="auto"/>
    </w:pPr>
    <w:rPr>
      <w:color w:val="000000" w:themeColor="text1"/>
    </w:rPr>
    <w:tblPr>
      <w:tblStyleRowBandSize w:val="1"/>
      <w:tblStyleColBandSize w:val="1"/>
      <w:tblBorders>
        <w:top w:val="single" w:sz="24" w:space="0" w:color="33B99B"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A53A52"/>
    <w:pPr>
      <w:spacing w:line="240" w:lineRule="auto"/>
    </w:pPr>
    <w:rPr>
      <w:color w:val="000000" w:themeColor="text1"/>
    </w:rPr>
    <w:tblPr>
      <w:tblStyleRowBandSize w:val="1"/>
      <w:tblStyleColBandSize w:val="1"/>
      <w:tblBorders>
        <w:top w:val="single" w:sz="24" w:space="0" w:color="512D6D" w:themeColor="accent6"/>
        <w:left w:val="single" w:sz="4" w:space="0" w:color="EFDB6C" w:themeColor="accent5"/>
        <w:bottom w:val="single" w:sz="4" w:space="0" w:color="EFDB6C" w:themeColor="accent5"/>
        <w:right w:val="single" w:sz="4" w:space="0" w:color="EFDB6C" w:themeColor="accent5"/>
        <w:insideH w:val="single" w:sz="4" w:space="0" w:color="FFFFFF" w:themeColor="background1"/>
        <w:insideV w:val="single" w:sz="4" w:space="0" w:color="FFFFFF" w:themeColor="background1"/>
      </w:tblBorders>
    </w:tblPr>
    <w:tcPr>
      <w:shd w:val="clear" w:color="auto" w:fill="FDFBF0" w:themeFill="accent5" w:themeFillTint="19"/>
    </w:tcPr>
    <w:tblStylePr w:type="firstRow">
      <w:rPr>
        <w:b/>
        <w:bCs/>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5" w:themeFillShade="99"/>
      </w:tcPr>
    </w:tblStylePr>
    <w:tblStylePr w:type="firstCol">
      <w:rPr>
        <w:color w:val="FFFFFF" w:themeColor="background1"/>
      </w:rPr>
      <w:tblPr/>
      <w:tcPr>
        <w:tcBorders>
          <w:top w:val="nil"/>
          <w:left w:val="nil"/>
          <w:bottom w:val="nil"/>
          <w:right w:val="nil"/>
          <w:insideH w:val="single" w:sz="4" w:space="0" w:color="BBA114" w:themeColor="accent5" w:themeShade="99"/>
          <w:insideV w:val="nil"/>
        </w:tcBorders>
        <w:shd w:val="clear" w:color="auto" w:fill="BBA11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5" w:themeFillShade="99"/>
      </w:tcPr>
    </w:tblStylePr>
    <w:tblStylePr w:type="band1Vert">
      <w:tblPr/>
      <w:tcPr>
        <w:shd w:val="clear" w:color="auto" w:fill="F8F0C4" w:themeFill="accent5" w:themeFillTint="66"/>
      </w:tcPr>
    </w:tblStylePr>
    <w:tblStylePr w:type="band1Horz">
      <w:tblPr/>
      <w:tcPr>
        <w:shd w:val="clear" w:color="auto" w:fill="F7EDB5"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A53A52"/>
    <w:pPr>
      <w:spacing w:line="240" w:lineRule="auto"/>
    </w:pPr>
    <w:rPr>
      <w:color w:val="000000" w:themeColor="text1"/>
    </w:rPr>
    <w:tblPr>
      <w:tblStyleRowBandSize w:val="1"/>
      <w:tblStyleColBandSize w:val="1"/>
      <w:tblBorders>
        <w:top w:val="single" w:sz="24" w:space="0" w:color="EFDB6C" w:themeColor="accent5"/>
        <w:left w:val="single" w:sz="4" w:space="0" w:color="512D6D" w:themeColor="accent6"/>
        <w:bottom w:val="single" w:sz="4" w:space="0" w:color="512D6D" w:themeColor="accent6"/>
        <w:right w:val="single" w:sz="4" w:space="0" w:color="512D6D" w:themeColor="accent6"/>
        <w:insideH w:val="single" w:sz="4" w:space="0" w:color="FFFFFF" w:themeColor="background1"/>
        <w:insideV w:val="single" w:sz="4" w:space="0" w:color="FFFFFF" w:themeColor="background1"/>
      </w:tblBorders>
    </w:tblPr>
    <w:tcPr>
      <w:shd w:val="clear" w:color="auto" w:fill="EEE6F4" w:themeFill="accent6" w:themeFillTint="19"/>
    </w:tcPr>
    <w:tblStylePr w:type="firstRow">
      <w:rPr>
        <w:b/>
        <w:bCs/>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6" w:themeFillShade="99"/>
      </w:tcPr>
    </w:tblStylePr>
    <w:tblStylePr w:type="firstCol">
      <w:rPr>
        <w:color w:val="FFFFFF" w:themeColor="background1"/>
      </w:rPr>
      <w:tblPr/>
      <w:tcPr>
        <w:tcBorders>
          <w:top w:val="nil"/>
          <w:left w:val="nil"/>
          <w:bottom w:val="nil"/>
          <w:right w:val="nil"/>
          <w:insideH w:val="single" w:sz="4" w:space="0" w:color="301B41" w:themeColor="accent6" w:themeShade="99"/>
          <w:insideV w:val="nil"/>
        </w:tcBorders>
        <w:shd w:val="clear" w:color="auto" w:fill="301B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6" w:themeFillShade="99"/>
      </w:tcPr>
    </w:tblStylePr>
    <w:tblStylePr w:type="band1Vert">
      <w:tblPr/>
      <w:tcPr>
        <w:shd w:val="clear" w:color="auto" w:fill="BB9AD5" w:themeFill="accent6" w:themeFillTint="66"/>
      </w:tcPr>
    </w:tblStylePr>
    <w:tblStylePr w:type="band1Horz">
      <w:tblPr/>
      <w:tcPr>
        <w:shd w:val="clear" w:color="auto" w:fill="AA81C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A53A52"/>
    <w:rPr>
      <w:sz w:val="16"/>
      <w:szCs w:val="16"/>
    </w:rPr>
  </w:style>
  <w:style w:type="paragraph" w:styleId="Kommentartekst">
    <w:name w:val="annotation text"/>
    <w:basedOn w:val="Normal"/>
    <w:link w:val="KommentartekstTegn"/>
    <w:uiPriority w:val="99"/>
    <w:semiHidden/>
    <w:rsid w:val="00A53A52"/>
    <w:pPr>
      <w:spacing w:line="240" w:lineRule="auto"/>
    </w:pPr>
  </w:style>
  <w:style w:type="character" w:customStyle="1" w:styleId="KommentartekstTegn">
    <w:name w:val="Kommentartekst Tegn"/>
    <w:basedOn w:val="Standardskrifttypeiafsnit"/>
    <w:link w:val="Kommentartekst"/>
    <w:uiPriority w:val="99"/>
    <w:semiHidden/>
    <w:rsid w:val="00A53A52"/>
    <w:rPr>
      <w:sz w:val="22"/>
    </w:rPr>
  </w:style>
  <w:style w:type="paragraph" w:styleId="Kommentaremne">
    <w:name w:val="annotation subject"/>
    <w:basedOn w:val="Kommentartekst"/>
    <w:next w:val="Kommentartekst"/>
    <w:link w:val="KommentaremneTegn"/>
    <w:uiPriority w:val="99"/>
    <w:semiHidden/>
    <w:rsid w:val="00A53A52"/>
    <w:rPr>
      <w:b/>
      <w:bCs/>
    </w:rPr>
  </w:style>
  <w:style w:type="character" w:customStyle="1" w:styleId="KommentaremneTegn">
    <w:name w:val="Kommentaremne Tegn"/>
    <w:basedOn w:val="KommentartekstTegn"/>
    <w:link w:val="Kommentaremne"/>
    <w:uiPriority w:val="99"/>
    <w:semiHidden/>
    <w:rsid w:val="00A53A52"/>
    <w:rPr>
      <w:b/>
      <w:bCs/>
      <w:sz w:val="22"/>
    </w:rPr>
  </w:style>
  <w:style w:type="table" w:styleId="Mrkliste">
    <w:name w:val="Dark List"/>
    <w:basedOn w:val="Tabel-Normal"/>
    <w:uiPriority w:val="99"/>
    <w:semiHidden/>
    <w:rsid w:val="00A53A5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A53A52"/>
    <w:pPr>
      <w:spacing w:line="240" w:lineRule="auto"/>
    </w:pPr>
    <w:rPr>
      <w:color w:val="FFFFFF" w:themeColor="background1"/>
    </w:rPr>
    <w:tblPr>
      <w:tblStyleRowBandSize w:val="1"/>
      <w:tblStyleColBandSize w:val="1"/>
    </w:tblPr>
    <w:tcPr>
      <w:shd w:val="clear" w:color="auto" w:fill="00A7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1" w:themeFillShade="BF"/>
      </w:tcPr>
    </w:tblStylePr>
    <w:tblStylePr w:type="band1Vert">
      <w:tblPr/>
      <w:tcPr>
        <w:tcBorders>
          <w:top w:val="nil"/>
          <w:left w:val="nil"/>
          <w:bottom w:val="nil"/>
          <w:right w:val="nil"/>
          <w:insideH w:val="nil"/>
          <w:insideV w:val="nil"/>
        </w:tcBorders>
        <w:shd w:val="clear" w:color="auto" w:fill="007C87" w:themeFill="accent1" w:themeFillShade="BF"/>
      </w:tcPr>
    </w:tblStylePr>
    <w:tblStylePr w:type="band1Horz">
      <w:tblPr/>
      <w:tcPr>
        <w:tcBorders>
          <w:top w:val="nil"/>
          <w:left w:val="nil"/>
          <w:bottom w:val="nil"/>
          <w:right w:val="nil"/>
          <w:insideH w:val="nil"/>
          <w:insideV w:val="nil"/>
        </w:tcBorders>
        <w:shd w:val="clear" w:color="auto" w:fill="007C87" w:themeFill="accent1" w:themeFillShade="BF"/>
      </w:tcPr>
    </w:tblStylePr>
  </w:style>
  <w:style w:type="table" w:styleId="Mrkliste-fremhvningsfarve2">
    <w:name w:val="Dark List Accent 2"/>
    <w:basedOn w:val="Tabel-Normal"/>
    <w:uiPriority w:val="99"/>
    <w:semiHidden/>
    <w:rsid w:val="00A53A52"/>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A53A52"/>
    <w:pPr>
      <w:spacing w:line="240" w:lineRule="auto"/>
    </w:pPr>
    <w:rPr>
      <w:color w:val="FFFFFF" w:themeColor="background1"/>
    </w:rPr>
    <w:tblPr>
      <w:tblStyleRowBandSize w:val="1"/>
      <w:tblStyleColBandSize w:val="1"/>
    </w:tblPr>
    <w:tcPr>
      <w:shd w:val="clear" w:color="auto" w:fill="33B9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73" w:themeFill="accent3" w:themeFillShade="BF"/>
      </w:tcPr>
    </w:tblStylePr>
    <w:tblStylePr w:type="band1Vert">
      <w:tblPr/>
      <w:tcPr>
        <w:tcBorders>
          <w:top w:val="nil"/>
          <w:left w:val="nil"/>
          <w:bottom w:val="nil"/>
          <w:right w:val="nil"/>
          <w:insideH w:val="nil"/>
          <w:insideV w:val="nil"/>
        </w:tcBorders>
        <w:shd w:val="clear" w:color="auto" w:fill="268A73" w:themeFill="accent3" w:themeFillShade="BF"/>
      </w:tcPr>
    </w:tblStylePr>
    <w:tblStylePr w:type="band1Horz">
      <w:tblPr/>
      <w:tcPr>
        <w:tcBorders>
          <w:top w:val="nil"/>
          <w:left w:val="nil"/>
          <w:bottom w:val="nil"/>
          <w:right w:val="nil"/>
          <w:insideH w:val="nil"/>
          <w:insideV w:val="nil"/>
        </w:tcBorders>
        <w:shd w:val="clear" w:color="auto" w:fill="268A73" w:themeFill="accent3" w:themeFillShade="BF"/>
      </w:tcPr>
    </w:tblStylePr>
  </w:style>
  <w:style w:type="table" w:styleId="Mrkliste-fremhvningsfarve4">
    <w:name w:val="Dark List Accent 4"/>
    <w:basedOn w:val="Tabel-Normal"/>
    <w:uiPriority w:val="99"/>
    <w:semiHidden/>
    <w:rsid w:val="00A53A52"/>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A53A52"/>
    <w:pPr>
      <w:spacing w:line="240" w:lineRule="auto"/>
    </w:pPr>
    <w:rPr>
      <w:color w:val="FFFFFF" w:themeColor="background1"/>
    </w:rPr>
    <w:tblPr>
      <w:tblStyleRowBandSize w:val="1"/>
      <w:tblStyleColBandSize w:val="1"/>
    </w:tblPr>
    <w:tcPr>
      <w:shd w:val="clear" w:color="auto" w:fill="EFDB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5" w:themeFillShade="BF"/>
      </w:tcPr>
    </w:tblStylePr>
    <w:tblStylePr w:type="band1Vert">
      <w:tblPr/>
      <w:tcPr>
        <w:tcBorders>
          <w:top w:val="nil"/>
          <w:left w:val="nil"/>
          <w:bottom w:val="nil"/>
          <w:right w:val="nil"/>
          <w:insideH w:val="nil"/>
          <w:insideV w:val="nil"/>
        </w:tcBorders>
        <w:shd w:val="clear" w:color="auto" w:fill="E6C71D" w:themeFill="accent5" w:themeFillShade="BF"/>
      </w:tcPr>
    </w:tblStylePr>
    <w:tblStylePr w:type="band1Horz">
      <w:tblPr/>
      <w:tcPr>
        <w:tcBorders>
          <w:top w:val="nil"/>
          <w:left w:val="nil"/>
          <w:bottom w:val="nil"/>
          <w:right w:val="nil"/>
          <w:insideH w:val="nil"/>
          <w:insideV w:val="nil"/>
        </w:tcBorders>
        <w:shd w:val="clear" w:color="auto" w:fill="E6C71D" w:themeFill="accent5" w:themeFillShade="BF"/>
      </w:tcPr>
    </w:tblStylePr>
  </w:style>
  <w:style w:type="table" w:styleId="Mrkliste-fremhvningsfarve6">
    <w:name w:val="Dark List Accent 6"/>
    <w:basedOn w:val="Tabel-Normal"/>
    <w:uiPriority w:val="99"/>
    <w:semiHidden/>
    <w:rsid w:val="00A53A52"/>
    <w:pPr>
      <w:spacing w:line="240" w:lineRule="auto"/>
    </w:pPr>
    <w:rPr>
      <w:color w:val="FFFFFF" w:themeColor="background1"/>
    </w:rPr>
    <w:tblPr>
      <w:tblStyleRowBandSize w:val="1"/>
      <w:tblStyleColBandSize w:val="1"/>
    </w:tblPr>
    <w:tcPr>
      <w:shd w:val="clear" w:color="auto" w:fill="512D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6" w:themeFillShade="BF"/>
      </w:tcPr>
    </w:tblStylePr>
    <w:tblStylePr w:type="band1Vert">
      <w:tblPr/>
      <w:tcPr>
        <w:tcBorders>
          <w:top w:val="nil"/>
          <w:left w:val="nil"/>
          <w:bottom w:val="nil"/>
          <w:right w:val="nil"/>
          <w:insideH w:val="nil"/>
          <w:insideV w:val="nil"/>
        </w:tcBorders>
        <w:shd w:val="clear" w:color="auto" w:fill="3C2151" w:themeFill="accent6" w:themeFillShade="BF"/>
      </w:tcPr>
    </w:tblStylePr>
    <w:tblStylePr w:type="band1Horz">
      <w:tblPr/>
      <w:tcPr>
        <w:tcBorders>
          <w:top w:val="nil"/>
          <w:left w:val="nil"/>
          <w:bottom w:val="nil"/>
          <w:right w:val="nil"/>
          <w:insideH w:val="nil"/>
          <w:insideV w:val="nil"/>
        </w:tcBorders>
        <w:shd w:val="clear" w:color="auto" w:fill="3C2151" w:themeFill="accent6" w:themeFillShade="BF"/>
      </w:tcPr>
    </w:tblStylePr>
  </w:style>
  <w:style w:type="paragraph" w:styleId="Dato">
    <w:name w:val="Date"/>
    <w:basedOn w:val="Normal"/>
    <w:next w:val="Normal"/>
    <w:link w:val="DatoTegn"/>
    <w:uiPriority w:val="99"/>
    <w:semiHidden/>
    <w:rsid w:val="00A53A52"/>
  </w:style>
  <w:style w:type="character" w:customStyle="1" w:styleId="DatoTegn">
    <w:name w:val="Dato Tegn"/>
    <w:basedOn w:val="Standardskrifttypeiafsnit"/>
    <w:link w:val="Dato"/>
    <w:uiPriority w:val="99"/>
    <w:semiHidden/>
    <w:rsid w:val="00A53A52"/>
    <w:rPr>
      <w:sz w:val="22"/>
    </w:rPr>
  </w:style>
  <w:style w:type="paragraph" w:customStyle="1" w:styleId="DocumentHeading">
    <w:name w:val="Document Heading"/>
    <w:basedOn w:val="Overskrift1"/>
    <w:uiPriority w:val="6"/>
    <w:semiHidden/>
    <w:rsid w:val="00A53A52"/>
    <w:pPr>
      <w:spacing w:before="0"/>
    </w:pPr>
    <w:rPr>
      <w:sz w:val="28"/>
    </w:rPr>
  </w:style>
  <w:style w:type="paragraph" w:styleId="Dokumentoversigt">
    <w:name w:val="Document Map"/>
    <w:basedOn w:val="Normal"/>
    <w:link w:val="DokumentoversigtTegn"/>
    <w:uiPriority w:val="99"/>
    <w:semiHidden/>
    <w:rsid w:val="00A53A5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A53A52"/>
    <w:rPr>
      <w:rFonts w:ascii="Tahoma" w:hAnsi="Tahoma" w:cs="Tahoma"/>
      <w:sz w:val="16"/>
      <w:szCs w:val="16"/>
    </w:rPr>
  </w:style>
  <w:style w:type="paragraph" w:styleId="Sidehoved">
    <w:name w:val="header"/>
    <w:basedOn w:val="Normal"/>
    <w:link w:val="SidehovedTegn"/>
    <w:uiPriority w:val="99"/>
    <w:semiHidden/>
    <w:rsid w:val="00A53A52"/>
    <w:pPr>
      <w:tabs>
        <w:tab w:val="center" w:pos="4819"/>
        <w:tab w:val="right" w:pos="9638"/>
      </w:tabs>
    </w:pPr>
  </w:style>
  <w:style w:type="character" w:customStyle="1" w:styleId="SidehovedTegn">
    <w:name w:val="Sidehoved Tegn"/>
    <w:basedOn w:val="Standardskrifttypeiafsnit"/>
    <w:link w:val="Sidehoved"/>
    <w:uiPriority w:val="99"/>
    <w:semiHidden/>
    <w:rsid w:val="00A53A52"/>
    <w:rPr>
      <w:sz w:val="22"/>
    </w:rPr>
  </w:style>
  <w:style w:type="paragraph" w:customStyle="1" w:styleId="DocumentName">
    <w:name w:val="Document Name"/>
    <w:basedOn w:val="Sidehoved"/>
    <w:uiPriority w:val="8"/>
    <w:semiHidden/>
    <w:qFormat/>
    <w:rsid w:val="00A53A52"/>
    <w:rPr>
      <w:caps/>
    </w:rPr>
  </w:style>
  <w:style w:type="paragraph" w:styleId="Mailsignatur">
    <w:name w:val="E-mail Signature"/>
    <w:basedOn w:val="Normal"/>
    <w:link w:val="MailsignaturTegn"/>
    <w:uiPriority w:val="99"/>
    <w:semiHidden/>
    <w:rsid w:val="00A53A52"/>
    <w:pPr>
      <w:spacing w:line="240" w:lineRule="auto"/>
    </w:pPr>
  </w:style>
  <w:style w:type="character" w:customStyle="1" w:styleId="MailsignaturTegn">
    <w:name w:val="Mailsignatur Tegn"/>
    <w:basedOn w:val="Standardskrifttypeiafsnit"/>
    <w:link w:val="Mailsignatur"/>
    <w:uiPriority w:val="99"/>
    <w:semiHidden/>
    <w:rsid w:val="00A53A52"/>
    <w:rPr>
      <w:sz w:val="22"/>
    </w:rPr>
  </w:style>
  <w:style w:type="character" w:styleId="Fremhv">
    <w:name w:val="Emphasis"/>
    <w:basedOn w:val="Standardskrifttypeiafsnit"/>
    <w:uiPriority w:val="4"/>
    <w:rsid w:val="00A53A52"/>
    <w:rPr>
      <w:i/>
      <w:iCs/>
    </w:rPr>
  </w:style>
  <w:style w:type="character" w:styleId="Slutnotehenvisning">
    <w:name w:val="endnote reference"/>
    <w:basedOn w:val="Standardskrifttypeiafsnit"/>
    <w:uiPriority w:val="99"/>
    <w:semiHidden/>
    <w:rsid w:val="00A53A52"/>
    <w:rPr>
      <w:vertAlign w:val="superscript"/>
    </w:rPr>
  </w:style>
  <w:style w:type="paragraph" w:styleId="Slutnotetekst">
    <w:name w:val="endnote text"/>
    <w:basedOn w:val="Normal"/>
    <w:link w:val="SlutnotetekstTegn"/>
    <w:uiPriority w:val="9"/>
    <w:semiHidden/>
    <w:rsid w:val="00A53A52"/>
    <w:pPr>
      <w:spacing w:line="240" w:lineRule="auto"/>
    </w:pPr>
  </w:style>
  <w:style w:type="character" w:customStyle="1" w:styleId="SlutnotetekstTegn">
    <w:name w:val="Slutnotetekst Tegn"/>
    <w:basedOn w:val="Standardskrifttypeiafsnit"/>
    <w:link w:val="Slutnotetekst"/>
    <w:uiPriority w:val="9"/>
    <w:semiHidden/>
    <w:rsid w:val="00A53A52"/>
    <w:rPr>
      <w:sz w:val="22"/>
    </w:rPr>
  </w:style>
  <w:style w:type="paragraph" w:styleId="Modtageradresse">
    <w:name w:val="envelope address"/>
    <w:basedOn w:val="Normal"/>
    <w:uiPriority w:val="99"/>
    <w:semiHidden/>
    <w:rsid w:val="00A53A52"/>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A53A52"/>
    <w:pPr>
      <w:spacing w:line="240" w:lineRule="auto"/>
    </w:pPr>
    <w:rPr>
      <w:rFonts w:asciiTheme="majorHAnsi" w:eastAsiaTheme="majorEastAsia" w:hAnsiTheme="majorHAnsi" w:cstheme="majorBidi"/>
    </w:rPr>
  </w:style>
  <w:style w:type="paragraph" w:customStyle="1" w:styleId="Faktaboks-Bullet">
    <w:name w:val="Faktaboks - Bullet"/>
    <w:basedOn w:val="Normal"/>
    <w:uiPriority w:val="6"/>
    <w:rsid w:val="00A53A52"/>
    <w:pPr>
      <w:numPr>
        <w:numId w:val="36"/>
      </w:numPr>
      <w:spacing w:before="260" w:after="260"/>
      <w:ind w:right="284"/>
    </w:pPr>
    <w:rPr>
      <w:rFonts w:ascii="Arial" w:eastAsiaTheme="minorHAnsi" w:hAnsi="Arial" w:cstheme="minorBidi"/>
      <w:sz w:val="18"/>
      <w:szCs w:val="18"/>
      <w:lang w:eastAsia="en-US"/>
    </w:rPr>
  </w:style>
  <w:style w:type="character" w:styleId="BesgtLink">
    <w:name w:val="FollowedHyperlink"/>
    <w:basedOn w:val="Standardskrifttypeiafsnit"/>
    <w:uiPriority w:val="99"/>
    <w:semiHidden/>
    <w:rsid w:val="00A53A52"/>
    <w:rPr>
      <w:color w:val="800080" w:themeColor="followedHyperlink"/>
      <w:u w:val="single"/>
    </w:rPr>
  </w:style>
  <w:style w:type="paragraph" w:styleId="Sidefod">
    <w:name w:val="footer"/>
    <w:basedOn w:val="Normal"/>
    <w:link w:val="SidefodTegn"/>
    <w:uiPriority w:val="99"/>
    <w:semiHidden/>
    <w:rsid w:val="00A53A52"/>
    <w:pPr>
      <w:tabs>
        <w:tab w:val="center" w:pos="4819"/>
        <w:tab w:val="right" w:pos="9638"/>
      </w:tabs>
      <w:spacing w:line="168" w:lineRule="atLeast"/>
      <w:ind w:right="567"/>
    </w:pPr>
    <w:rPr>
      <w:sz w:val="14"/>
    </w:rPr>
  </w:style>
  <w:style w:type="character" w:customStyle="1" w:styleId="SidefodTegn">
    <w:name w:val="Sidefod Tegn"/>
    <w:basedOn w:val="Standardskrifttypeiafsnit"/>
    <w:link w:val="Sidefod"/>
    <w:uiPriority w:val="99"/>
    <w:semiHidden/>
    <w:rsid w:val="00A53A52"/>
    <w:rPr>
      <w:sz w:val="14"/>
    </w:rPr>
  </w:style>
  <w:style w:type="character" w:styleId="Fodnotehenvisning">
    <w:name w:val="footnote reference"/>
    <w:basedOn w:val="Standardskrifttypeiafsnit"/>
    <w:uiPriority w:val="99"/>
    <w:semiHidden/>
    <w:rsid w:val="00A53A52"/>
    <w:rPr>
      <w:rFonts w:ascii="Arial" w:hAnsi="Arial"/>
      <w:sz w:val="22"/>
      <w:vertAlign w:val="superscript"/>
      <w:lang w:val="da-DK"/>
    </w:rPr>
  </w:style>
  <w:style w:type="paragraph" w:styleId="Fodnotetekst">
    <w:name w:val="footnote text"/>
    <w:basedOn w:val="Normal"/>
    <w:link w:val="FodnotetekstTegn"/>
    <w:uiPriority w:val="9"/>
    <w:semiHidden/>
    <w:rsid w:val="00A53A52"/>
    <w:rPr>
      <w:sz w:val="18"/>
    </w:rPr>
  </w:style>
  <w:style w:type="character" w:customStyle="1" w:styleId="FodnotetekstTegn">
    <w:name w:val="Fodnotetekst Tegn"/>
    <w:basedOn w:val="Standardskrifttypeiafsnit"/>
    <w:link w:val="Fodnotetekst"/>
    <w:uiPriority w:val="9"/>
    <w:semiHidden/>
    <w:rsid w:val="00A53A52"/>
    <w:rPr>
      <w:sz w:val="18"/>
    </w:rPr>
  </w:style>
  <w:style w:type="character" w:customStyle="1" w:styleId="ForklarendeTekst">
    <w:name w:val="ForklarendeTekst"/>
    <w:basedOn w:val="Standardskrifttypeiafsnit"/>
    <w:uiPriority w:val="9"/>
    <w:semiHidden/>
    <w:rsid w:val="00A53A52"/>
    <w:rPr>
      <w:rFonts w:ascii="Georgia" w:hAnsi="Georgia"/>
      <w:i/>
      <w:color w:val="FF0000"/>
      <w:sz w:val="18"/>
      <w:u w:val="none"/>
    </w:rPr>
  </w:style>
  <w:style w:type="paragraph" w:customStyle="1" w:styleId="Forklaring">
    <w:name w:val="Forklaring"/>
    <w:basedOn w:val="Normal"/>
    <w:uiPriority w:val="9"/>
    <w:semiHidden/>
    <w:rsid w:val="00A53A52"/>
    <w:rPr>
      <w:i/>
      <w:color w:val="FF0000"/>
    </w:rPr>
  </w:style>
  <w:style w:type="character" w:styleId="HTML-akronym">
    <w:name w:val="HTML Acronym"/>
    <w:basedOn w:val="Standardskrifttypeiafsnit"/>
    <w:uiPriority w:val="99"/>
    <w:semiHidden/>
    <w:rsid w:val="00A53A52"/>
  </w:style>
  <w:style w:type="paragraph" w:styleId="HTML-adresse">
    <w:name w:val="HTML Address"/>
    <w:basedOn w:val="Normal"/>
    <w:link w:val="HTML-adresseTegn"/>
    <w:uiPriority w:val="99"/>
    <w:semiHidden/>
    <w:rsid w:val="00A53A52"/>
    <w:pPr>
      <w:spacing w:line="240" w:lineRule="auto"/>
    </w:pPr>
    <w:rPr>
      <w:i/>
      <w:iCs/>
    </w:rPr>
  </w:style>
  <w:style w:type="character" w:customStyle="1" w:styleId="HTML-adresseTegn">
    <w:name w:val="HTML-adresse Tegn"/>
    <w:basedOn w:val="Standardskrifttypeiafsnit"/>
    <w:link w:val="HTML-adresse"/>
    <w:uiPriority w:val="99"/>
    <w:semiHidden/>
    <w:rsid w:val="00A53A52"/>
    <w:rPr>
      <w:i/>
      <w:iCs/>
      <w:sz w:val="22"/>
    </w:rPr>
  </w:style>
  <w:style w:type="character" w:styleId="HTML-citat">
    <w:name w:val="HTML Cite"/>
    <w:basedOn w:val="Standardskrifttypeiafsnit"/>
    <w:uiPriority w:val="99"/>
    <w:semiHidden/>
    <w:rsid w:val="00A53A52"/>
    <w:rPr>
      <w:i/>
      <w:iCs/>
    </w:rPr>
  </w:style>
  <w:style w:type="character" w:styleId="HTML-kode">
    <w:name w:val="HTML Code"/>
    <w:basedOn w:val="Standardskrifttypeiafsnit"/>
    <w:uiPriority w:val="99"/>
    <w:semiHidden/>
    <w:rsid w:val="00A53A52"/>
    <w:rPr>
      <w:rFonts w:ascii="Consolas" w:hAnsi="Consolas" w:cs="Consolas"/>
      <w:sz w:val="20"/>
      <w:szCs w:val="20"/>
    </w:rPr>
  </w:style>
  <w:style w:type="character" w:styleId="HTML-definition">
    <w:name w:val="HTML Definition"/>
    <w:basedOn w:val="Standardskrifttypeiafsnit"/>
    <w:uiPriority w:val="99"/>
    <w:semiHidden/>
    <w:rsid w:val="00A53A52"/>
    <w:rPr>
      <w:i/>
      <w:iCs/>
    </w:rPr>
  </w:style>
  <w:style w:type="character" w:styleId="HTML-tastatur">
    <w:name w:val="HTML Keyboard"/>
    <w:basedOn w:val="Standardskrifttypeiafsnit"/>
    <w:uiPriority w:val="99"/>
    <w:semiHidden/>
    <w:rsid w:val="00A53A52"/>
    <w:rPr>
      <w:rFonts w:ascii="Consolas" w:hAnsi="Consolas" w:cs="Consolas"/>
      <w:sz w:val="20"/>
      <w:szCs w:val="20"/>
    </w:rPr>
  </w:style>
  <w:style w:type="paragraph" w:styleId="FormateretHTML">
    <w:name w:val="HTML Preformatted"/>
    <w:basedOn w:val="Normal"/>
    <w:link w:val="FormateretHTMLTegn"/>
    <w:uiPriority w:val="99"/>
    <w:semiHidden/>
    <w:rsid w:val="00A53A52"/>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A53A52"/>
    <w:rPr>
      <w:rFonts w:ascii="Consolas" w:hAnsi="Consolas" w:cs="Consolas"/>
      <w:sz w:val="22"/>
    </w:rPr>
  </w:style>
  <w:style w:type="character" w:styleId="HTML-eksempel">
    <w:name w:val="HTML Sample"/>
    <w:basedOn w:val="Standardskrifttypeiafsnit"/>
    <w:uiPriority w:val="99"/>
    <w:semiHidden/>
    <w:rsid w:val="00A53A52"/>
    <w:rPr>
      <w:rFonts w:ascii="Consolas" w:hAnsi="Consolas" w:cs="Consolas"/>
      <w:sz w:val="24"/>
      <w:szCs w:val="24"/>
    </w:rPr>
  </w:style>
  <w:style w:type="character" w:styleId="HTML-skrivemaskine">
    <w:name w:val="HTML Typewriter"/>
    <w:basedOn w:val="Standardskrifttypeiafsnit"/>
    <w:uiPriority w:val="99"/>
    <w:semiHidden/>
    <w:rsid w:val="00A53A52"/>
    <w:rPr>
      <w:rFonts w:ascii="Consolas" w:hAnsi="Consolas" w:cs="Consolas"/>
      <w:sz w:val="20"/>
      <w:szCs w:val="20"/>
    </w:rPr>
  </w:style>
  <w:style w:type="character" w:styleId="HTML-variabel">
    <w:name w:val="HTML Variable"/>
    <w:basedOn w:val="Standardskrifttypeiafsnit"/>
    <w:uiPriority w:val="99"/>
    <w:semiHidden/>
    <w:rsid w:val="00A53A52"/>
    <w:rPr>
      <w:i/>
      <w:iCs/>
    </w:rPr>
  </w:style>
  <w:style w:type="character" w:styleId="Hyperlink">
    <w:name w:val="Hyperlink"/>
    <w:basedOn w:val="Standardskrifttypeiafsnit"/>
    <w:uiPriority w:val="9"/>
    <w:semiHidden/>
    <w:rsid w:val="00A53A52"/>
    <w:rPr>
      <w:color w:val="0000FF" w:themeColor="hyperlink"/>
      <w:u w:val="single"/>
    </w:rPr>
  </w:style>
  <w:style w:type="paragraph" w:styleId="Indeks1">
    <w:name w:val="index 1"/>
    <w:basedOn w:val="Normal"/>
    <w:next w:val="Normal"/>
    <w:autoRedefine/>
    <w:uiPriority w:val="99"/>
    <w:semiHidden/>
    <w:rsid w:val="00A53A52"/>
    <w:pPr>
      <w:spacing w:line="240" w:lineRule="auto"/>
      <w:ind w:left="200" w:hanging="200"/>
    </w:pPr>
  </w:style>
  <w:style w:type="paragraph" w:styleId="Indeks2">
    <w:name w:val="index 2"/>
    <w:basedOn w:val="Normal"/>
    <w:next w:val="Normal"/>
    <w:autoRedefine/>
    <w:uiPriority w:val="99"/>
    <w:semiHidden/>
    <w:rsid w:val="00A53A52"/>
    <w:pPr>
      <w:spacing w:line="240" w:lineRule="auto"/>
      <w:ind w:left="400" w:hanging="200"/>
    </w:pPr>
  </w:style>
  <w:style w:type="paragraph" w:styleId="Indeks3">
    <w:name w:val="index 3"/>
    <w:basedOn w:val="Normal"/>
    <w:next w:val="Normal"/>
    <w:autoRedefine/>
    <w:uiPriority w:val="99"/>
    <w:semiHidden/>
    <w:rsid w:val="00A53A52"/>
    <w:pPr>
      <w:spacing w:line="240" w:lineRule="auto"/>
      <w:ind w:left="600" w:hanging="200"/>
    </w:pPr>
  </w:style>
  <w:style w:type="paragraph" w:styleId="Indeks4">
    <w:name w:val="index 4"/>
    <w:basedOn w:val="Normal"/>
    <w:next w:val="Normal"/>
    <w:autoRedefine/>
    <w:uiPriority w:val="99"/>
    <w:semiHidden/>
    <w:rsid w:val="00A53A52"/>
    <w:pPr>
      <w:spacing w:line="240" w:lineRule="auto"/>
      <w:ind w:left="800" w:hanging="200"/>
    </w:pPr>
  </w:style>
  <w:style w:type="paragraph" w:styleId="Indeks5">
    <w:name w:val="index 5"/>
    <w:basedOn w:val="Normal"/>
    <w:next w:val="Normal"/>
    <w:autoRedefine/>
    <w:uiPriority w:val="99"/>
    <w:semiHidden/>
    <w:rsid w:val="00A53A52"/>
    <w:pPr>
      <w:spacing w:line="240" w:lineRule="auto"/>
      <w:ind w:left="1000" w:hanging="200"/>
    </w:pPr>
  </w:style>
  <w:style w:type="paragraph" w:styleId="Indeks6">
    <w:name w:val="index 6"/>
    <w:basedOn w:val="Normal"/>
    <w:next w:val="Normal"/>
    <w:autoRedefine/>
    <w:uiPriority w:val="99"/>
    <w:semiHidden/>
    <w:rsid w:val="00A53A52"/>
    <w:pPr>
      <w:spacing w:line="240" w:lineRule="auto"/>
      <w:ind w:left="1200" w:hanging="200"/>
    </w:pPr>
  </w:style>
  <w:style w:type="paragraph" w:styleId="Indeks7">
    <w:name w:val="index 7"/>
    <w:basedOn w:val="Normal"/>
    <w:next w:val="Normal"/>
    <w:autoRedefine/>
    <w:uiPriority w:val="99"/>
    <w:semiHidden/>
    <w:rsid w:val="00A53A52"/>
    <w:pPr>
      <w:spacing w:line="240" w:lineRule="auto"/>
      <w:ind w:left="1400" w:hanging="200"/>
    </w:pPr>
  </w:style>
  <w:style w:type="paragraph" w:styleId="Indeks8">
    <w:name w:val="index 8"/>
    <w:basedOn w:val="Normal"/>
    <w:next w:val="Normal"/>
    <w:autoRedefine/>
    <w:uiPriority w:val="99"/>
    <w:semiHidden/>
    <w:rsid w:val="00A53A52"/>
    <w:pPr>
      <w:spacing w:line="240" w:lineRule="auto"/>
      <w:ind w:left="1600" w:hanging="200"/>
    </w:pPr>
  </w:style>
  <w:style w:type="paragraph" w:styleId="Indeks9">
    <w:name w:val="index 9"/>
    <w:basedOn w:val="Normal"/>
    <w:next w:val="Normal"/>
    <w:autoRedefine/>
    <w:uiPriority w:val="99"/>
    <w:semiHidden/>
    <w:rsid w:val="00A53A52"/>
    <w:pPr>
      <w:spacing w:line="240" w:lineRule="auto"/>
      <w:ind w:left="1800" w:hanging="200"/>
    </w:pPr>
  </w:style>
  <w:style w:type="paragraph" w:styleId="Indeksoverskrift">
    <w:name w:val="index heading"/>
    <w:basedOn w:val="Normal"/>
    <w:next w:val="Indeks1"/>
    <w:uiPriority w:val="99"/>
    <w:semiHidden/>
    <w:rsid w:val="00A53A52"/>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A53A52"/>
    <w:rPr>
      <w:b/>
      <w:bCs/>
      <w:i/>
      <w:iCs/>
      <w:color w:val="00A7B5" w:themeColor="accent1"/>
    </w:rPr>
  </w:style>
  <w:style w:type="paragraph" w:styleId="Strktcitat">
    <w:name w:val="Intense Quote"/>
    <w:basedOn w:val="Normal"/>
    <w:next w:val="Normal"/>
    <w:link w:val="StrktcitatTegn"/>
    <w:uiPriority w:val="99"/>
    <w:semiHidden/>
    <w:qFormat/>
    <w:rsid w:val="00A53A52"/>
    <w:pPr>
      <w:pBdr>
        <w:bottom w:val="single" w:sz="4" w:space="4" w:color="00A7B5" w:themeColor="accent1"/>
      </w:pBdr>
      <w:spacing w:before="200" w:after="280"/>
      <w:ind w:left="936" w:right="936"/>
    </w:pPr>
    <w:rPr>
      <w:b/>
      <w:bCs/>
      <w:i/>
      <w:iCs/>
      <w:color w:val="00A7B5" w:themeColor="accent1"/>
    </w:rPr>
  </w:style>
  <w:style w:type="character" w:customStyle="1" w:styleId="StrktcitatTegn">
    <w:name w:val="Stærkt citat Tegn"/>
    <w:basedOn w:val="Standardskrifttypeiafsnit"/>
    <w:link w:val="Strktcitat"/>
    <w:uiPriority w:val="99"/>
    <w:semiHidden/>
    <w:rsid w:val="00A53A52"/>
    <w:rPr>
      <w:b/>
      <w:bCs/>
      <w:i/>
      <w:iCs/>
      <w:color w:val="00A7B5" w:themeColor="accent1"/>
      <w:sz w:val="22"/>
    </w:rPr>
  </w:style>
  <w:style w:type="character" w:styleId="Kraftighenvisning">
    <w:name w:val="Intense Reference"/>
    <w:basedOn w:val="Standardskrifttypeiafsnit"/>
    <w:uiPriority w:val="99"/>
    <w:semiHidden/>
    <w:qFormat/>
    <w:rsid w:val="00A53A52"/>
    <w:rPr>
      <w:b/>
      <w:bCs/>
      <w:smallCaps/>
      <w:color w:val="auto"/>
      <w:spacing w:val="5"/>
      <w:u w:val="single"/>
    </w:rPr>
  </w:style>
  <w:style w:type="paragraph" w:customStyle="1" w:styleId="Kolofontekst">
    <w:name w:val="Kolofontekst"/>
    <w:basedOn w:val="Normal"/>
    <w:uiPriority w:val="9"/>
    <w:semiHidden/>
    <w:rsid w:val="00A53A52"/>
    <w:rPr>
      <w:szCs w:val="22"/>
    </w:rPr>
  </w:style>
  <w:style w:type="table" w:styleId="Lystgitter">
    <w:name w:val="Light Grid"/>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18" w:space="0" w:color="00A7B5" w:themeColor="accent1"/>
          <w:right w:val="single" w:sz="8" w:space="0" w:color="00A7B5" w:themeColor="accent1"/>
          <w:insideH w:val="nil"/>
          <w:insideV w:val="single" w:sz="8" w:space="0" w:color="00A7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insideH w:val="nil"/>
          <w:insideV w:val="single" w:sz="8" w:space="0" w:color="00A7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shd w:val="clear" w:color="auto" w:fill="ADF8FF" w:themeFill="accent1" w:themeFillTint="3F"/>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shd w:val="clear" w:color="auto" w:fill="ADF8FF" w:themeFill="accent1" w:themeFillTint="3F"/>
      </w:tcPr>
    </w:tblStylePr>
    <w:tblStylePr w:type="band2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insideV w:val="single" w:sz="8" w:space="0" w:color="00A7B5" w:themeColor="accent1"/>
        </w:tcBorders>
      </w:tcPr>
    </w:tblStylePr>
  </w:style>
  <w:style w:type="table" w:styleId="Lystgitter-fremhvningsfarve2">
    <w:name w:val="Light Grid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18" w:space="0" w:color="33B99B" w:themeColor="accent3"/>
          <w:right w:val="single" w:sz="8" w:space="0" w:color="33B99B" w:themeColor="accent3"/>
          <w:insideH w:val="nil"/>
          <w:insideV w:val="single" w:sz="8" w:space="0" w:color="33B9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insideH w:val="nil"/>
          <w:insideV w:val="single" w:sz="8" w:space="0" w:color="33B9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shd w:val="clear" w:color="auto" w:fill="C9F0E7" w:themeFill="accent3" w:themeFillTint="3F"/>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shd w:val="clear" w:color="auto" w:fill="C9F0E7" w:themeFill="accent3" w:themeFillTint="3F"/>
      </w:tcPr>
    </w:tblStylePr>
    <w:tblStylePr w:type="band2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insideV w:val="single" w:sz="8" w:space="0" w:color="33B99B" w:themeColor="accent3"/>
        </w:tcBorders>
      </w:tcPr>
    </w:tblStylePr>
  </w:style>
  <w:style w:type="table" w:styleId="Lystgitter-fremhvningsfarve4">
    <w:name w:val="Light Grid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18" w:space="0" w:color="EFDB6C" w:themeColor="accent5"/>
          <w:right w:val="single" w:sz="8" w:space="0" w:color="EFDB6C" w:themeColor="accent5"/>
          <w:insideH w:val="nil"/>
          <w:insideV w:val="single" w:sz="8" w:space="0" w:color="EFDB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insideH w:val="nil"/>
          <w:insideV w:val="single" w:sz="8" w:space="0" w:color="EFDB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shd w:val="clear" w:color="auto" w:fill="FBF6DA" w:themeFill="accent5" w:themeFillTint="3F"/>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shd w:val="clear" w:color="auto" w:fill="FBF6DA" w:themeFill="accent5" w:themeFillTint="3F"/>
      </w:tcPr>
    </w:tblStylePr>
    <w:tblStylePr w:type="band2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insideV w:val="single" w:sz="8" w:space="0" w:color="EFDB6C" w:themeColor="accent5"/>
        </w:tcBorders>
      </w:tcPr>
    </w:tblStylePr>
  </w:style>
  <w:style w:type="table" w:styleId="Lystgitter-fremhvningsfarve6">
    <w:name w:val="Light Grid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18" w:space="0" w:color="512D6D" w:themeColor="accent6"/>
          <w:right w:val="single" w:sz="8" w:space="0" w:color="512D6D" w:themeColor="accent6"/>
          <w:insideH w:val="nil"/>
          <w:insideV w:val="single" w:sz="8" w:space="0" w:color="512D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insideH w:val="nil"/>
          <w:insideV w:val="single" w:sz="8" w:space="0" w:color="512D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shd w:val="clear" w:color="auto" w:fill="D5C0E5" w:themeFill="accent6" w:themeFillTint="3F"/>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shd w:val="clear" w:color="auto" w:fill="D5C0E5" w:themeFill="accent6" w:themeFillTint="3F"/>
      </w:tcPr>
    </w:tblStylePr>
    <w:tblStylePr w:type="band2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insideV w:val="single" w:sz="8" w:space="0" w:color="512D6D" w:themeColor="accent6"/>
        </w:tcBorders>
      </w:tcPr>
    </w:tblStylePr>
  </w:style>
  <w:style w:type="table" w:styleId="Lysliste">
    <w:name w:val="Light List"/>
    <w:basedOn w:val="Tabel-Normal"/>
    <w:uiPriority w:val="99"/>
    <w:semiHidden/>
    <w:rsid w:val="00A53A5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A53A52"/>
    <w:pPr>
      <w:spacing w:line="240" w:lineRule="auto"/>
    </w:p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pPr>
        <w:spacing w:before="0" w:after="0" w:line="240" w:lineRule="auto"/>
      </w:pPr>
      <w:rPr>
        <w:b/>
        <w:bCs/>
        <w:color w:val="FFFFFF" w:themeColor="background1"/>
      </w:rPr>
      <w:tblPr/>
      <w:tcPr>
        <w:shd w:val="clear" w:color="auto" w:fill="00A7B5" w:themeFill="accent1"/>
      </w:tcPr>
    </w:tblStylePr>
    <w:tblStylePr w:type="lastRow">
      <w:pPr>
        <w:spacing w:before="0" w:after="0" w:line="240" w:lineRule="auto"/>
      </w:pPr>
      <w:rPr>
        <w:b/>
        <w:bCs/>
      </w:rPr>
      <w:tblPr/>
      <w:tcPr>
        <w:tcBorders>
          <w:top w:val="double" w:sz="6" w:space="0" w:color="00A7B5" w:themeColor="accent1"/>
          <w:left w:val="single" w:sz="8" w:space="0" w:color="00A7B5" w:themeColor="accent1"/>
          <w:bottom w:val="single" w:sz="8" w:space="0" w:color="00A7B5" w:themeColor="accent1"/>
          <w:right w:val="single" w:sz="8" w:space="0" w:color="00A7B5" w:themeColor="accent1"/>
        </w:tcBorders>
      </w:tcPr>
    </w:tblStylePr>
    <w:tblStylePr w:type="firstCol">
      <w:rPr>
        <w:b/>
        <w:bCs/>
      </w:rPr>
    </w:tblStylePr>
    <w:tblStylePr w:type="lastCol">
      <w:rPr>
        <w:b/>
        <w:bCs/>
      </w:rPr>
    </w:tblStylePr>
    <w:tblStylePr w:type="band1Vert">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tblStylePr w:type="band1Horz">
      <w:tblPr/>
      <w:tcPr>
        <w:tcBorders>
          <w:top w:val="single" w:sz="8" w:space="0" w:color="00A7B5" w:themeColor="accent1"/>
          <w:left w:val="single" w:sz="8" w:space="0" w:color="00A7B5" w:themeColor="accent1"/>
          <w:bottom w:val="single" w:sz="8" w:space="0" w:color="00A7B5" w:themeColor="accent1"/>
          <w:right w:val="single" w:sz="8" w:space="0" w:color="00A7B5" w:themeColor="accent1"/>
        </w:tcBorders>
      </w:tcPr>
    </w:tblStylePr>
  </w:style>
  <w:style w:type="table" w:styleId="Lysliste-fremhvningsfarve2">
    <w:name w:val="Light List Accent 2"/>
    <w:basedOn w:val="Tabel-Normal"/>
    <w:uiPriority w:val="99"/>
    <w:semiHidden/>
    <w:rsid w:val="00A53A52"/>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A53A52"/>
    <w:pPr>
      <w:spacing w:line="240" w:lineRule="auto"/>
    </w:p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pPr>
        <w:spacing w:before="0" w:after="0" w:line="240" w:lineRule="auto"/>
      </w:pPr>
      <w:rPr>
        <w:b/>
        <w:bCs/>
        <w:color w:val="FFFFFF" w:themeColor="background1"/>
      </w:rPr>
      <w:tblPr/>
      <w:tcPr>
        <w:shd w:val="clear" w:color="auto" w:fill="33B99B" w:themeFill="accent3"/>
      </w:tcPr>
    </w:tblStylePr>
    <w:tblStylePr w:type="lastRow">
      <w:pPr>
        <w:spacing w:before="0" w:after="0" w:line="240" w:lineRule="auto"/>
      </w:pPr>
      <w:rPr>
        <w:b/>
        <w:bCs/>
      </w:rPr>
      <w:tblPr/>
      <w:tcPr>
        <w:tcBorders>
          <w:top w:val="double" w:sz="6" w:space="0" w:color="33B99B" w:themeColor="accent3"/>
          <w:left w:val="single" w:sz="8" w:space="0" w:color="33B99B" w:themeColor="accent3"/>
          <w:bottom w:val="single" w:sz="8" w:space="0" w:color="33B99B" w:themeColor="accent3"/>
          <w:right w:val="single" w:sz="8" w:space="0" w:color="33B99B" w:themeColor="accent3"/>
        </w:tcBorders>
      </w:tcPr>
    </w:tblStylePr>
    <w:tblStylePr w:type="firstCol">
      <w:rPr>
        <w:b/>
        <w:bCs/>
      </w:rPr>
    </w:tblStylePr>
    <w:tblStylePr w:type="lastCol">
      <w:rPr>
        <w:b/>
        <w:bCs/>
      </w:rPr>
    </w:tblStylePr>
    <w:tblStylePr w:type="band1Vert">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tblStylePr w:type="band1Horz">
      <w:tblPr/>
      <w:tcPr>
        <w:tcBorders>
          <w:top w:val="single" w:sz="8" w:space="0" w:color="33B99B" w:themeColor="accent3"/>
          <w:left w:val="single" w:sz="8" w:space="0" w:color="33B99B" w:themeColor="accent3"/>
          <w:bottom w:val="single" w:sz="8" w:space="0" w:color="33B99B" w:themeColor="accent3"/>
          <w:right w:val="single" w:sz="8" w:space="0" w:color="33B99B" w:themeColor="accent3"/>
        </w:tcBorders>
      </w:tcPr>
    </w:tblStylePr>
  </w:style>
  <w:style w:type="table" w:styleId="Lysliste-fremhvningsfarve4">
    <w:name w:val="Light List Accent 4"/>
    <w:basedOn w:val="Tabel-Normal"/>
    <w:uiPriority w:val="99"/>
    <w:semiHidden/>
    <w:rsid w:val="00A53A52"/>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A53A52"/>
    <w:pPr>
      <w:spacing w:line="240" w:lineRule="auto"/>
    </w:p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pPr>
        <w:spacing w:before="0" w:after="0" w:line="240" w:lineRule="auto"/>
      </w:pPr>
      <w:rPr>
        <w:b/>
        <w:bCs/>
        <w:color w:val="FFFFFF" w:themeColor="background1"/>
      </w:rPr>
      <w:tblPr/>
      <w:tcPr>
        <w:shd w:val="clear" w:color="auto" w:fill="EFDB6C" w:themeFill="accent5"/>
      </w:tcPr>
    </w:tblStylePr>
    <w:tblStylePr w:type="lastRow">
      <w:pPr>
        <w:spacing w:before="0" w:after="0" w:line="240" w:lineRule="auto"/>
      </w:pPr>
      <w:rPr>
        <w:b/>
        <w:bCs/>
      </w:rPr>
      <w:tblPr/>
      <w:tcPr>
        <w:tcBorders>
          <w:top w:val="double" w:sz="6" w:space="0" w:color="EFDB6C" w:themeColor="accent5"/>
          <w:left w:val="single" w:sz="8" w:space="0" w:color="EFDB6C" w:themeColor="accent5"/>
          <w:bottom w:val="single" w:sz="8" w:space="0" w:color="EFDB6C" w:themeColor="accent5"/>
          <w:right w:val="single" w:sz="8" w:space="0" w:color="EFDB6C" w:themeColor="accent5"/>
        </w:tcBorders>
      </w:tcPr>
    </w:tblStylePr>
    <w:tblStylePr w:type="firstCol">
      <w:rPr>
        <w:b/>
        <w:bCs/>
      </w:rPr>
    </w:tblStylePr>
    <w:tblStylePr w:type="lastCol">
      <w:rPr>
        <w:b/>
        <w:bCs/>
      </w:rPr>
    </w:tblStylePr>
    <w:tblStylePr w:type="band1Vert">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tblStylePr w:type="band1Horz">
      <w:tblPr/>
      <w:tcPr>
        <w:tcBorders>
          <w:top w:val="single" w:sz="8" w:space="0" w:color="EFDB6C" w:themeColor="accent5"/>
          <w:left w:val="single" w:sz="8" w:space="0" w:color="EFDB6C" w:themeColor="accent5"/>
          <w:bottom w:val="single" w:sz="8" w:space="0" w:color="EFDB6C" w:themeColor="accent5"/>
          <w:right w:val="single" w:sz="8" w:space="0" w:color="EFDB6C" w:themeColor="accent5"/>
        </w:tcBorders>
      </w:tcPr>
    </w:tblStylePr>
  </w:style>
  <w:style w:type="table" w:styleId="Lysliste-fremhvningsfarve6">
    <w:name w:val="Light List Accent 6"/>
    <w:basedOn w:val="Tabel-Normal"/>
    <w:uiPriority w:val="99"/>
    <w:semiHidden/>
    <w:rsid w:val="00A53A52"/>
    <w:pPr>
      <w:spacing w:line="240" w:lineRule="auto"/>
    </w:p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pPr>
        <w:spacing w:before="0" w:after="0" w:line="240" w:lineRule="auto"/>
      </w:pPr>
      <w:rPr>
        <w:b/>
        <w:bCs/>
        <w:color w:val="FFFFFF" w:themeColor="background1"/>
      </w:rPr>
      <w:tblPr/>
      <w:tcPr>
        <w:shd w:val="clear" w:color="auto" w:fill="512D6D" w:themeFill="accent6"/>
      </w:tcPr>
    </w:tblStylePr>
    <w:tblStylePr w:type="lastRow">
      <w:pPr>
        <w:spacing w:before="0" w:after="0" w:line="240" w:lineRule="auto"/>
      </w:pPr>
      <w:rPr>
        <w:b/>
        <w:bCs/>
      </w:rPr>
      <w:tblPr/>
      <w:tcPr>
        <w:tcBorders>
          <w:top w:val="double" w:sz="6" w:space="0" w:color="512D6D" w:themeColor="accent6"/>
          <w:left w:val="single" w:sz="8" w:space="0" w:color="512D6D" w:themeColor="accent6"/>
          <w:bottom w:val="single" w:sz="8" w:space="0" w:color="512D6D" w:themeColor="accent6"/>
          <w:right w:val="single" w:sz="8" w:space="0" w:color="512D6D" w:themeColor="accent6"/>
        </w:tcBorders>
      </w:tcPr>
    </w:tblStylePr>
    <w:tblStylePr w:type="firstCol">
      <w:rPr>
        <w:b/>
        <w:bCs/>
      </w:rPr>
    </w:tblStylePr>
    <w:tblStylePr w:type="lastCol">
      <w:rPr>
        <w:b/>
        <w:bCs/>
      </w:rPr>
    </w:tblStylePr>
    <w:tblStylePr w:type="band1Vert">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tblStylePr w:type="band1Horz">
      <w:tblPr/>
      <w:tcPr>
        <w:tcBorders>
          <w:top w:val="single" w:sz="8" w:space="0" w:color="512D6D" w:themeColor="accent6"/>
          <w:left w:val="single" w:sz="8" w:space="0" w:color="512D6D" w:themeColor="accent6"/>
          <w:bottom w:val="single" w:sz="8" w:space="0" w:color="512D6D" w:themeColor="accent6"/>
          <w:right w:val="single" w:sz="8" w:space="0" w:color="512D6D" w:themeColor="accent6"/>
        </w:tcBorders>
      </w:tcPr>
    </w:tblStylePr>
  </w:style>
  <w:style w:type="table" w:styleId="Lysskygge">
    <w:name w:val="Light Shading"/>
    <w:basedOn w:val="Tabel-Normal"/>
    <w:uiPriority w:val="99"/>
    <w:semiHidden/>
    <w:rsid w:val="00A53A5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A53A52"/>
    <w:pPr>
      <w:spacing w:line="240" w:lineRule="auto"/>
    </w:pPr>
    <w:rPr>
      <w:color w:val="007C87" w:themeColor="accent1" w:themeShade="BF"/>
    </w:rPr>
    <w:tblPr>
      <w:tblStyleRowBandSize w:val="1"/>
      <w:tblStyleColBandSize w:val="1"/>
      <w:tblBorders>
        <w:top w:val="single" w:sz="8" w:space="0" w:color="00A7B5" w:themeColor="accent1"/>
        <w:bottom w:val="single" w:sz="8" w:space="0" w:color="00A7B5" w:themeColor="accent1"/>
      </w:tblBorders>
    </w:tblPr>
    <w:tblStylePr w:type="fir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lastRow">
      <w:pPr>
        <w:spacing w:before="0" w:after="0" w:line="240" w:lineRule="auto"/>
      </w:pPr>
      <w:rPr>
        <w:b/>
        <w:bCs/>
      </w:rPr>
      <w:tblPr/>
      <w:tcPr>
        <w:tcBorders>
          <w:top w:val="single" w:sz="8" w:space="0" w:color="00A7B5" w:themeColor="accent1"/>
          <w:left w:val="nil"/>
          <w:bottom w:val="single" w:sz="8" w:space="0" w:color="00A7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left w:val="nil"/>
          <w:right w:val="nil"/>
          <w:insideH w:val="nil"/>
          <w:insideV w:val="nil"/>
        </w:tcBorders>
        <w:shd w:val="clear" w:color="auto" w:fill="ADF8FF" w:themeFill="accent1" w:themeFillTint="3F"/>
      </w:tcPr>
    </w:tblStylePr>
  </w:style>
  <w:style w:type="table" w:styleId="Lysskygge-fremhvningsfarve2">
    <w:name w:val="Light Shading Accent 2"/>
    <w:basedOn w:val="Tabel-Normal"/>
    <w:uiPriority w:val="99"/>
    <w:semiHidden/>
    <w:rsid w:val="00A53A52"/>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A53A52"/>
    <w:pPr>
      <w:spacing w:line="240" w:lineRule="auto"/>
    </w:pPr>
    <w:rPr>
      <w:color w:val="268A73" w:themeColor="accent3" w:themeShade="BF"/>
    </w:rPr>
    <w:tblPr>
      <w:tblStyleRowBandSize w:val="1"/>
      <w:tblStyleColBandSize w:val="1"/>
      <w:tblBorders>
        <w:top w:val="single" w:sz="8" w:space="0" w:color="33B99B" w:themeColor="accent3"/>
        <w:bottom w:val="single" w:sz="8" w:space="0" w:color="33B99B" w:themeColor="accent3"/>
      </w:tblBorders>
    </w:tblPr>
    <w:tblStylePr w:type="fir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lastRow">
      <w:pPr>
        <w:spacing w:before="0" w:after="0" w:line="240" w:lineRule="auto"/>
      </w:pPr>
      <w:rPr>
        <w:b/>
        <w:bCs/>
      </w:rPr>
      <w:tblPr/>
      <w:tcPr>
        <w:tcBorders>
          <w:top w:val="single" w:sz="8" w:space="0" w:color="33B99B" w:themeColor="accent3"/>
          <w:left w:val="nil"/>
          <w:bottom w:val="single" w:sz="8" w:space="0" w:color="33B9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left w:val="nil"/>
          <w:right w:val="nil"/>
          <w:insideH w:val="nil"/>
          <w:insideV w:val="nil"/>
        </w:tcBorders>
        <w:shd w:val="clear" w:color="auto" w:fill="C9F0E7" w:themeFill="accent3" w:themeFillTint="3F"/>
      </w:tcPr>
    </w:tblStylePr>
  </w:style>
  <w:style w:type="table" w:styleId="Lysskygge-fremhvningsfarve4">
    <w:name w:val="Light Shading Accent 4"/>
    <w:basedOn w:val="Tabel-Normal"/>
    <w:uiPriority w:val="99"/>
    <w:semiHidden/>
    <w:rsid w:val="00A53A52"/>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A53A52"/>
    <w:pPr>
      <w:spacing w:line="240" w:lineRule="auto"/>
    </w:pPr>
    <w:rPr>
      <w:color w:val="E6C71D" w:themeColor="accent5" w:themeShade="BF"/>
    </w:rPr>
    <w:tblPr>
      <w:tblStyleRowBandSize w:val="1"/>
      <w:tblStyleColBandSize w:val="1"/>
      <w:tblBorders>
        <w:top w:val="single" w:sz="8" w:space="0" w:color="EFDB6C" w:themeColor="accent5"/>
        <w:bottom w:val="single" w:sz="8" w:space="0" w:color="EFDB6C" w:themeColor="accent5"/>
      </w:tblBorders>
    </w:tblPr>
    <w:tblStylePr w:type="fir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lastRow">
      <w:pPr>
        <w:spacing w:before="0" w:after="0" w:line="240" w:lineRule="auto"/>
      </w:pPr>
      <w:rPr>
        <w:b/>
        <w:bCs/>
      </w:rPr>
      <w:tblPr/>
      <w:tcPr>
        <w:tcBorders>
          <w:top w:val="single" w:sz="8" w:space="0" w:color="EFDB6C" w:themeColor="accent5"/>
          <w:left w:val="nil"/>
          <w:bottom w:val="single" w:sz="8" w:space="0" w:color="EFDB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left w:val="nil"/>
          <w:right w:val="nil"/>
          <w:insideH w:val="nil"/>
          <w:insideV w:val="nil"/>
        </w:tcBorders>
        <w:shd w:val="clear" w:color="auto" w:fill="FBF6DA" w:themeFill="accent5" w:themeFillTint="3F"/>
      </w:tcPr>
    </w:tblStylePr>
  </w:style>
  <w:style w:type="table" w:styleId="Lysskygge-fremhvningsfarve6">
    <w:name w:val="Light Shading Accent 6"/>
    <w:basedOn w:val="Tabel-Normal"/>
    <w:uiPriority w:val="99"/>
    <w:semiHidden/>
    <w:rsid w:val="00A53A52"/>
    <w:pPr>
      <w:spacing w:line="240" w:lineRule="auto"/>
    </w:pPr>
    <w:rPr>
      <w:color w:val="3C2151" w:themeColor="accent6" w:themeShade="BF"/>
    </w:rPr>
    <w:tblPr>
      <w:tblStyleRowBandSize w:val="1"/>
      <w:tblStyleColBandSize w:val="1"/>
      <w:tblBorders>
        <w:top w:val="single" w:sz="8" w:space="0" w:color="512D6D" w:themeColor="accent6"/>
        <w:bottom w:val="single" w:sz="8" w:space="0" w:color="512D6D" w:themeColor="accent6"/>
      </w:tblBorders>
    </w:tblPr>
    <w:tblStylePr w:type="fir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lastRow">
      <w:pPr>
        <w:spacing w:before="0" w:after="0" w:line="240" w:lineRule="auto"/>
      </w:pPr>
      <w:rPr>
        <w:b/>
        <w:bCs/>
      </w:rPr>
      <w:tblPr/>
      <w:tcPr>
        <w:tcBorders>
          <w:top w:val="single" w:sz="8" w:space="0" w:color="512D6D" w:themeColor="accent6"/>
          <w:left w:val="nil"/>
          <w:bottom w:val="single" w:sz="8" w:space="0" w:color="512D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left w:val="nil"/>
          <w:right w:val="nil"/>
          <w:insideH w:val="nil"/>
          <w:insideV w:val="nil"/>
        </w:tcBorders>
        <w:shd w:val="clear" w:color="auto" w:fill="D5C0E5" w:themeFill="accent6" w:themeFillTint="3F"/>
      </w:tcPr>
    </w:tblStylePr>
  </w:style>
  <w:style w:type="character" w:styleId="Linjenummer">
    <w:name w:val="line number"/>
    <w:basedOn w:val="Standardskrifttypeiafsnit"/>
    <w:uiPriority w:val="99"/>
    <w:semiHidden/>
    <w:rsid w:val="00A53A52"/>
  </w:style>
  <w:style w:type="paragraph" w:styleId="Liste">
    <w:name w:val="List"/>
    <w:basedOn w:val="Normal"/>
    <w:uiPriority w:val="99"/>
    <w:semiHidden/>
    <w:rsid w:val="00A53A52"/>
    <w:pPr>
      <w:ind w:left="283" w:hanging="283"/>
      <w:contextualSpacing/>
    </w:pPr>
  </w:style>
  <w:style w:type="paragraph" w:styleId="Liste2">
    <w:name w:val="List 2"/>
    <w:basedOn w:val="Normal"/>
    <w:uiPriority w:val="99"/>
    <w:semiHidden/>
    <w:rsid w:val="00A53A52"/>
    <w:pPr>
      <w:ind w:left="566" w:hanging="283"/>
      <w:contextualSpacing/>
    </w:pPr>
  </w:style>
  <w:style w:type="paragraph" w:styleId="Liste3">
    <w:name w:val="List 3"/>
    <w:basedOn w:val="Normal"/>
    <w:uiPriority w:val="99"/>
    <w:semiHidden/>
    <w:rsid w:val="00A53A52"/>
    <w:pPr>
      <w:ind w:left="849" w:hanging="283"/>
      <w:contextualSpacing/>
    </w:pPr>
  </w:style>
  <w:style w:type="paragraph" w:styleId="Liste4">
    <w:name w:val="List 4"/>
    <w:basedOn w:val="Normal"/>
    <w:uiPriority w:val="99"/>
    <w:semiHidden/>
    <w:rsid w:val="00A53A52"/>
    <w:pPr>
      <w:ind w:left="1132" w:hanging="283"/>
      <w:contextualSpacing/>
    </w:pPr>
  </w:style>
  <w:style w:type="paragraph" w:styleId="Liste5">
    <w:name w:val="List 5"/>
    <w:basedOn w:val="Normal"/>
    <w:uiPriority w:val="99"/>
    <w:semiHidden/>
    <w:rsid w:val="00A53A52"/>
    <w:pPr>
      <w:ind w:left="1415" w:hanging="283"/>
      <w:contextualSpacing/>
    </w:pPr>
  </w:style>
  <w:style w:type="paragraph" w:styleId="Opstilling-punkttegn">
    <w:name w:val="List Bullet"/>
    <w:basedOn w:val="Normal"/>
    <w:uiPriority w:val="2"/>
    <w:qFormat/>
    <w:rsid w:val="00A53A52"/>
    <w:pPr>
      <w:numPr>
        <w:numId w:val="37"/>
      </w:numPr>
    </w:pPr>
  </w:style>
  <w:style w:type="paragraph" w:styleId="Opstilling-punkttegn2">
    <w:name w:val="List Bullet 2"/>
    <w:basedOn w:val="Normal"/>
    <w:uiPriority w:val="99"/>
    <w:semiHidden/>
    <w:rsid w:val="00A53A52"/>
    <w:pPr>
      <w:numPr>
        <w:numId w:val="38"/>
      </w:numPr>
      <w:contextualSpacing/>
    </w:pPr>
  </w:style>
  <w:style w:type="paragraph" w:styleId="Opstilling-punkttegn3">
    <w:name w:val="List Bullet 3"/>
    <w:basedOn w:val="Normal"/>
    <w:uiPriority w:val="99"/>
    <w:semiHidden/>
    <w:rsid w:val="00A53A52"/>
    <w:pPr>
      <w:numPr>
        <w:numId w:val="39"/>
      </w:numPr>
      <w:contextualSpacing/>
    </w:pPr>
  </w:style>
  <w:style w:type="paragraph" w:styleId="Opstilling-punkttegn4">
    <w:name w:val="List Bullet 4"/>
    <w:basedOn w:val="Normal"/>
    <w:uiPriority w:val="99"/>
    <w:semiHidden/>
    <w:rsid w:val="00A53A52"/>
    <w:pPr>
      <w:numPr>
        <w:numId w:val="40"/>
      </w:numPr>
      <w:contextualSpacing/>
    </w:pPr>
  </w:style>
  <w:style w:type="paragraph" w:styleId="Opstilling-punkttegn5">
    <w:name w:val="List Bullet 5"/>
    <w:basedOn w:val="Normal"/>
    <w:uiPriority w:val="99"/>
    <w:semiHidden/>
    <w:rsid w:val="00A53A52"/>
    <w:pPr>
      <w:numPr>
        <w:numId w:val="41"/>
      </w:numPr>
      <w:contextualSpacing/>
    </w:pPr>
  </w:style>
  <w:style w:type="paragraph" w:styleId="Opstilling-forts">
    <w:name w:val="List Continue"/>
    <w:basedOn w:val="Normal"/>
    <w:uiPriority w:val="99"/>
    <w:semiHidden/>
    <w:rsid w:val="00A53A52"/>
    <w:pPr>
      <w:spacing w:after="120"/>
      <w:ind w:left="283"/>
      <w:contextualSpacing/>
    </w:pPr>
  </w:style>
  <w:style w:type="paragraph" w:styleId="Opstilling-forts2">
    <w:name w:val="List Continue 2"/>
    <w:basedOn w:val="Normal"/>
    <w:uiPriority w:val="99"/>
    <w:semiHidden/>
    <w:rsid w:val="00A53A52"/>
    <w:pPr>
      <w:spacing w:after="120"/>
      <w:ind w:left="566"/>
      <w:contextualSpacing/>
    </w:pPr>
  </w:style>
  <w:style w:type="paragraph" w:styleId="Opstilling-forts3">
    <w:name w:val="List Continue 3"/>
    <w:basedOn w:val="Normal"/>
    <w:uiPriority w:val="99"/>
    <w:semiHidden/>
    <w:rsid w:val="00A53A52"/>
    <w:pPr>
      <w:spacing w:after="120"/>
      <w:ind w:left="849"/>
      <w:contextualSpacing/>
    </w:pPr>
  </w:style>
  <w:style w:type="paragraph" w:styleId="Opstilling-forts4">
    <w:name w:val="List Continue 4"/>
    <w:basedOn w:val="Normal"/>
    <w:uiPriority w:val="99"/>
    <w:semiHidden/>
    <w:rsid w:val="00A53A52"/>
    <w:pPr>
      <w:spacing w:after="120"/>
      <w:ind w:left="1132"/>
      <w:contextualSpacing/>
    </w:pPr>
  </w:style>
  <w:style w:type="paragraph" w:styleId="Opstilling-forts5">
    <w:name w:val="List Continue 5"/>
    <w:basedOn w:val="Normal"/>
    <w:uiPriority w:val="99"/>
    <w:semiHidden/>
    <w:rsid w:val="00A53A52"/>
    <w:pPr>
      <w:spacing w:after="120"/>
      <w:ind w:left="1415"/>
      <w:contextualSpacing/>
    </w:pPr>
  </w:style>
  <w:style w:type="paragraph" w:styleId="Opstilling-talellerbogst">
    <w:name w:val="List Number"/>
    <w:basedOn w:val="Normal"/>
    <w:uiPriority w:val="2"/>
    <w:qFormat/>
    <w:rsid w:val="00A53A52"/>
    <w:pPr>
      <w:numPr>
        <w:numId w:val="42"/>
      </w:numPr>
      <w:contextualSpacing/>
    </w:pPr>
  </w:style>
  <w:style w:type="paragraph" w:styleId="Opstilling-talellerbogst2">
    <w:name w:val="List Number 2"/>
    <w:basedOn w:val="Normal"/>
    <w:uiPriority w:val="99"/>
    <w:semiHidden/>
    <w:rsid w:val="00A53A52"/>
    <w:pPr>
      <w:numPr>
        <w:numId w:val="43"/>
      </w:numPr>
      <w:contextualSpacing/>
    </w:pPr>
  </w:style>
  <w:style w:type="paragraph" w:styleId="Opstilling-talellerbogst3">
    <w:name w:val="List Number 3"/>
    <w:basedOn w:val="Normal"/>
    <w:uiPriority w:val="99"/>
    <w:semiHidden/>
    <w:rsid w:val="00A53A52"/>
    <w:pPr>
      <w:numPr>
        <w:numId w:val="44"/>
      </w:numPr>
      <w:contextualSpacing/>
    </w:pPr>
  </w:style>
  <w:style w:type="paragraph" w:styleId="Opstilling-talellerbogst4">
    <w:name w:val="List Number 4"/>
    <w:basedOn w:val="Normal"/>
    <w:uiPriority w:val="99"/>
    <w:semiHidden/>
    <w:rsid w:val="00A53A52"/>
    <w:pPr>
      <w:numPr>
        <w:numId w:val="45"/>
      </w:numPr>
      <w:contextualSpacing/>
    </w:pPr>
  </w:style>
  <w:style w:type="paragraph" w:styleId="Opstilling-talellerbogst5">
    <w:name w:val="List Number 5"/>
    <w:basedOn w:val="Normal"/>
    <w:uiPriority w:val="99"/>
    <w:semiHidden/>
    <w:rsid w:val="00A53A52"/>
    <w:pPr>
      <w:numPr>
        <w:numId w:val="46"/>
      </w:numPr>
      <w:contextualSpacing/>
    </w:pPr>
  </w:style>
  <w:style w:type="paragraph" w:styleId="Listeafsnit">
    <w:name w:val="List Paragraph"/>
    <w:basedOn w:val="Normal"/>
    <w:uiPriority w:val="99"/>
    <w:semiHidden/>
    <w:qFormat/>
    <w:rsid w:val="00A53A52"/>
    <w:pPr>
      <w:ind w:left="720"/>
      <w:contextualSpacing/>
    </w:pPr>
  </w:style>
  <w:style w:type="paragraph" w:styleId="Makrotekst">
    <w:name w:val="macro"/>
    <w:link w:val="MakrotekstTegn"/>
    <w:uiPriority w:val="99"/>
    <w:semiHidden/>
    <w:rsid w:val="00A53A5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A53A52"/>
    <w:rPr>
      <w:rFonts w:ascii="Consolas" w:hAnsi="Consolas" w:cs="Consolas"/>
    </w:rPr>
  </w:style>
  <w:style w:type="table" w:styleId="Mediumgitter1">
    <w:name w:val="Medium Grid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insideV w:val="single" w:sz="8" w:space="0" w:color="08EBFF" w:themeColor="accent1" w:themeTint="BF"/>
      </w:tblBorders>
    </w:tblPr>
    <w:tcPr>
      <w:shd w:val="clear" w:color="auto" w:fill="ADF8FF" w:themeFill="accent1" w:themeFillTint="3F"/>
    </w:tcPr>
    <w:tblStylePr w:type="firstRow">
      <w:rPr>
        <w:b/>
        <w:bCs/>
      </w:rPr>
    </w:tblStylePr>
    <w:tblStylePr w:type="lastRow">
      <w:rPr>
        <w:b/>
        <w:bCs/>
      </w:rPr>
      <w:tblPr/>
      <w:tcPr>
        <w:tcBorders>
          <w:top w:val="single" w:sz="18" w:space="0" w:color="08EBFF" w:themeColor="accent1" w:themeTint="BF"/>
        </w:tcBorders>
      </w:tcPr>
    </w:tblStylePr>
    <w:tblStylePr w:type="firstCol">
      <w:rPr>
        <w:b/>
        <w:bCs/>
      </w:rPr>
    </w:tblStylePr>
    <w:tblStylePr w:type="lastCol">
      <w:rPr>
        <w:b/>
        <w:bCs/>
      </w:rPr>
    </w:tblStylePr>
    <w:tblStylePr w:type="band1Vert">
      <w:tblPr/>
      <w:tcPr>
        <w:shd w:val="clear" w:color="auto" w:fill="5BF2FF" w:themeFill="accent1" w:themeFillTint="7F"/>
      </w:tcPr>
    </w:tblStylePr>
    <w:tblStylePr w:type="band1Horz">
      <w:tblPr/>
      <w:tcPr>
        <w:shd w:val="clear" w:color="auto" w:fill="5BF2FF" w:themeFill="accent1" w:themeFillTint="7F"/>
      </w:tcPr>
    </w:tblStylePr>
  </w:style>
  <w:style w:type="table" w:styleId="Mediumgitter1-fremhvningsfarve2">
    <w:name w:val="Medium Grid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insideV w:val="single" w:sz="8" w:space="0" w:color="5ED2B8" w:themeColor="accent3" w:themeTint="BF"/>
      </w:tblBorders>
    </w:tblPr>
    <w:tcPr>
      <w:shd w:val="clear" w:color="auto" w:fill="C9F0E7" w:themeFill="accent3" w:themeFillTint="3F"/>
    </w:tcPr>
    <w:tblStylePr w:type="firstRow">
      <w:rPr>
        <w:b/>
        <w:bCs/>
      </w:rPr>
    </w:tblStylePr>
    <w:tblStylePr w:type="lastRow">
      <w:rPr>
        <w:b/>
        <w:bCs/>
      </w:rPr>
      <w:tblPr/>
      <w:tcPr>
        <w:tcBorders>
          <w:top w:val="single" w:sz="18" w:space="0" w:color="5ED2B8" w:themeColor="accent3" w:themeTint="BF"/>
        </w:tcBorders>
      </w:tcPr>
    </w:tblStylePr>
    <w:tblStylePr w:type="firstCol">
      <w:rPr>
        <w:b/>
        <w:bCs/>
      </w:rPr>
    </w:tblStylePr>
    <w:tblStylePr w:type="lastCol">
      <w:rPr>
        <w:b/>
        <w:bCs/>
      </w:rPr>
    </w:tblStylePr>
    <w:tblStylePr w:type="band1Vert">
      <w:tblPr/>
      <w:tcPr>
        <w:shd w:val="clear" w:color="auto" w:fill="93E1CF" w:themeFill="accent3" w:themeFillTint="7F"/>
      </w:tcPr>
    </w:tblStylePr>
    <w:tblStylePr w:type="band1Horz">
      <w:tblPr/>
      <w:tcPr>
        <w:shd w:val="clear" w:color="auto" w:fill="93E1CF" w:themeFill="accent3" w:themeFillTint="7F"/>
      </w:tcPr>
    </w:tblStylePr>
  </w:style>
  <w:style w:type="table" w:styleId="Mediumgitter1-fremhvningsfarve4">
    <w:name w:val="Medium Grid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insideV w:val="single" w:sz="8" w:space="0" w:color="F3E390" w:themeColor="accent5" w:themeTint="BF"/>
      </w:tblBorders>
    </w:tblPr>
    <w:tcPr>
      <w:shd w:val="clear" w:color="auto" w:fill="FBF6DA" w:themeFill="accent5" w:themeFillTint="3F"/>
    </w:tcPr>
    <w:tblStylePr w:type="firstRow">
      <w:rPr>
        <w:b/>
        <w:bCs/>
      </w:rPr>
    </w:tblStylePr>
    <w:tblStylePr w:type="lastRow">
      <w:rPr>
        <w:b/>
        <w:bCs/>
      </w:rPr>
      <w:tblPr/>
      <w:tcPr>
        <w:tcBorders>
          <w:top w:val="single" w:sz="18" w:space="0" w:color="F3E390" w:themeColor="accent5" w:themeTint="BF"/>
        </w:tcBorders>
      </w:tcPr>
    </w:tblStylePr>
    <w:tblStylePr w:type="firstCol">
      <w:rPr>
        <w:b/>
        <w:bCs/>
      </w:rPr>
    </w:tblStylePr>
    <w:tblStylePr w:type="lastCol">
      <w:rPr>
        <w:b/>
        <w:bCs/>
      </w:rPr>
    </w:tblStylePr>
    <w:tblStylePr w:type="band1Vert">
      <w:tblPr/>
      <w:tcPr>
        <w:shd w:val="clear" w:color="auto" w:fill="F7EDB5" w:themeFill="accent5" w:themeFillTint="7F"/>
      </w:tcPr>
    </w:tblStylePr>
    <w:tblStylePr w:type="band1Horz">
      <w:tblPr/>
      <w:tcPr>
        <w:shd w:val="clear" w:color="auto" w:fill="F7EDB5" w:themeFill="accent5" w:themeFillTint="7F"/>
      </w:tcPr>
    </w:tblStylePr>
  </w:style>
  <w:style w:type="table" w:styleId="Mediumgitter1-fremhvningsfarve6">
    <w:name w:val="Medium Grid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insideV w:val="single" w:sz="8" w:space="0" w:color="7F47AC" w:themeColor="accent6" w:themeTint="BF"/>
      </w:tblBorders>
    </w:tblPr>
    <w:tcPr>
      <w:shd w:val="clear" w:color="auto" w:fill="D5C0E5" w:themeFill="accent6" w:themeFillTint="3F"/>
    </w:tcPr>
    <w:tblStylePr w:type="firstRow">
      <w:rPr>
        <w:b/>
        <w:bCs/>
      </w:rPr>
    </w:tblStylePr>
    <w:tblStylePr w:type="lastRow">
      <w:rPr>
        <w:b/>
        <w:bCs/>
      </w:rPr>
      <w:tblPr/>
      <w:tcPr>
        <w:tcBorders>
          <w:top w:val="single" w:sz="18" w:space="0" w:color="7F47AC" w:themeColor="accent6" w:themeTint="BF"/>
        </w:tcBorders>
      </w:tcPr>
    </w:tblStylePr>
    <w:tblStylePr w:type="firstCol">
      <w:rPr>
        <w:b/>
        <w:bCs/>
      </w:rPr>
    </w:tblStylePr>
    <w:tblStylePr w:type="lastCol">
      <w:rPr>
        <w:b/>
        <w:bCs/>
      </w:rPr>
    </w:tblStylePr>
    <w:tblStylePr w:type="band1Vert">
      <w:tblPr/>
      <w:tcPr>
        <w:shd w:val="clear" w:color="auto" w:fill="AA81CB" w:themeFill="accent6" w:themeFillTint="7F"/>
      </w:tcPr>
    </w:tblStylePr>
    <w:tblStylePr w:type="band1Horz">
      <w:tblPr/>
      <w:tcPr>
        <w:shd w:val="clear" w:color="auto" w:fill="AA81CB" w:themeFill="accent6" w:themeFillTint="7F"/>
      </w:tcPr>
    </w:tblStylePr>
  </w:style>
  <w:style w:type="table" w:styleId="Mediumgitter2">
    <w:name w:val="Medium Grid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insideH w:val="single" w:sz="8" w:space="0" w:color="00A7B5" w:themeColor="accent1"/>
        <w:insideV w:val="single" w:sz="8" w:space="0" w:color="00A7B5" w:themeColor="accent1"/>
      </w:tblBorders>
    </w:tblPr>
    <w:tcPr>
      <w:shd w:val="clear" w:color="auto" w:fill="ADF8FF" w:themeFill="accent1" w:themeFillTint="3F"/>
    </w:tcPr>
    <w:tblStylePr w:type="firstRow">
      <w:rPr>
        <w:b/>
        <w:bCs/>
        <w:color w:val="000000" w:themeColor="text1"/>
      </w:rPr>
      <w:tblPr/>
      <w:tcPr>
        <w:shd w:val="clear" w:color="auto" w:fill="DEF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1" w:themeFillTint="33"/>
      </w:tcPr>
    </w:tblStylePr>
    <w:tblStylePr w:type="band1Vert">
      <w:tblPr/>
      <w:tcPr>
        <w:shd w:val="clear" w:color="auto" w:fill="5BF2FF" w:themeFill="accent1" w:themeFillTint="7F"/>
      </w:tcPr>
    </w:tblStylePr>
    <w:tblStylePr w:type="band1Horz">
      <w:tblPr/>
      <w:tcPr>
        <w:tcBorders>
          <w:insideH w:val="single" w:sz="6" w:space="0" w:color="00A7B5" w:themeColor="accent1"/>
          <w:insideV w:val="single" w:sz="6" w:space="0" w:color="00A7B5" w:themeColor="accent1"/>
        </w:tcBorders>
        <w:shd w:val="clear" w:color="auto" w:fill="5BF2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insideH w:val="single" w:sz="8" w:space="0" w:color="33B99B" w:themeColor="accent3"/>
        <w:insideV w:val="single" w:sz="8" w:space="0" w:color="33B99B" w:themeColor="accent3"/>
      </w:tblBorders>
    </w:tblPr>
    <w:tcPr>
      <w:shd w:val="clear" w:color="auto" w:fill="C9F0E7" w:themeFill="accent3" w:themeFillTint="3F"/>
    </w:tcPr>
    <w:tblStylePr w:type="firstRow">
      <w:rPr>
        <w:b/>
        <w:bCs/>
        <w:color w:val="000000" w:themeColor="text1"/>
      </w:rPr>
      <w:tblPr/>
      <w:tcPr>
        <w:shd w:val="clear" w:color="auto" w:fill="E9F9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3EC" w:themeFill="accent3" w:themeFillTint="33"/>
      </w:tcPr>
    </w:tblStylePr>
    <w:tblStylePr w:type="band1Vert">
      <w:tblPr/>
      <w:tcPr>
        <w:shd w:val="clear" w:color="auto" w:fill="93E1CF" w:themeFill="accent3" w:themeFillTint="7F"/>
      </w:tcPr>
    </w:tblStylePr>
    <w:tblStylePr w:type="band1Horz">
      <w:tblPr/>
      <w:tcPr>
        <w:tcBorders>
          <w:insideH w:val="single" w:sz="6" w:space="0" w:color="33B99B" w:themeColor="accent3"/>
          <w:insideV w:val="single" w:sz="6" w:space="0" w:color="33B99B" w:themeColor="accent3"/>
        </w:tcBorders>
        <w:shd w:val="clear" w:color="auto" w:fill="93E1C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insideH w:val="single" w:sz="8" w:space="0" w:color="EFDB6C" w:themeColor="accent5"/>
        <w:insideV w:val="single" w:sz="8" w:space="0" w:color="EFDB6C" w:themeColor="accent5"/>
      </w:tblBorders>
    </w:tblPr>
    <w:tcPr>
      <w:shd w:val="clear" w:color="auto" w:fill="FBF6DA" w:themeFill="accent5" w:themeFillTint="3F"/>
    </w:tcPr>
    <w:tblStylePr w:type="firstRow">
      <w:rPr>
        <w:b/>
        <w:bCs/>
        <w:color w:val="000000" w:themeColor="text1"/>
      </w:rPr>
      <w:tblPr/>
      <w:tcPr>
        <w:shd w:val="clear" w:color="auto" w:fill="FDFB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5" w:themeFillTint="33"/>
      </w:tcPr>
    </w:tblStylePr>
    <w:tblStylePr w:type="band1Vert">
      <w:tblPr/>
      <w:tcPr>
        <w:shd w:val="clear" w:color="auto" w:fill="F7EDB5" w:themeFill="accent5" w:themeFillTint="7F"/>
      </w:tcPr>
    </w:tblStylePr>
    <w:tblStylePr w:type="band1Horz">
      <w:tblPr/>
      <w:tcPr>
        <w:tcBorders>
          <w:insideH w:val="single" w:sz="6" w:space="0" w:color="EFDB6C" w:themeColor="accent5"/>
          <w:insideV w:val="single" w:sz="6" w:space="0" w:color="EFDB6C" w:themeColor="accent5"/>
        </w:tcBorders>
        <w:shd w:val="clear" w:color="auto" w:fill="F7EDB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insideH w:val="single" w:sz="8" w:space="0" w:color="512D6D" w:themeColor="accent6"/>
        <w:insideV w:val="single" w:sz="8" w:space="0" w:color="512D6D" w:themeColor="accent6"/>
      </w:tblBorders>
    </w:tblPr>
    <w:tcPr>
      <w:shd w:val="clear" w:color="auto" w:fill="D5C0E5" w:themeFill="accent6" w:themeFillTint="3F"/>
    </w:tcPr>
    <w:tblStylePr w:type="firstRow">
      <w:rPr>
        <w:b/>
        <w:bCs/>
        <w:color w:val="000000" w:themeColor="text1"/>
      </w:rPr>
      <w:tblPr/>
      <w:tcPr>
        <w:shd w:val="clear" w:color="auto" w:fill="EEE6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6" w:themeFillTint="33"/>
      </w:tcPr>
    </w:tblStylePr>
    <w:tblStylePr w:type="band1Vert">
      <w:tblPr/>
      <w:tcPr>
        <w:shd w:val="clear" w:color="auto" w:fill="AA81CB" w:themeFill="accent6" w:themeFillTint="7F"/>
      </w:tcPr>
    </w:tblStylePr>
    <w:tblStylePr w:type="band1Horz">
      <w:tblPr/>
      <w:tcPr>
        <w:tcBorders>
          <w:insideH w:val="single" w:sz="6" w:space="0" w:color="512D6D" w:themeColor="accent6"/>
          <w:insideV w:val="single" w:sz="6" w:space="0" w:color="512D6D" w:themeColor="accent6"/>
        </w:tcBorders>
        <w:shd w:val="clear" w:color="auto" w:fill="AA81C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1" w:themeFillTint="7F"/>
      </w:tcPr>
    </w:tblStylePr>
  </w:style>
  <w:style w:type="table" w:styleId="Mediumgitter3-fremhvningsfarve2">
    <w:name w:val="Medium Grid 3 Accent 2"/>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0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1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E1CF" w:themeFill="accent3" w:themeFillTint="7F"/>
      </w:tcPr>
    </w:tblStylePr>
  </w:style>
  <w:style w:type="table" w:styleId="Mediumgitter3-fremhvningsfarve4">
    <w:name w:val="Medium Grid 3 Accent 4"/>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5" w:themeFillTint="7F"/>
      </w:tcPr>
    </w:tblStylePr>
  </w:style>
  <w:style w:type="table" w:styleId="Mediumgitter3-fremhvningsfarve6">
    <w:name w:val="Medium Grid 3 Accent 6"/>
    <w:basedOn w:val="Tabel-Normal"/>
    <w:uiPriority w:val="99"/>
    <w:semiHidden/>
    <w:rsid w:val="00A53A5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6" w:themeFillTint="7F"/>
      </w:tcPr>
    </w:tblStylePr>
  </w:style>
  <w:style w:type="table" w:styleId="Mediumliste1">
    <w:name w:val="Medium List 1"/>
    <w:basedOn w:val="Tabel-Normal"/>
    <w:uiPriority w:val="99"/>
    <w:semiHidden/>
    <w:rsid w:val="00A53A5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9E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A53A52"/>
    <w:pPr>
      <w:spacing w:line="240" w:lineRule="auto"/>
    </w:pPr>
    <w:rPr>
      <w:color w:val="000000" w:themeColor="text1"/>
    </w:rPr>
    <w:tblPr>
      <w:tblStyleRowBandSize w:val="1"/>
      <w:tblStyleColBandSize w:val="1"/>
      <w:tblBorders>
        <w:top w:val="single" w:sz="8" w:space="0" w:color="00A7B5" w:themeColor="accent1"/>
        <w:bottom w:val="single" w:sz="8" w:space="0" w:color="00A7B5" w:themeColor="accent1"/>
      </w:tblBorders>
    </w:tblPr>
    <w:tblStylePr w:type="firstRow">
      <w:rPr>
        <w:rFonts w:asciiTheme="majorHAnsi" w:eastAsiaTheme="majorEastAsia" w:hAnsiTheme="majorHAnsi" w:cstheme="majorBidi"/>
      </w:rPr>
      <w:tblPr/>
      <w:tcPr>
        <w:tcBorders>
          <w:top w:val="nil"/>
          <w:bottom w:val="single" w:sz="8" w:space="0" w:color="00A7B5" w:themeColor="accent1"/>
        </w:tcBorders>
      </w:tcPr>
    </w:tblStylePr>
    <w:tblStylePr w:type="lastRow">
      <w:rPr>
        <w:b/>
        <w:bCs/>
        <w:color w:val="BFE9EC" w:themeColor="text2"/>
      </w:rPr>
      <w:tblPr/>
      <w:tcPr>
        <w:tcBorders>
          <w:top w:val="single" w:sz="8" w:space="0" w:color="00A7B5" w:themeColor="accent1"/>
          <w:bottom w:val="single" w:sz="8" w:space="0" w:color="00A7B5" w:themeColor="accent1"/>
        </w:tcBorders>
      </w:tcPr>
    </w:tblStylePr>
    <w:tblStylePr w:type="firstCol">
      <w:rPr>
        <w:b/>
        <w:bCs/>
      </w:rPr>
    </w:tblStylePr>
    <w:tblStylePr w:type="lastCol">
      <w:rPr>
        <w:b/>
        <w:bCs/>
      </w:rPr>
      <w:tblPr/>
      <w:tcPr>
        <w:tcBorders>
          <w:top w:val="single" w:sz="8" w:space="0" w:color="00A7B5" w:themeColor="accent1"/>
          <w:bottom w:val="single" w:sz="8" w:space="0" w:color="00A7B5" w:themeColor="accent1"/>
        </w:tcBorders>
      </w:tcPr>
    </w:tblStylePr>
    <w:tblStylePr w:type="band1Vert">
      <w:tblPr/>
      <w:tcPr>
        <w:shd w:val="clear" w:color="auto" w:fill="ADF8FF" w:themeFill="accent1" w:themeFillTint="3F"/>
      </w:tcPr>
    </w:tblStylePr>
    <w:tblStylePr w:type="band1Horz">
      <w:tblPr/>
      <w:tcPr>
        <w:shd w:val="clear" w:color="auto" w:fill="ADF8FF" w:themeFill="accent1" w:themeFillTint="3F"/>
      </w:tcPr>
    </w:tblStylePr>
  </w:style>
  <w:style w:type="table" w:styleId="Mediumliste1-fremhvningsfarve2">
    <w:name w:val="Medium List 1 Accent 2"/>
    <w:basedOn w:val="Tabel-Normal"/>
    <w:uiPriority w:val="99"/>
    <w:semiHidden/>
    <w:rsid w:val="00A53A52"/>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9EC"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A53A52"/>
    <w:pPr>
      <w:spacing w:line="240" w:lineRule="auto"/>
    </w:pPr>
    <w:rPr>
      <w:color w:val="000000" w:themeColor="text1"/>
    </w:rPr>
    <w:tblPr>
      <w:tblStyleRowBandSize w:val="1"/>
      <w:tblStyleColBandSize w:val="1"/>
      <w:tblBorders>
        <w:top w:val="single" w:sz="8" w:space="0" w:color="33B99B" w:themeColor="accent3"/>
        <w:bottom w:val="single" w:sz="8" w:space="0" w:color="33B99B" w:themeColor="accent3"/>
      </w:tblBorders>
    </w:tblPr>
    <w:tblStylePr w:type="firstRow">
      <w:rPr>
        <w:rFonts w:asciiTheme="majorHAnsi" w:eastAsiaTheme="majorEastAsia" w:hAnsiTheme="majorHAnsi" w:cstheme="majorBidi"/>
      </w:rPr>
      <w:tblPr/>
      <w:tcPr>
        <w:tcBorders>
          <w:top w:val="nil"/>
          <w:bottom w:val="single" w:sz="8" w:space="0" w:color="33B99B" w:themeColor="accent3"/>
        </w:tcBorders>
      </w:tcPr>
    </w:tblStylePr>
    <w:tblStylePr w:type="lastRow">
      <w:rPr>
        <w:b/>
        <w:bCs/>
        <w:color w:val="BFE9EC" w:themeColor="text2"/>
      </w:rPr>
      <w:tblPr/>
      <w:tcPr>
        <w:tcBorders>
          <w:top w:val="single" w:sz="8" w:space="0" w:color="33B99B" w:themeColor="accent3"/>
          <w:bottom w:val="single" w:sz="8" w:space="0" w:color="33B99B" w:themeColor="accent3"/>
        </w:tcBorders>
      </w:tcPr>
    </w:tblStylePr>
    <w:tblStylePr w:type="firstCol">
      <w:rPr>
        <w:b/>
        <w:bCs/>
      </w:rPr>
    </w:tblStylePr>
    <w:tblStylePr w:type="lastCol">
      <w:rPr>
        <w:b/>
        <w:bCs/>
      </w:rPr>
      <w:tblPr/>
      <w:tcPr>
        <w:tcBorders>
          <w:top w:val="single" w:sz="8" w:space="0" w:color="33B99B" w:themeColor="accent3"/>
          <w:bottom w:val="single" w:sz="8" w:space="0" w:color="33B99B" w:themeColor="accent3"/>
        </w:tcBorders>
      </w:tcPr>
    </w:tblStylePr>
    <w:tblStylePr w:type="band1Vert">
      <w:tblPr/>
      <w:tcPr>
        <w:shd w:val="clear" w:color="auto" w:fill="C9F0E7" w:themeFill="accent3" w:themeFillTint="3F"/>
      </w:tcPr>
    </w:tblStylePr>
    <w:tblStylePr w:type="band1Horz">
      <w:tblPr/>
      <w:tcPr>
        <w:shd w:val="clear" w:color="auto" w:fill="C9F0E7" w:themeFill="accent3" w:themeFillTint="3F"/>
      </w:tcPr>
    </w:tblStylePr>
  </w:style>
  <w:style w:type="table" w:styleId="Mediumliste1-fremhvningsfarve4">
    <w:name w:val="Medium List 1 Accent 4"/>
    <w:basedOn w:val="Tabel-Normal"/>
    <w:uiPriority w:val="99"/>
    <w:semiHidden/>
    <w:rsid w:val="00A53A52"/>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E9EC"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A53A52"/>
    <w:pPr>
      <w:spacing w:line="240" w:lineRule="auto"/>
    </w:pPr>
    <w:rPr>
      <w:color w:val="000000" w:themeColor="text1"/>
    </w:rPr>
    <w:tblPr>
      <w:tblStyleRowBandSize w:val="1"/>
      <w:tblStyleColBandSize w:val="1"/>
      <w:tblBorders>
        <w:top w:val="single" w:sz="8" w:space="0" w:color="EFDB6C" w:themeColor="accent5"/>
        <w:bottom w:val="single" w:sz="8" w:space="0" w:color="EFDB6C" w:themeColor="accent5"/>
      </w:tblBorders>
    </w:tblPr>
    <w:tblStylePr w:type="firstRow">
      <w:rPr>
        <w:rFonts w:asciiTheme="majorHAnsi" w:eastAsiaTheme="majorEastAsia" w:hAnsiTheme="majorHAnsi" w:cstheme="majorBidi"/>
      </w:rPr>
      <w:tblPr/>
      <w:tcPr>
        <w:tcBorders>
          <w:top w:val="nil"/>
          <w:bottom w:val="single" w:sz="8" w:space="0" w:color="EFDB6C" w:themeColor="accent5"/>
        </w:tcBorders>
      </w:tcPr>
    </w:tblStylePr>
    <w:tblStylePr w:type="lastRow">
      <w:rPr>
        <w:b/>
        <w:bCs/>
        <w:color w:val="BFE9EC" w:themeColor="text2"/>
      </w:rPr>
      <w:tblPr/>
      <w:tcPr>
        <w:tcBorders>
          <w:top w:val="single" w:sz="8" w:space="0" w:color="EFDB6C" w:themeColor="accent5"/>
          <w:bottom w:val="single" w:sz="8" w:space="0" w:color="EFDB6C" w:themeColor="accent5"/>
        </w:tcBorders>
      </w:tcPr>
    </w:tblStylePr>
    <w:tblStylePr w:type="firstCol">
      <w:rPr>
        <w:b/>
        <w:bCs/>
      </w:rPr>
    </w:tblStylePr>
    <w:tblStylePr w:type="lastCol">
      <w:rPr>
        <w:b/>
        <w:bCs/>
      </w:rPr>
      <w:tblPr/>
      <w:tcPr>
        <w:tcBorders>
          <w:top w:val="single" w:sz="8" w:space="0" w:color="EFDB6C" w:themeColor="accent5"/>
          <w:bottom w:val="single" w:sz="8" w:space="0" w:color="EFDB6C" w:themeColor="accent5"/>
        </w:tcBorders>
      </w:tcPr>
    </w:tblStylePr>
    <w:tblStylePr w:type="band1Vert">
      <w:tblPr/>
      <w:tcPr>
        <w:shd w:val="clear" w:color="auto" w:fill="FBF6DA" w:themeFill="accent5" w:themeFillTint="3F"/>
      </w:tcPr>
    </w:tblStylePr>
    <w:tblStylePr w:type="band1Horz">
      <w:tblPr/>
      <w:tcPr>
        <w:shd w:val="clear" w:color="auto" w:fill="FBF6DA" w:themeFill="accent5" w:themeFillTint="3F"/>
      </w:tcPr>
    </w:tblStylePr>
  </w:style>
  <w:style w:type="table" w:styleId="Mediumliste1-fremhvningsfarve6">
    <w:name w:val="Medium List 1 Accent 6"/>
    <w:basedOn w:val="Tabel-Normal"/>
    <w:uiPriority w:val="99"/>
    <w:semiHidden/>
    <w:rsid w:val="00A53A52"/>
    <w:pPr>
      <w:spacing w:line="240" w:lineRule="auto"/>
    </w:pPr>
    <w:rPr>
      <w:color w:val="000000" w:themeColor="text1"/>
    </w:rPr>
    <w:tblPr>
      <w:tblStyleRowBandSize w:val="1"/>
      <w:tblStyleColBandSize w:val="1"/>
      <w:tblBorders>
        <w:top w:val="single" w:sz="8" w:space="0" w:color="512D6D" w:themeColor="accent6"/>
        <w:bottom w:val="single" w:sz="8" w:space="0" w:color="512D6D" w:themeColor="accent6"/>
      </w:tblBorders>
    </w:tblPr>
    <w:tblStylePr w:type="firstRow">
      <w:rPr>
        <w:rFonts w:asciiTheme="majorHAnsi" w:eastAsiaTheme="majorEastAsia" w:hAnsiTheme="majorHAnsi" w:cstheme="majorBidi"/>
      </w:rPr>
      <w:tblPr/>
      <w:tcPr>
        <w:tcBorders>
          <w:top w:val="nil"/>
          <w:bottom w:val="single" w:sz="8" w:space="0" w:color="512D6D" w:themeColor="accent6"/>
        </w:tcBorders>
      </w:tcPr>
    </w:tblStylePr>
    <w:tblStylePr w:type="lastRow">
      <w:rPr>
        <w:b/>
        <w:bCs/>
        <w:color w:val="BFE9EC" w:themeColor="text2"/>
      </w:rPr>
      <w:tblPr/>
      <w:tcPr>
        <w:tcBorders>
          <w:top w:val="single" w:sz="8" w:space="0" w:color="512D6D" w:themeColor="accent6"/>
          <w:bottom w:val="single" w:sz="8" w:space="0" w:color="512D6D" w:themeColor="accent6"/>
        </w:tcBorders>
      </w:tcPr>
    </w:tblStylePr>
    <w:tblStylePr w:type="firstCol">
      <w:rPr>
        <w:b/>
        <w:bCs/>
      </w:rPr>
    </w:tblStylePr>
    <w:tblStylePr w:type="lastCol">
      <w:rPr>
        <w:b/>
        <w:bCs/>
      </w:rPr>
      <w:tblPr/>
      <w:tcPr>
        <w:tcBorders>
          <w:top w:val="single" w:sz="8" w:space="0" w:color="512D6D" w:themeColor="accent6"/>
          <w:bottom w:val="single" w:sz="8" w:space="0" w:color="512D6D" w:themeColor="accent6"/>
        </w:tcBorders>
      </w:tcPr>
    </w:tblStylePr>
    <w:tblStylePr w:type="band1Vert">
      <w:tblPr/>
      <w:tcPr>
        <w:shd w:val="clear" w:color="auto" w:fill="D5C0E5" w:themeFill="accent6" w:themeFillTint="3F"/>
      </w:tcPr>
    </w:tblStylePr>
    <w:tblStylePr w:type="band1Horz">
      <w:tblPr/>
      <w:tcPr>
        <w:shd w:val="clear" w:color="auto" w:fill="D5C0E5" w:themeFill="accent6" w:themeFillTint="3F"/>
      </w:tcPr>
    </w:tblStylePr>
  </w:style>
  <w:style w:type="table" w:styleId="Mediumliste2">
    <w:name w:val="Medium Lis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B5" w:themeColor="accent1"/>
        <w:left w:val="single" w:sz="8" w:space="0" w:color="00A7B5" w:themeColor="accent1"/>
        <w:bottom w:val="single" w:sz="8" w:space="0" w:color="00A7B5" w:themeColor="accent1"/>
        <w:right w:val="single" w:sz="8" w:space="0" w:color="00A7B5" w:themeColor="accent1"/>
      </w:tblBorders>
    </w:tblPr>
    <w:tblStylePr w:type="firstRow">
      <w:rPr>
        <w:sz w:val="24"/>
        <w:szCs w:val="24"/>
      </w:rPr>
      <w:tblPr/>
      <w:tcPr>
        <w:tcBorders>
          <w:top w:val="nil"/>
          <w:left w:val="nil"/>
          <w:bottom w:val="single" w:sz="24" w:space="0" w:color="00A7B5" w:themeColor="accent1"/>
          <w:right w:val="nil"/>
          <w:insideH w:val="nil"/>
          <w:insideV w:val="nil"/>
        </w:tcBorders>
        <w:shd w:val="clear" w:color="auto" w:fill="FFFFFF" w:themeFill="background1"/>
      </w:tcPr>
    </w:tblStylePr>
    <w:tblStylePr w:type="lastRow">
      <w:tblPr/>
      <w:tcPr>
        <w:tcBorders>
          <w:top w:val="single" w:sz="8" w:space="0" w:color="00A7B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1"/>
          <w:insideH w:val="nil"/>
          <w:insideV w:val="nil"/>
        </w:tcBorders>
        <w:shd w:val="clear" w:color="auto" w:fill="FFFFFF" w:themeFill="background1"/>
      </w:tcPr>
    </w:tblStylePr>
    <w:tblStylePr w:type="lastCol">
      <w:tblPr/>
      <w:tcPr>
        <w:tcBorders>
          <w:top w:val="nil"/>
          <w:left w:val="single" w:sz="8" w:space="0" w:color="00A7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1" w:themeFillTint="3F"/>
      </w:tcPr>
    </w:tblStylePr>
    <w:tblStylePr w:type="band1Horz">
      <w:tblPr/>
      <w:tcPr>
        <w:tcBorders>
          <w:top w:val="nil"/>
          <w:bottom w:val="nil"/>
          <w:insideH w:val="nil"/>
          <w:insideV w:val="nil"/>
        </w:tcBorders>
        <w:shd w:val="clear" w:color="auto" w:fill="ADF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9B" w:themeColor="accent3"/>
        <w:left w:val="single" w:sz="8" w:space="0" w:color="33B99B" w:themeColor="accent3"/>
        <w:bottom w:val="single" w:sz="8" w:space="0" w:color="33B99B" w:themeColor="accent3"/>
        <w:right w:val="single" w:sz="8" w:space="0" w:color="33B99B" w:themeColor="accent3"/>
      </w:tblBorders>
    </w:tblPr>
    <w:tblStylePr w:type="firstRow">
      <w:rPr>
        <w:sz w:val="24"/>
        <w:szCs w:val="24"/>
      </w:rPr>
      <w:tblPr/>
      <w:tcPr>
        <w:tcBorders>
          <w:top w:val="nil"/>
          <w:left w:val="nil"/>
          <w:bottom w:val="single" w:sz="24" w:space="0" w:color="33B99B" w:themeColor="accent3"/>
          <w:right w:val="nil"/>
          <w:insideH w:val="nil"/>
          <w:insideV w:val="nil"/>
        </w:tcBorders>
        <w:shd w:val="clear" w:color="auto" w:fill="FFFFFF" w:themeFill="background1"/>
      </w:tcPr>
    </w:tblStylePr>
    <w:tblStylePr w:type="lastRow">
      <w:tblPr/>
      <w:tcPr>
        <w:tcBorders>
          <w:top w:val="single" w:sz="8" w:space="0" w:color="33B9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9B" w:themeColor="accent3"/>
          <w:insideH w:val="nil"/>
          <w:insideV w:val="nil"/>
        </w:tcBorders>
        <w:shd w:val="clear" w:color="auto" w:fill="FFFFFF" w:themeFill="background1"/>
      </w:tcPr>
    </w:tblStylePr>
    <w:tblStylePr w:type="lastCol">
      <w:tblPr/>
      <w:tcPr>
        <w:tcBorders>
          <w:top w:val="nil"/>
          <w:left w:val="single" w:sz="8" w:space="0" w:color="33B9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0E7" w:themeFill="accent3" w:themeFillTint="3F"/>
      </w:tcPr>
    </w:tblStylePr>
    <w:tblStylePr w:type="band1Horz">
      <w:tblPr/>
      <w:tcPr>
        <w:tcBorders>
          <w:top w:val="nil"/>
          <w:bottom w:val="nil"/>
          <w:insideH w:val="nil"/>
          <w:insideV w:val="nil"/>
        </w:tcBorders>
        <w:shd w:val="clear" w:color="auto" w:fill="C9F0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5"/>
        <w:left w:val="single" w:sz="8" w:space="0" w:color="EFDB6C" w:themeColor="accent5"/>
        <w:bottom w:val="single" w:sz="8" w:space="0" w:color="EFDB6C" w:themeColor="accent5"/>
        <w:right w:val="single" w:sz="8" w:space="0" w:color="EFDB6C" w:themeColor="accent5"/>
      </w:tblBorders>
    </w:tblPr>
    <w:tblStylePr w:type="firstRow">
      <w:rPr>
        <w:sz w:val="24"/>
        <w:szCs w:val="24"/>
      </w:rPr>
      <w:tblPr/>
      <w:tcPr>
        <w:tcBorders>
          <w:top w:val="nil"/>
          <w:left w:val="nil"/>
          <w:bottom w:val="single" w:sz="24" w:space="0" w:color="EFDB6C" w:themeColor="accent5"/>
          <w:right w:val="nil"/>
          <w:insideH w:val="nil"/>
          <w:insideV w:val="nil"/>
        </w:tcBorders>
        <w:shd w:val="clear" w:color="auto" w:fill="FFFFFF" w:themeFill="background1"/>
      </w:tcPr>
    </w:tblStylePr>
    <w:tblStylePr w:type="lastRow">
      <w:tblPr/>
      <w:tcPr>
        <w:tcBorders>
          <w:top w:val="single" w:sz="8" w:space="0" w:color="EFDB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5"/>
          <w:insideH w:val="nil"/>
          <w:insideV w:val="nil"/>
        </w:tcBorders>
        <w:shd w:val="clear" w:color="auto" w:fill="FFFFFF" w:themeFill="background1"/>
      </w:tcPr>
    </w:tblStylePr>
    <w:tblStylePr w:type="lastCol">
      <w:tblPr/>
      <w:tcPr>
        <w:tcBorders>
          <w:top w:val="nil"/>
          <w:left w:val="single" w:sz="8" w:space="0" w:color="EFDB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5" w:themeFillTint="3F"/>
      </w:tcPr>
    </w:tblStylePr>
    <w:tblStylePr w:type="band1Horz">
      <w:tblPr/>
      <w:tcPr>
        <w:tcBorders>
          <w:top w:val="nil"/>
          <w:bottom w:val="nil"/>
          <w:insideH w:val="nil"/>
          <w:insideV w:val="nil"/>
        </w:tcBorders>
        <w:shd w:val="clear" w:color="auto" w:fill="FBF6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A53A5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6"/>
        <w:left w:val="single" w:sz="8" w:space="0" w:color="512D6D" w:themeColor="accent6"/>
        <w:bottom w:val="single" w:sz="8" w:space="0" w:color="512D6D" w:themeColor="accent6"/>
        <w:right w:val="single" w:sz="8" w:space="0" w:color="512D6D" w:themeColor="accent6"/>
      </w:tblBorders>
    </w:tblPr>
    <w:tblStylePr w:type="firstRow">
      <w:rPr>
        <w:sz w:val="24"/>
        <w:szCs w:val="24"/>
      </w:rPr>
      <w:tblPr/>
      <w:tcPr>
        <w:tcBorders>
          <w:top w:val="nil"/>
          <w:left w:val="nil"/>
          <w:bottom w:val="single" w:sz="24" w:space="0" w:color="512D6D" w:themeColor="accent6"/>
          <w:right w:val="nil"/>
          <w:insideH w:val="nil"/>
          <w:insideV w:val="nil"/>
        </w:tcBorders>
        <w:shd w:val="clear" w:color="auto" w:fill="FFFFFF" w:themeFill="background1"/>
      </w:tcPr>
    </w:tblStylePr>
    <w:tblStylePr w:type="lastRow">
      <w:tblPr/>
      <w:tcPr>
        <w:tcBorders>
          <w:top w:val="single" w:sz="8" w:space="0" w:color="512D6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6"/>
          <w:insideH w:val="nil"/>
          <w:insideV w:val="nil"/>
        </w:tcBorders>
        <w:shd w:val="clear" w:color="auto" w:fill="FFFFFF" w:themeFill="background1"/>
      </w:tcPr>
    </w:tblStylePr>
    <w:tblStylePr w:type="lastCol">
      <w:tblPr/>
      <w:tcPr>
        <w:tcBorders>
          <w:top w:val="nil"/>
          <w:left w:val="single" w:sz="8" w:space="0" w:color="512D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6" w:themeFillTint="3F"/>
      </w:tcPr>
    </w:tblStylePr>
    <w:tblStylePr w:type="band1Horz">
      <w:tblPr/>
      <w:tcPr>
        <w:tcBorders>
          <w:top w:val="nil"/>
          <w:bottom w:val="nil"/>
          <w:insideH w:val="nil"/>
          <w:insideV w:val="nil"/>
        </w:tcBorders>
        <w:shd w:val="clear" w:color="auto" w:fill="D5C0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A53A5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A53A52"/>
    <w:pPr>
      <w:spacing w:line="240" w:lineRule="auto"/>
    </w:pPr>
    <w:tblPr>
      <w:tblStyleRowBandSize w:val="1"/>
      <w:tblStyleColBandSize w:val="1"/>
      <w:tbl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single" w:sz="8" w:space="0" w:color="08EBFF" w:themeColor="accent1" w:themeTint="BF"/>
      </w:tblBorders>
    </w:tblPr>
    <w:tblStylePr w:type="firstRow">
      <w:pPr>
        <w:spacing w:before="0" w:after="0" w:line="240" w:lineRule="auto"/>
      </w:pPr>
      <w:rPr>
        <w:b/>
        <w:bCs/>
        <w:color w:val="FFFFFF" w:themeColor="background1"/>
      </w:rPr>
      <w:tblPr/>
      <w:tcPr>
        <w:tcBorders>
          <w:top w:val="single" w:sz="8"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shd w:val="clear" w:color="auto" w:fill="00A7B5" w:themeFill="accent1"/>
      </w:tcPr>
    </w:tblStylePr>
    <w:tblStylePr w:type="lastRow">
      <w:pPr>
        <w:spacing w:before="0" w:after="0" w:line="240" w:lineRule="auto"/>
      </w:pPr>
      <w:rPr>
        <w:b/>
        <w:bCs/>
      </w:rPr>
      <w:tblPr/>
      <w:tcPr>
        <w:tcBorders>
          <w:top w:val="double" w:sz="6" w:space="0" w:color="08EBFF" w:themeColor="accent1" w:themeTint="BF"/>
          <w:left w:val="single" w:sz="8" w:space="0" w:color="08EBFF" w:themeColor="accent1" w:themeTint="BF"/>
          <w:bottom w:val="single" w:sz="8" w:space="0" w:color="08EBFF" w:themeColor="accent1" w:themeTint="BF"/>
          <w:right w:val="single" w:sz="8" w:space="0" w:color="08E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1" w:themeFillTint="3F"/>
      </w:tcPr>
    </w:tblStylePr>
    <w:tblStylePr w:type="band1Horz">
      <w:tblPr/>
      <w:tcPr>
        <w:tcBorders>
          <w:insideH w:val="nil"/>
          <w:insideV w:val="nil"/>
        </w:tcBorders>
        <w:shd w:val="clear" w:color="auto" w:fill="ADF8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A53A52"/>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A53A52"/>
    <w:pPr>
      <w:spacing w:line="240" w:lineRule="auto"/>
    </w:pPr>
    <w:tblPr>
      <w:tblStyleRowBandSize w:val="1"/>
      <w:tblStyleColBandSize w:val="1"/>
      <w:tbl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single" w:sz="8" w:space="0" w:color="5ED2B8" w:themeColor="accent3" w:themeTint="BF"/>
      </w:tblBorders>
    </w:tblPr>
    <w:tblStylePr w:type="firstRow">
      <w:pPr>
        <w:spacing w:before="0" w:after="0" w:line="240" w:lineRule="auto"/>
      </w:pPr>
      <w:rPr>
        <w:b/>
        <w:bCs/>
        <w:color w:val="FFFFFF" w:themeColor="background1"/>
      </w:rPr>
      <w:tblPr/>
      <w:tcPr>
        <w:tcBorders>
          <w:top w:val="single" w:sz="8"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shd w:val="clear" w:color="auto" w:fill="33B99B" w:themeFill="accent3"/>
      </w:tcPr>
    </w:tblStylePr>
    <w:tblStylePr w:type="lastRow">
      <w:pPr>
        <w:spacing w:before="0" w:after="0" w:line="240" w:lineRule="auto"/>
      </w:pPr>
      <w:rPr>
        <w:b/>
        <w:bCs/>
      </w:rPr>
      <w:tblPr/>
      <w:tcPr>
        <w:tcBorders>
          <w:top w:val="double" w:sz="6" w:space="0" w:color="5ED2B8" w:themeColor="accent3" w:themeTint="BF"/>
          <w:left w:val="single" w:sz="8" w:space="0" w:color="5ED2B8" w:themeColor="accent3" w:themeTint="BF"/>
          <w:bottom w:val="single" w:sz="8" w:space="0" w:color="5ED2B8" w:themeColor="accent3" w:themeTint="BF"/>
          <w:right w:val="single" w:sz="8" w:space="0" w:color="5ED2B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F0E7" w:themeFill="accent3" w:themeFillTint="3F"/>
      </w:tcPr>
    </w:tblStylePr>
    <w:tblStylePr w:type="band1Horz">
      <w:tblPr/>
      <w:tcPr>
        <w:tcBorders>
          <w:insideH w:val="nil"/>
          <w:insideV w:val="nil"/>
        </w:tcBorders>
        <w:shd w:val="clear" w:color="auto" w:fill="C9F0E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A53A52"/>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A53A52"/>
    <w:pPr>
      <w:spacing w:line="240" w:lineRule="auto"/>
    </w:pPr>
    <w:tblPr>
      <w:tblStyleRowBandSize w:val="1"/>
      <w:tblStyleColBandSize w:val="1"/>
      <w:tbl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single" w:sz="8" w:space="0" w:color="F3E390" w:themeColor="accent5" w:themeTint="BF"/>
      </w:tblBorders>
    </w:tblPr>
    <w:tblStylePr w:type="firstRow">
      <w:pPr>
        <w:spacing w:before="0" w:after="0" w:line="240" w:lineRule="auto"/>
      </w:pPr>
      <w:rPr>
        <w:b/>
        <w:bCs/>
        <w:color w:val="FFFFFF" w:themeColor="background1"/>
      </w:rPr>
      <w:tblPr/>
      <w:tcPr>
        <w:tcBorders>
          <w:top w:val="single" w:sz="8"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shd w:val="clear" w:color="auto" w:fill="EFDB6C" w:themeFill="accent5"/>
      </w:tcPr>
    </w:tblStylePr>
    <w:tblStylePr w:type="lastRow">
      <w:pPr>
        <w:spacing w:before="0" w:after="0" w:line="240" w:lineRule="auto"/>
      </w:pPr>
      <w:rPr>
        <w:b/>
        <w:bCs/>
      </w:rPr>
      <w:tblPr/>
      <w:tcPr>
        <w:tcBorders>
          <w:top w:val="double" w:sz="6" w:space="0" w:color="F3E390" w:themeColor="accent5" w:themeTint="BF"/>
          <w:left w:val="single" w:sz="8" w:space="0" w:color="F3E390" w:themeColor="accent5" w:themeTint="BF"/>
          <w:bottom w:val="single" w:sz="8" w:space="0" w:color="F3E390" w:themeColor="accent5" w:themeTint="BF"/>
          <w:right w:val="single" w:sz="8" w:space="0" w:color="F3E3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5" w:themeFillTint="3F"/>
      </w:tcPr>
    </w:tblStylePr>
    <w:tblStylePr w:type="band1Horz">
      <w:tblPr/>
      <w:tcPr>
        <w:tcBorders>
          <w:insideH w:val="nil"/>
          <w:insideV w:val="nil"/>
        </w:tcBorders>
        <w:shd w:val="clear" w:color="auto" w:fill="FBF6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A53A52"/>
    <w:pPr>
      <w:spacing w:line="240" w:lineRule="auto"/>
    </w:pPr>
    <w:tblPr>
      <w:tblStyleRowBandSize w:val="1"/>
      <w:tblStyleColBandSize w:val="1"/>
      <w:tbl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single" w:sz="8" w:space="0" w:color="7F47AC" w:themeColor="accent6" w:themeTint="BF"/>
      </w:tblBorders>
    </w:tblPr>
    <w:tblStylePr w:type="firstRow">
      <w:pPr>
        <w:spacing w:before="0" w:after="0" w:line="240" w:lineRule="auto"/>
      </w:pPr>
      <w:rPr>
        <w:b/>
        <w:bCs/>
        <w:color w:val="FFFFFF" w:themeColor="background1"/>
      </w:rPr>
      <w:tblPr/>
      <w:tcPr>
        <w:tcBorders>
          <w:top w:val="single" w:sz="8"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shd w:val="clear" w:color="auto" w:fill="512D6D" w:themeFill="accent6"/>
      </w:tcPr>
    </w:tblStylePr>
    <w:tblStylePr w:type="lastRow">
      <w:pPr>
        <w:spacing w:before="0" w:after="0" w:line="240" w:lineRule="auto"/>
      </w:pPr>
      <w:rPr>
        <w:b/>
        <w:bCs/>
      </w:rPr>
      <w:tblPr/>
      <w:tcPr>
        <w:tcBorders>
          <w:top w:val="double" w:sz="6" w:space="0" w:color="7F47AC" w:themeColor="accent6" w:themeTint="BF"/>
          <w:left w:val="single" w:sz="8" w:space="0" w:color="7F47AC" w:themeColor="accent6" w:themeTint="BF"/>
          <w:bottom w:val="single" w:sz="8" w:space="0" w:color="7F47AC" w:themeColor="accent6" w:themeTint="BF"/>
          <w:right w:val="single" w:sz="8" w:space="0" w:color="7F47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6" w:themeFillTint="3F"/>
      </w:tcPr>
    </w:tblStylePr>
    <w:tblStylePr w:type="band1Horz">
      <w:tblPr/>
      <w:tcPr>
        <w:tcBorders>
          <w:insideH w:val="nil"/>
          <w:insideV w:val="nil"/>
        </w:tcBorders>
        <w:shd w:val="clear" w:color="auto" w:fill="D5C0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B5" w:themeFill="accent1"/>
      </w:tcPr>
    </w:tblStylePr>
    <w:tblStylePr w:type="lastCol">
      <w:rPr>
        <w:b/>
        <w:bCs/>
        <w:color w:val="FFFFFF" w:themeColor="background1"/>
      </w:rPr>
      <w:tblPr/>
      <w:tcPr>
        <w:tcBorders>
          <w:left w:val="nil"/>
          <w:right w:val="nil"/>
          <w:insideH w:val="nil"/>
          <w:insideV w:val="nil"/>
        </w:tcBorders>
        <w:shd w:val="clear" w:color="auto" w:fill="00A7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9B" w:themeFill="accent3"/>
      </w:tcPr>
    </w:tblStylePr>
    <w:tblStylePr w:type="lastCol">
      <w:rPr>
        <w:b/>
        <w:bCs/>
        <w:color w:val="FFFFFF" w:themeColor="background1"/>
      </w:rPr>
      <w:tblPr/>
      <w:tcPr>
        <w:tcBorders>
          <w:left w:val="nil"/>
          <w:right w:val="nil"/>
          <w:insideH w:val="nil"/>
          <w:insideV w:val="nil"/>
        </w:tcBorders>
        <w:shd w:val="clear" w:color="auto" w:fill="33B9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5"/>
      </w:tcPr>
    </w:tblStylePr>
    <w:tblStylePr w:type="lastCol">
      <w:rPr>
        <w:b/>
        <w:bCs/>
        <w:color w:val="FFFFFF" w:themeColor="background1"/>
      </w:rPr>
      <w:tblPr/>
      <w:tcPr>
        <w:tcBorders>
          <w:left w:val="nil"/>
          <w:right w:val="nil"/>
          <w:insideH w:val="nil"/>
          <w:insideV w:val="nil"/>
        </w:tcBorders>
        <w:shd w:val="clear" w:color="auto" w:fill="EFDB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A53A5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6"/>
      </w:tcPr>
    </w:tblStylePr>
    <w:tblStylePr w:type="lastCol">
      <w:rPr>
        <w:b/>
        <w:bCs/>
        <w:color w:val="FFFFFF" w:themeColor="background1"/>
      </w:rPr>
      <w:tblPr/>
      <w:tcPr>
        <w:tcBorders>
          <w:left w:val="nil"/>
          <w:right w:val="nil"/>
          <w:insideH w:val="nil"/>
          <w:insideV w:val="nil"/>
        </w:tcBorders>
        <w:shd w:val="clear" w:color="auto" w:fill="512D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A53A5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A53A52"/>
    <w:rPr>
      <w:rFonts w:asciiTheme="majorHAnsi" w:eastAsiaTheme="majorEastAsia" w:hAnsiTheme="majorHAnsi" w:cstheme="majorBidi"/>
      <w:sz w:val="24"/>
      <w:shd w:val="pct20" w:color="auto" w:fill="auto"/>
    </w:rPr>
  </w:style>
  <w:style w:type="paragraph" w:styleId="Ingenafstand">
    <w:name w:val="No Spacing"/>
    <w:uiPriority w:val="99"/>
    <w:semiHidden/>
    <w:qFormat/>
    <w:rsid w:val="00A53A52"/>
    <w:pPr>
      <w:spacing w:line="240" w:lineRule="auto"/>
    </w:pPr>
    <w:rPr>
      <w:szCs w:val="24"/>
    </w:rPr>
  </w:style>
  <w:style w:type="paragraph" w:styleId="NormalWeb">
    <w:name w:val="Normal (Web)"/>
    <w:basedOn w:val="Normal"/>
    <w:uiPriority w:val="99"/>
    <w:semiHidden/>
    <w:rsid w:val="00A53A52"/>
    <w:rPr>
      <w:rFonts w:ascii="Times New Roman" w:hAnsi="Times New Roman"/>
      <w:sz w:val="24"/>
    </w:rPr>
  </w:style>
  <w:style w:type="paragraph" w:styleId="Normalindrykning">
    <w:name w:val="Normal Indent"/>
    <w:basedOn w:val="Normal"/>
    <w:uiPriority w:val="99"/>
    <w:semiHidden/>
    <w:rsid w:val="00A53A52"/>
    <w:pPr>
      <w:ind w:left="1304"/>
    </w:pPr>
  </w:style>
  <w:style w:type="paragraph" w:styleId="Noteoverskrift">
    <w:name w:val="Note Heading"/>
    <w:basedOn w:val="Normal"/>
    <w:next w:val="Normal"/>
    <w:link w:val="NoteoverskriftTegn"/>
    <w:uiPriority w:val="99"/>
    <w:semiHidden/>
    <w:rsid w:val="00A53A52"/>
    <w:pPr>
      <w:spacing w:line="240" w:lineRule="auto"/>
    </w:pPr>
  </w:style>
  <w:style w:type="character" w:customStyle="1" w:styleId="NoteoverskriftTegn">
    <w:name w:val="Noteoverskrift Tegn"/>
    <w:basedOn w:val="Standardskrifttypeiafsnit"/>
    <w:link w:val="Noteoverskrift"/>
    <w:uiPriority w:val="99"/>
    <w:semiHidden/>
    <w:rsid w:val="00A53A52"/>
    <w:rPr>
      <w:sz w:val="22"/>
    </w:rPr>
  </w:style>
  <w:style w:type="character" w:styleId="Sidetal">
    <w:name w:val="page number"/>
    <w:basedOn w:val="Standardskrifttypeiafsnit"/>
    <w:uiPriority w:val="99"/>
    <w:semiHidden/>
    <w:rsid w:val="00A53A52"/>
    <w:rPr>
      <w:rFonts w:ascii="Georgia" w:hAnsi="Georgia"/>
      <w:sz w:val="20"/>
    </w:rPr>
  </w:style>
  <w:style w:type="character" w:customStyle="1" w:styleId="ParadigmeKommentar">
    <w:name w:val="ParadigmeKommentar"/>
    <w:basedOn w:val="ForklarendeTekst"/>
    <w:uiPriority w:val="7"/>
    <w:rsid w:val="00A53A52"/>
    <w:rPr>
      <w:rFonts w:ascii="Georgia" w:hAnsi="Georgia"/>
      <w:i w:val="0"/>
      <w:color w:val="FF0000"/>
      <w:sz w:val="20"/>
      <w:u w:val="none"/>
    </w:rPr>
  </w:style>
  <w:style w:type="character" w:styleId="Pladsholdertekst">
    <w:name w:val="Placeholder Text"/>
    <w:basedOn w:val="Standardskrifttypeiafsnit"/>
    <w:uiPriority w:val="99"/>
    <w:semiHidden/>
    <w:rsid w:val="00A53A52"/>
    <w:rPr>
      <w:color w:val="808080"/>
    </w:rPr>
  </w:style>
  <w:style w:type="paragraph" w:styleId="Almindeligtekst">
    <w:name w:val="Plain Text"/>
    <w:basedOn w:val="Normal"/>
    <w:link w:val="AlmindeligtekstTegn"/>
    <w:uiPriority w:val="99"/>
    <w:semiHidden/>
    <w:rsid w:val="00A53A52"/>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A53A52"/>
    <w:rPr>
      <w:rFonts w:ascii="Consolas" w:hAnsi="Consolas" w:cs="Consolas"/>
      <w:sz w:val="21"/>
      <w:szCs w:val="21"/>
    </w:rPr>
  </w:style>
  <w:style w:type="paragraph" w:customStyle="1" w:styleId="PressTitle">
    <w:name w:val="PressTitle"/>
    <w:basedOn w:val="Normal"/>
    <w:next w:val="Normal"/>
    <w:uiPriority w:val="8"/>
    <w:semiHidden/>
    <w:rsid w:val="00A53A52"/>
    <w:pPr>
      <w:spacing w:after="260" w:line="700" w:lineRule="atLeast"/>
      <w:contextualSpacing/>
    </w:pPr>
    <w:rPr>
      <w:sz w:val="66"/>
      <w:szCs w:val="22"/>
    </w:rPr>
  </w:style>
  <w:style w:type="paragraph" w:styleId="Citat">
    <w:name w:val="Quote"/>
    <w:basedOn w:val="Normal"/>
    <w:next w:val="Normal"/>
    <w:link w:val="CitatTegn"/>
    <w:uiPriority w:val="99"/>
    <w:semiHidden/>
    <w:qFormat/>
    <w:rsid w:val="00A53A52"/>
    <w:rPr>
      <w:i/>
      <w:iCs/>
      <w:color w:val="000000" w:themeColor="text1"/>
    </w:rPr>
  </w:style>
  <w:style w:type="character" w:customStyle="1" w:styleId="CitatTegn">
    <w:name w:val="Citat Tegn"/>
    <w:basedOn w:val="Standardskrifttypeiafsnit"/>
    <w:link w:val="Citat"/>
    <w:uiPriority w:val="99"/>
    <w:semiHidden/>
    <w:rsid w:val="00A53A52"/>
    <w:rPr>
      <w:i/>
      <w:iCs/>
      <w:color w:val="000000" w:themeColor="text1"/>
      <w:sz w:val="22"/>
    </w:rPr>
  </w:style>
  <w:style w:type="paragraph" w:styleId="Starthilsen">
    <w:name w:val="Salutation"/>
    <w:basedOn w:val="Normal"/>
    <w:next w:val="Normal"/>
    <w:link w:val="StarthilsenTegn"/>
    <w:uiPriority w:val="99"/>
    <w:semiHidden/>
    <w:rsid w:val="00A53A52"/>
  </w:style>
  <w:style w:type="character" w:customStyle="1" w:styleId="StarthilsenTegn">
    <w:name w:val="Starthilsen Tegn"/>
    <w:basedOn w:val="Standardskrifttypeiafsnit"/>
    <w:link w:val="Starthilsen"/>
    <w:uiPriority w:val="99"/>
    <w:semiHidden/>
    <w:rsid w:val="00A53A52"/>
    <w:rPr>
      <w:sz w:val="22"/>
    </w:rPr>
  </w:style>
  <w:style w:type="paragraph" w:styleId="Underskrift">
    <w:name w:val="Signature"/>
    <w:basedOn w:val="Normal"/>
    <w:link w:val="UnderskriftTegn"/>
    <w:uiPriority w:val="99"/>
    <w:semiHidden/>
    <w:rsid w:val="00A53A52"/>
    <w:pPr>
      <w:spacing w:line="240" w:lineRule="auto"/>
      <w:ind w:left="4252"/>
    </w:pPr>
  </w:style>
  <w:style w:type="character" w:customStyle="1" w:styleId="UnderskriftTegn">
    <w:name w:val="Underskrift Tegn"/>
    <w:basedOn w:val="Standardskrifttypeiafsnit"/>
    <w:link w:val="Underskrift"/>
    <w:uiPriority w:val="99"/>
    <w:semiHidden/>
    <w:rsid w:val="00A53A52"/>
    <w:rPr>
      <w:sz w:val="22"/>
    </w:rPr>
  </w:style>
  <w:style w:type="character" w:styleId="Strk">
    <w:name w:val="Strong"/>
    <w:basedOn w:val="Standardskrifttypeiafsnit"/>
    <w:uiPriority w:val="99"/>
    <w:semiHidden/>
    <w:qFormat/>
    <w:rsid w:val="00A53A52"/>
    <w:rPr>
      <w:b/>
      <w:bCs/>
    </w:rPr>
  </w:style>
  <w:style w:type="paragraph" w:styleId="Undertitel">
    <w:name w:val="Subtitle"/>
    <w:basedOn w:val="Normal"/>
    <w:next w:val="Normal"/>
    <w:link w:val="UndertitelTegn"/>
    <w:uiPriority w:val="8"/>
    <w:semiHidden/>
    <w:rsid w:val="00A53A52"/>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A53A52"/>
    <w:rPr>
      <w:rFonts w:eastAsiaTheme="majorEastAsia" w:cstheme="majorBidi"/>
      <w:iCs/>
      <w:sz w:val="28"/>
    </w:rPr>
  </w:style>
  <w:style w:type="character" w:styleId="Svagfremhvning">
    <w:name w:val="Subtle Emphasis"/>
    <w:basedOn w:val="Standardskrifttypeiafsnit"/>
    <w:uiPriority w:val="99"/>
    <w:semiHidden/>
    <w:qFormat/>
    <w:rsid w:val="00A53A52"/>
    <w:rPr>
      <w:i/>
      <w:iCs/>
      <w:color w:val="808080" w:themeColor="text1" w:themeTint="7F"/>
    </w:rPr>
  </w:style>
  <w:style w:type="character" w:styleId="Svaghenvisning">
    <w:name w:val="Subtle Reference"/>
    <w:basedOn w:val="Standardskrifttypeiafsnit"/>
    <w:uiPriority w:val="99"/>
    <w:semiHidden/>
    <w:qFormat/>
    <w:rsid w:val="00A53A52"/>
    <w:rPr>
      <w:smallCaps/>
      <w:color w:val="auto"/>
      <w:u w:val="single"/>
    </w:rPr>
  </w:style>
  <w:style w:type="paragraph" w:customStyle="1" w:styleId="Tabel">
    <w:name w:val="Tabel"/>
    <w:uiPriority w:val="4"/>
    <w:rsid w:val="00A53A52"/>
    <w:pPr>
      <w:spacing w:before="40" w:after="40" w:line="240" w:lineRule="atLeast"/>
      <w:ind w:left="113" w:right="113"/>
    </w:pPr>
    <w:rPr>
      <w:rFonts w:eastAsiaTheme="minorHAnsi" w:cstheme="minorBidi"/>
      <w:sz w:val="22"/>
      <w:szCs w:val="18"/>
      <w:lang w:eastAsia="en-US"/>
    </w:rPr>
  </w:style>
  <w:style w:type="paragraph" w:customStyle="1" w:styleId="Tabel-hvidcentreretoverskrift">
    <w:name w:val="Tabel - hvid centreret overskrift"/>
    <w:basedOn w:val="Tabel"/>
    <w:uiPriority w:val="6"/>
    <w:qFormat/>
    <w:rsid w:val="00A53A52"/>
    <w:pPr>
      <w:jc w:val="center"/>
    </w:pPr>
    <w:rPr>
      <w:b/>
      <w:color w:val="FFFFFF"/>
      <w:sz w:val="24"/>
    </w:rPr>
  </w:style>
  <w:style w:type="paragraph" w:customStyle="1" w:styleId="Tabel-Tal">
    <w:name w:val="Tabel - Tal"/>
    <w:basedOn w:val="Tabel"/>
    <w:uiPriority w:val="4"/>
    <w:rsid w:val="00A53A52"/>
    <w:pPr>
      <w:jc w:val="right"/>
    </w:pPr>
  </w:style>
  <w:style w:type="paragraph" w:customStyle="1" w:styleId="Tabel-TalTotal">
    <w:name w:val="Tabel - Tal Total"/>
    <w:basedOn w:val="Tabel-Tal"/>
    <w:uiPriority w:val="4"/>
    <w:rsid w:val="00A53A52"/>
    <w:rPr>
      <w:b/>
    </w:rPr>
  </w:style>
  <w:style w:type="paragraph" w:customStyle="1" w:styleId="Tabel-Tekst">
    <w:name w:val="Tabel - Tekst"/>
    <w:basedOn w:val="Tabel"/>
    <w:uiPriority w:val="4"/>
    <w:rsid w:val="00A53A52"/>
  </w:style>
  <w:style w:type="paragraph" w:customStyle="1" w:styleId="Tabel-TekstTotal">
    <w:name w:val="Tabel - Tekst Total"/>
    <w:basedOn w:val="Tabel-Tekst"/>
    <w:uiPriority w:val="4"/>
    <w:rsid w:val="00A53A52"/>
    <w:rPr>
      <w:b/>
    </w:rPr>
  </w:style>
  <w:style w:type="table" w:styleId="Tabel-3D-effekter1">
    <w:name w:val="Table 3D effects 1"/>
    <w:basedOn w:val="Tabel-Normal"/>
    <w:uiPriority w:val="99"/>
    <w:semiHidden/>
    <w:rsid w:val="00A53A5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A53A5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A53A5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A53A5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A53A5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A53A5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A53A5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A53A5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A53A5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A53A5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A53A5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A53A5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A53A5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A53A5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A53A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A53A5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59"/>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A53A5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A53A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A53A5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A53A5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A53A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A53A5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A53A5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A53A5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A53A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A53A5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A53A5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A53A52"/>
    <w:pPr>
      <w:ind w:left="200" w:hanging="200"/>
    </w:pPr>
  </w:style>
  <w:style w:type="paragraph" w:styleId="Listeoverfigurer">
    <w:name w:val="table of figures"/>
    <w:basedOn w:val="Normal"/>
    <w:next w:val="Normal"/>
    <w:uiPriority w:val="99"/>
    <w:semiHidden/>
    <w:rsid w:val="00A53A52"/>
  </w:style>
  <w:style w:type="table" w:styleId="Tabel-Professionel">
    <w:name w:val="Table Professional"/>
    <w:basedOn w:val="Tabel-Normal"/>
    <w:uiPriority w:val="99"/>
    <w:semiHidden/>
    <w:rsid w:val="00A53A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A53A5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A53A5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A53A5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A53A5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A53A5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A5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A53A5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A53A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A53A5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basedOn w:val="Sidefod"/>
    <w:uiPriority w:val="9"/>
    <w:semiHidden/>
    <w:rsid w:val="00A53A52"/>
    <w:rPr>
      <w:rFonts w:cs="Arial"/>
      <w:noProof/>
      <w:szCs w:val="14"/>
    </w:rPr>
  </w:style>
  <w:style w:type="paragraph" w:customStyle="1" w:styleId="Template-Address">
    <w:name w:val="Template - Address"/>
    <w:basedOn w:val="Template"/>
    <w:uiPriority w:val="9"/>
    <w:semiHidden/>
    <w:rsid w:val="00A53A52"/>
    <w:pPr>
      <w:ind w:right="0"/>
    </w:pPr>
  </w:style>
  <w:style w:type="paragraph" w:styleId="Titel">
    <w:name w:val="Title"/>
    <w:basedOn w:val="Normal"/>
    <w:next w:val="Normal"/>
    <w:link w:val="TitelTegn"/>
    <w:uiPriority w:val="8"/>
    <w:semiHidden/>
    <w:rsid w:val="00A53A52"/>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A53A52"/>
    <w:rPr>
      <w:rFonts w:eastAsiaTheme="majorEastAsia" w:cstheme="majorBidi"/>
      <w:kern w:val="28"/>
      <w:sz w:val="36"/>
      <w:szCs w:val="52"/>
    </w:rPr>
  </w:style>
  <w:style w:type="paragraph" w:styleId="Citatoverskrift">
    <w:name w:val="toa heading"/>
    <w:basedOn w:val="Normal"/>
    <w:next w:val="Normal"/>
    <w:uiPriority w:val="10"/>
    <w:semiHidden/>
    <w:rsid w:val="00A53A52"/>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A53A52"/>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A53A52"/>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A53A52"/>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A53A52"/>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A53A52"/>
    <w:pPr>
      <w:spacing w:after="520" w:line="360" w:lineRule="atLeast"/>
    </w:pPr>
    <w:rPr>
      <w:rFonts w:eastAsiaTheme="minorHAnsi" w:cstheme="minorBidi"/>
      <w:sz w:val="28"/>
      <w:szCs w:val="18"/>
      <w:lang w:eastAsia="en-US"/>
    </w:rPr>
  </w:style>
  <w:style w:type="table" w:customStyle="1" w:styleId="Tabel-Gitter10">
    <w:name w:val="Tabel - Gitter1"/>
    <w:basedOn w:val="Tabel-Normal"/>
    <w:next w:val="Tabel-Gitter"/>
    <w:uiPriority w:val="99"/>
    <w:rsid w:val="0059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0">
    <w:name w:val="Tabel - Gitter2"/>
    <w:basedOn w:val="Tabel-Normal"/>
    <w:next w:val="Tabel-Gitter"/>
    <w:uiPriority w:val="99"/>
    <w:rsid w:val="0059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0">
    <w:name w:val="Tabel - Gitter3"/>
    <w:basedOn w:val="Tabel-Normal"/>
    <w:next w:val="Tabel-Gitter"/>
    <w:uiPriority w:val="99"/>
    <w:rsid w:val="0059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40">
    <w:name w:val="Tabel - Gitter4"/>
    <w:basedOn w:val="Tabel-Normal"/>
    <w:next w:val="Tabel-Gitter"/>
    <w:uiPriority w:val="99"/>
    <w:rsid w:val="00595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5B9"/>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3290">
      <w:bodyDiv w:val="1"/>
      <w:marLeft w:val="0"/>
      <w:marRight w:val="0"/>
      <w:marTop w:val="0"/>
      <w:marBottom w:val="0"/>
      <w:divBdr>
        <w:top w:val="none" w:sz="0" w:space="0" w:color="auto"/>
        <w:left w:val="none" w:sz="0" w:space="0" w:color="auto"/>
        <w:bottom w:val="none" w:sz="0" w:space="0" w:color="auto"/>
        <w:right w:val="none" w:sz="0" w:space="0" w:color="auto"/>
      </w:divBdr>
    </w:div>
    <w:div w:id="176358899">
      <w:bodyDiv w:val="1"/>
      <w:marLeft w:val="0"/>
      <w:marRight w:val="0"/>
      <w:marTop w:val="0"/>
      <w:marBottom w:val="0"/>
      <w:divBdr>
        <w:top w:val="none" w:sz="0" w:space="0" w:color="auto"/>
        <w:left w:val="none" w:sz="0" w:space="0" w:color="auto"/>
        <w:bottom w:val="none" w:sz="0" w:space="0" w:color="auto"/>
        <w:right w:val="none" w:sz="0" w:space="0" w:color="auto"/>
      </w:divBdr>
    </w:div>
    <w:div w:id="215630954">
      <w:bodyDiv w:val="1"/>
      <w:marLeft w:val="0"/>
      <w:marRight w:val="0"/>
      <w:marTop w:val="0"/>
      <w:marBottom w:val="0"/>
      <w:divBdr>
        <w:top w:val="none" w:sz="0" w:space="0" w:color="auto"/>
        <w:left w:val="none" w:sz="0" w:space="0" w:color="auto"/>
        <w:bottom w:val="none" w:sz="0" w:space="0" w:color="auto"/>
        <w:right w:val="none" w:sz="0" w:space="0" w:color="auto"/>
      </w:divBdr>
    </w:div>
    <w:div w:id="222299051">
      <w:bodyDiv w:val="1"/>
      <w:marLeft w:val="0"/>
      <w:marRight w:val="0"/>
      <w:marTop w:val="0"/>
      <w:marBottom w:val="0"/>
      <w:divBdr>
        <w:top w:val="none" w:sz="0" w:space="0" w:color="auto"/>
        <w:left w:val="none" w:sz="0" w:space="0" w:color="auto"/>
        <w:bottom w:val="none" w:sz="0" w:space="0" w:color="auto"/>
        <w:right w:val="none" w:sz="0" w:space="0" w:color="auto"/>
      </w:divBdr>
    </w:div>
    <w:div w:id="223175423">
      <w:bodyDiv w:val="1"/>
      <w:marLeft w:val="0"/>
      <w:marRight w:val="0"/>
      <w:marTop w:val="0"/>
      <w:marBottom w:val="0"/>
      <w:divBdr>
        <w:top w:val="none" w:sz="0" w:space="0" w:color="auto"/>
        <w:left w:val="none" w:sz="0" w:space="0" w:color="auto"/>
        <w:bottom w:val="none" w:sz="0" w:space="0" w:color="auto"/>
        <w:right w:val="none" w:sz="0" w:space="0" w:color="auto"/>
      </w:divBdr>
    </w:div>
    <w:div w:id="294258548">
      <w:bodyDiv w:val="1"/>
      <w:marLeft w:val="0"/>
      <w:marRight w:val="0"/>
      <w:marTop w:val="0"/>
      <w:marBottom w:val="0"/>
      <w:divBdr>
        <w:top w:val="none" w:sz="0" w:space="0" w:color="auto"/>
        <w:left w:val="none" w:sz="0" w:space="0" w:color="auto"/>
        <w:bottom w:val="none" w:sz="0" w:space="0" w:color="auto"/>
        <w:right w:val="none" w:sz="0" w:space="0" w:color="auto"/>
      </w:divBdr>
    </w:div>
    <w:div w:id="361171814">
      <w:bodyDiv w:val="1"/>
      <w:marLeft w:val="0"/>
      <w:marRight w:val="0"/>
      <w:marTop w:val="0"/>
      <w:marBottom w:val="0"/>
      <w:divBdr>
        <w:top w:val="none" w:sz="0" w:space="0" w:color="auto"/>
        <w:left w:val="none" w:sz="0" w:space="0" w:color="auto"/>
        <w:bottom w:val="none" w:sz="0" w:space="0" w:color="auto"/>
        <w:right w:val="none" w:sz="0" w:space="0" w:color="auto"/>
      </w:divBdr>
    </w:div>
    <w:div w:id="436943684">
      <w:bodyDiv w:val="1"/>
      <w:marLeft w:val="0"/>
      <w:marRight w:val="0"/>
      <w:marTop w:val="0"/>
      <w:marBottom w:val="0"/>
      <w:divBdr>
        <w:top w:val="none" w:sz="0" w:space="0" w:color="auto"/>
        <w:left w:val="none" w:sz="0" w:space="0" w:color="auto"/>
        <w:bottom w:val="none" w:sz="0" w:space="0" w:color="auto"/>
        <w:right w:val="none" w:sz="0" w:space="0" w:color="auto"/>
      </w:divBdr>
    </w:div>
    <w:div w:id="445126006">
      <w:bodyDiv w:val="1"/>
      <w:marLeft w:val="0"/>
      <w:marRight w:val="0"/>
      <w:marTop w:val="0"/>
      <w:marBottom w:val="0"/>
      <w:divBdr>
        <w:top w:val="none" w:sz="0" w:space="0" w:color="auto"/>
        <w:left w:val="none" w:sz="0" w:space="0" w:color="auto"/>
        <w:bottom w:val="none" w:sz="0" w:space="0" w:color="auto"/>
        <w:right w:val="none" w:sz="0" w:space="0" w:color="auto"/>
      </w:divBdr>
    </w:div>
    <w:div w:id="527724526">
      <w:bodyDiv w:val="1"/>
      <w:marLeft w:val="0"/>
      <w:marRight w:val="0"/>
      <w:marTop w:val="0"/>
      <w:marBottom w:val="0"/>
      <w:divBdr>
        <w:top w:val="none" w:sz="0" w:space="0" w:color="auto"/>
        <w:left w:val="none" w:sz="0" w:space="0" w:color="auto"/>
        <w:bottom w:val="none" w:sz="0" w:space="0" w:color="auto"/>
        <w:right w:val="none" w:sz="0" w:space="0" w:color="auto"/>
      </w:divBdr>
    </w:div>
    <w:div w:id="734815255">
      <w:bodyDiv w:val="1"/>
      <w:marLeft w:val="0"/>
      <w:marRight w:val="0"/>
      <w:marTop w:val="0"/>
      <w:marBottom w:val="0"/>
      <w:divBdr>
        <w:top w:val="none" w:sz="0" w:space="0" w:color="auto"/>
        <w:left w:val="none" w:sz="0" w:space="0" w:color="auto"/>
        <w:bottom w:val="none" w:sz="0" w:space="0" w:color="auto"/>
        <w:right w:val="none" w:sz="0" w:space="0" w:color="auto"/>
      </w:divBdr>
    </w:div>
    <w:div w:id="761488947">
      <w:bodyDiv w:val="1"/>
      <w:marLeft w:val="0"/>
      <w:marRight w:val="0"/>
      <w:marTop w:val="0"/>
      <w:marBottom w:val="0"/>
      <w:divBdr>
        <w:top w:val="none" w:sz="0" w:space="0" w:color="auto"/>
        <w:left w:val="none" w:sz="0" w:space="0" w:color="auto"/>
        <w:bottom w:val="none" w:sz="0" w:space="0" w:color="auto"/>
        <w:right w:val="none" w:sz="0" w:space="0" w:color="auto"/>
      </w:divBdr>
    </w:div>
    <w:div w:id="895553437">
      <w:bodyDiv w:val="1"/>
      <w:marLeft w:val="0"/>
      <w:marRight w:val="0"/>
      <w:marTop w:val="0"/>
      <w:marBottom w:val="0"/>
      <w:divBdr>
        <w:top w:val="none" w:sz="0" w:space="0" w:color="auto"/>
        <w:left w:val="none" w:sz="0" w:space="0" w:color="auto"/>
        <w:bottom w:val="none" w:sz="0" w:space="0" w:color="auto"/>
        <w:right w:val="none" w:sz="0" w:space="0" w:color="auto"/>
      </w:divBdr>
    </w:div>
    <w:div w:id="995450492">
      <w:bodyDiv w:val="1"/>
      <w:marLeft w:val="0"/>
      <w:marRight w:val="0"/>
      <w:marTop w:val="0"/>
      <w:marBottom w:val="0"/>
      <w:divBdr>
        <w:top w:val="none" w:sz="0" w:space="0" w:color="auto"/>
        <w:left w:val="none" w:sz="0" w:space="0" w:color="auto"/>
        <w:bottom w:val="none" w:sz="0" w:space="0" w:color="auto"/>
        <w:right w:val="none" w:sz="0" w:space="0" w:color="auto"/>
      </w:divBdr>
    </w:div>
    <w:div w:id="1079861852">
      <w:bodyDiv w:val="1"/>
      <w:marLeft w:val="0"/>
      <w:marRight w:val="0"/>
      <w:marTop w:val="0"/>
      <w:marBottom w:val="0"/>
      <w:divBdr>
        <w:top w:val="none" w:sz="0" w:space="0" w:color="auto"/>
        <w:left w:val="none" w:sz="0" w:space="0" w:color="auto"/>
        <w:bottom w:val="none" w:sz="0" w:space="0" w:color="auto"/>
        <w:right w:val="none" w:sz="0" w:space="0" w:color="auto"/>
      </w:divBdr>
    </w:div>
    <w:div w:id="1087843771">
      <w:bodyDiv w:val="1"/>
      <w:marLeft w:val="0"/>
      <w:marRight w:val="0"/>
      <w:marTop w:val="0"/>
      <w:marBottom w:val="0"/>
      <w:divBdr>
        <w:top w:val="none" w:sz="0" w:space="0" w:color="auto"/>
        <w:left w:val="none" w:sz="0" w:space="0" w:color="auto"/>
        <w:bottom w:val="none" w:sz="0" w:space="0" w:color="auto"/>
        <w:right w:val="none" w:sz="0" w:space="0" w:color="auto"/>
      </w:divBdr>
    </w:div>
    <w:div w:id="1148937240">
      <w:bodyDiv w:val="1"/>
      <w:marLeft w:val="0"/>
      <w:marRight w:val="0"/>
      <w:marTop w:val="0"/>
      <w:marBottom w:val="0"/>
      <w:divBdr>
        <w:top w:val="none" w:sz="0" w:space="0" w:color="auto"/>
        <w:left w:val="none" w:sz="0" w:space="0" w:color="auto"/>
        <w:bottom w:val="none" w:sz="0" w:space="0" w:color="auto"/>
        <w:right w:val="none" w:sz="0" w:space="0" w:color="auto"/>
      </w:divBdr>
    </w:div>
    <w:div w:id="1224098491">
      <w:bodyDiv w:val="1"/>
      <w:marLeft w:val="0"/>
      <w:marRight w:val="0"/>
      <w:marTop w:val="0"/>
      <w:marBottom w:val="0"/>
      <w:divBdr>
        <w:top w:val="none" w:sz="0" w:space="0" w:color="auto"/>
        <w:left w:val="none" w:sz="0" w:space="0" w:color="auto"/>
        <w:bottom w:val="none" w:sz="0" w:space="0" w:color="auto"/>
        <w:right w:val="none" w:sz="0" w:space="0" w:color="auto"/>
      </w:divBdr>
    </w:div>
    <w:div w:id="1240286252">
      <w:bodyDiv w:val="1"/>
      <w:marLeft w:val="0"/>
      <w:marRight w:val="0"/>
      <w:marTop w:val="0"/>
      <w:marBottom w:val="0"/>
      <w:divBdr>
        <w:top w:val="none" w:sz="0" w:space="0" w:color="auto"/>
        <w:left w:val="none" w:sz="0" w:space="0" w:color="auto"/>
        <w:bottom w:val="none" w:sz="0" w:space="0" w:color="auto"/>
        <w:right w:val="none" w:sz="0" w:space="0" w:color="auto"/>
      </w:divBdr>
    </w:div>
    <w:div w:id="1379285137">
      <w:bodyDiv w:val="1"/>
      <w:marLeft w:val="0"/>
      <w:marRight w:val="0"/>
      <w:marTop w:val="0"/>
      <w:marBottom w:val="0"/>
      <w:divBdr>
        <w:top w:val="none" w:sz="0" w:space="0" w:color="auto"/>
        <w:left w:val="none" w:sz="0" w:space="0" w:color="auto"/>
        <w:bottom w:val="none" w:sz="0" w:space="0" w:color="auto"/>
        <w:right w:val="none" w:sz="0" w:space="0" w:color="auto"/>
      </w:divBdr>
    </w:div>
    <w:div w:id="1386414884">
      <w:bodyDiv w:val="1"/>
      <w:marLeft w:val="0"/>
      <w:marRight w:val="0"/>
      <w:marTop w:val="0"/>
      <w:marBottom w:val="0"/>
      <w:divBdr>
        <w:top w:val="none" w:sz="0" w:space="0" w:color="auto"/>
        <w:left w:val="none" w:sz="0" w:space="0" w:color="auto"/>
        <w:bottom w:val="none" w:sz="0" w:space="0" w:color="auto"/>
        <w:right w:val="none" w:sz="0" w:space="0" w:color="auto"/>
      </w:divBdr>
    </w:div>
    <w:div w:id="1390886531">
      <w:bodyDiv w:val="1"/>
      <w:marLeft w:val="0"/>
      <w:marRight w:val="0"/>
      <w:marTop w:val="0"/>
      <w:marBottom w:val="0"/>
      <w:divBdr>
        <w:top w:val="none" w:sz="0" w:space="0" w:color="auto"/>
        <w:left w:val="none" w:sz="0" w:space="0" w:color="auto"/>
        <w:bottom w:val="none" w:sz="0" w:space="0" w:color="auto"/>
        <w:right w:val="none" w:sz="0" w:space="0" w:color="auto"/>
      </w:divBdr>
    </w:div>
    <w:div w:id="1414352625">
      <w:bodyDiv w:val="1"/>
      <w:marLeft w:val="0"/>
      <w:marRight w:val="0"/>
      <w:marTop w:val="0"/>
      <w:marBottom w:val="0"/>
      <w:divBdr>
        <w:top w:val="none" w:sz="0" w:space="0" w:color="auto"/>
        <w:left w:val="none" w:sz="0" w:space="0" w:color="auto"/>
        <w:bottom w:val="none" w:sz="0" w:space="0" w:color="auto"/>
        <w:right w:val="none" w:sz="0" w:space="0" w:color="auto"/>
      </w:divBdr>
    </w:div>
    <w:div w:id="1415588536">
      <w:bodyDiv w:val="1"/>
      <w:marLeft w:val="0"/>
      <w:marRight w:val="0"/>
      <w:marTop w:val="0"/>
      <w:marBottom w:val="0"/>
      <w:divBdr>
        <w:top w:val="none" w:sz="0" w:space="0" w:color="auto"/>
        <w:left w:val="none" w:sz="0" w:space="0" w:color="auto"/>
        <w:bottom w:val="none" w:sz="0" w:space="0" w:color="auto"/>
        <w:right w:val="none" w:sz="0" w:space="0" w:color="auto"/>
      </w:divBdr>
    </w:div>
    <w:div w:id="1432117137">
      <w:bodyDiv w:val="1"/>
      <w:marLeft w:val="0"/>
      <w:marRight w:val="0"/>
      <w:marTop w:val="0"/>
      <w:marBottom w:val="0"/>
      <w:divBdr>
        <w:top w:val="none" w:sz="0" w:space="0" w:color="auto"/>
        <w:left w:val="none" w:sz="0" w:space="0" w:color="auto"/>
        <w:bottom w:val="none" w:sz="0" w:space="0" w:color="auto"/>
        <w:right w:val="none" w:sz="0" w:space="0" w:color="auto"/>
      </w:divBdr>
    </w:div>
    <w:div w:id="1465850860">
      <w:bodyDiv w:val="1"/>
      <w:marLeft w:val="0"/>
      <w:marRight w:val="0"/>
      <w:marTop w:val="0"/>
      <w:marBottom w:val="0"/>
      <w:divBdr>
        <w:top w:val="none" w:sz="0" w:space="0" w:color="auto"/>
        <w:left w:val="none" w:sz="0" w:space="0" w:color="auto"/>
        <w:bottom w:val="none" w:sz="0" w:space="0" w:color="auto"/>
        <w:right w:val="none" w:sz="0" w:space="0" w:color="auto"/>
      </w:divBdr>
    </w:div>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1698773413">
      <w:bodyDiv w:val="1"/>
      <w:marLeft w:val="0"/>
      <w:marRight w:val="0"/>
      <w:marTop w:val="0"/>
      <w:marBottom w:val="0"/>
      <w:divBdr>
        <w:top w:val="none" w:sz="0" w:space="0" w:color="auto"/>
        <w:left w:val="none" w:sz="0" w:space="0" w:color="auto"/>
        <w:bottom w:val="none" w:sz="0" w:space="0" w:color="auto"/>
        <w:right w:val="none" w:sz="0" w:space="0" w:color="auto"/>
      </w:divBdr>
    </w:div>
    <w:div w:id="1712225746">
      <w:bodyDiv w:val="1"/>
      <w:marLeft w:val="0"/>
      <w:marRight w:val="0"/>
      <w:marTop w:val="0"/>
      <w:marBottom w:val="0"/>
      <w:divBdr>
        <w:top w:val="none" w:sz="0" w:space="0" w:color="auto"/>
        <w:left w:val="none" w:sz="0" w:space="0" w:color="auto"/>
        <w:bottom w:val="none" w:sz="0" w:space="0" w:color="auto"/>
        <w:right w:val="none" w:sz="0" w:space="0" w:color="auto"/>
      </w:divBdr>
      <w:divsChild>
        <w:div w:id="1740590758">
          <w:marLeft w:val="0"/>
          <w:marRight w:val="0"/>
          <w:marTop w:val="0"/>
          <w:marBottom w:val="0"/>
          <w:divBdr>
            <w:top w:val="none" w:sz="0" w:space="0" w:color="auto"/>
            <w:left w:val="none" w:sz="0" w:space="0" w:color="auto"/>
            <w:bottom w:val="none" w:sz="0" w:space="0" w:color="auto"/>
            <w:right w:val="none" w:sz="0" w:space="0" w:color="auto"/>
          </w:divBdr>
          <w:divsChild>
            <w:div w:id="14831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8242">
      <w:bodyDiv w:val="1"/>
      <w:marLeft w:val="0"/>
      <w:marRight w:val="0"/>
      <w:marTop w:val="0"/>
      <w:marBottom w:val="0"/>
      <w:divBdr>
        <w:top w:val="none" w:sz="0" w:space="0" w:color="auto"/>
        <w:left w:val="none" w:sz="0" w:space="0" w:color="auto"/>
        <w:bottom w:val="none" w:sz="0" w:space="0" w:color="auto"/>
        <w:right w:val="none" w:sz="0" w:space="0" w:color="auto"/>
      </w:divBdr>
    </w:div>
    <w:div w:id="1906454423">
      <w:bodyDiv w:val="1"/>
      <w:marLeft w:val="0"/>
      <w:marRight w:val="0"/>
      <w:marTop w:val="0"/>
      <w:marBottom w:val="0"/>
      <w:divBdr>
        <w:top w:val="none" w:sz="0" w:space="0" w:color="auto"/>
        <w:left w:val="none" w:sz="0" w:space="0" w:color="auto"/>
        <w:bottom w:val="none" w:sz="0" w:space="0" w:color="auto"/>
        <w:right w:val="none" w:sz="0" w:space="0" w:color="auto"/>
      </w:divBdr>
    </w:div>
    <w:div w:id="1913808472">
      <w:bodyDiv w:val="1"/>
      <w:marLeft w:val="0"/>
      <w:marRight w:val="0"/>
      <w:marTop w:val="0"/>
      <w:marBottom w:val="0"/>
      <w:divBdr>
        <w:top w:val="none" w:sz="0" w:space="0" w:color="auto"/>
        <w:left w:val="none" w:sz="0" w:space="0" w:color="auto"/>
        <w:bottom w:val="none" w:sz="0" w:space="0" w:color="auto"/>
        <w:right w:val="none" w:sz="0" w:space="0" w:color="auto"/>
      </w:divBdr>
    </w:div>
    <w:div w:id="201152442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7605\appdata\roaming\microsoft\skabeloner\SkabelonDesign\Interne%20LBST%20skabeloner\Internt%20notat.dotx" TargetMode="External"/></Relationships>
</file>

<file path=word/theme/theme1.xml><?xml version="1.0" encoding="utf-8"?>
<a:theme xmlns:a="http://schemas.openxmlformats.org/drawingml/2006/main" name="Kontortema">
  <a:themeElements>
    <a:clrScheme name="MFVM - NaturErhvervstyrelsen">
      <a:dk1>
        <a:srgbClr val="000000"/>
      </a:dk1>
      <a:lt1>
        <a:sysClr val="window" lastClr="FFFFFF"/>
      </a:lt1>
      <a:dk2>
        <a:srgbClr val="BFE9EC"/>
      </a:dk2>
      <a:lt2>
        <a:srgbClr val="E5F6F7"/>
      </a:lt2>
      <a:accent1>
        <a:srgbClr val="00A7B5"/>
      </a:accent1>
      <a:accent2>
        <a:srgbClr val="003127"/>
      </a:accent2>
      <a:accent3>
        <a:srgbClr val="33B99B"/>
      </a:accent3>
      <a:accent4>
        <a:srgbClr val="0085AD"/>
      </a:accent4>
      <a:accent5>
        <a:srgbClr val="EFDB6C"/>
      </a:accent5>
      <a:accent6>
        <a:srgbClr val="512D6D"/>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Internt notat.dotx</Template>
  <TotalTime>1</TotalTime>
  <Pages>14</Pages>
  <Words>5910</Words>
  <Characters>35866</Characters>
  <Application>Microsoft Office Word</Application>
  <DocSecurity>4</DocSecurity>
  <Lines>298</Lines>
  <Paragraphs>83</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Notat</vt:lpstr>
      <vt:lpstr>Notat</vt:lpstr>
      <vt:lpstr>Problemstilling</vt:lpstr>
      <vt:lpstr>Baggrund</vt:lpstr>
      <vt:lpstr>Løsning </vt:lpstr>
    </vt:vector>
  </TitlesOfParts>
  <Company>Miljøministeriet</Company>
  <LinksUpToDate>false</LinksUpToDate>
  <CharactersWithSpaces>41693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Per Thygesen Christensen</dc:creator>
  <cp:keywords/>
  <dc:description/>
  <cp:lastModifiedBy>Binh Thanh Pham</cp:lastModifiedBy>
  <cp:revision>2</cp:revision>
  <cp:lastPrinted>2016-04-08T09:59:00Z</cp:lastPrinted>
  <dcterms:created xsi:type="dcterms:W3CDTF">2023-11-29T07:38:00Z</dcterms:created>
  <dcterms:modified xsi:type="dcterms:W3CDTF">2023-11-29T07:38:00Z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Definition">
    <vt:lpwstr>Notat</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DocumentDate">
    <vt:lpwstr>44523</vt:lpwstr>
  </property>
  <property fmtid="{D5CDD505-2E9C-101B-9397-08002B2CF9AE}" pid="11" name="sdDocumentDateFormat">
    <vt:lpwstr>da-DK:'Den' d. MMMM yyyy</vt:lpwstr>
  </property>
  <property fmtid="{D5CDD505-2E9C-101B-9397-08002B2CF9AE}" pid="12" name="SD_DocumentLanguageString">
    <vt:lpwstr>Dansk</vt:lpwstr>
  </property>
  <property fmtid="{D5CDD505-2E9C-101B-9397-08002B2CF9AE}" pid="13" name="SD_CtlText_Usersettings_Userprofile">
    <vt:lpwstr>Brev PMV</vt:lpwstr>
  </property>
  <property fmtid="{D5CDD505-2E9C-101B-9397-08002B2CF9AE}" pid="14" name="SD_CtlText_Generelt_CaseNo">
    <vt:lpwstr>&lt;sagsnr&gt;</vt:lpwstr>
  </property>
  <property fmtid="{D5CDD505-2E9C-101B-9397-08002B2CF9AE}" pid="15" name="SD_UserprofileName">
    <vt:lpwstr>Brev PMV</vt:lpwstr>
  </property>
  <property fmtid="{D5CDD505-2E9C-101B-9397-08002B2CF9AE}" pid="16" name="SD_Office_OFF_ID">
    <vt:lpwstr>91</vt:lpwstr>
  </property>
  <property fmtid="{D5CDD505-2E9C-101B-9397-08002B2CF9AE}" pid="17" name="CurrentOfficeID">
    <vt:lpwstr>91</vt:lpwstr>
  </property>
  <property fmtid="{D5CDD505-2E9C-101B-9397-08002B2CF9AE}" pid="18" name="SD_Office_OFF_Organisation">
    <vt:lpwstr>LBST</vt:lpwstr>
  </property>
  <property fmtid="{D5CDD505-2E9C-101B-9397-08002B2CF9AE}" pid="19" name="SD_Office_OFF_ArtworkDefinition">
    <vt:lpwstr>FVM</vt:lpwstr>
  </property>
  <property fmtid="{D5CDD505-2E9C-101B-9397-08002B2CF9AE}" pid="20" name="SD_Office_OFF_LogoFileName">
    <vt:lpwstr>LBST</vt:lpwstr>
  </property>
  <property fmtid="{D5CDD505-2E9C-101B-9397-08002B2CF9AE}" pid="21" name="SD_Office_OFF_Institution">
    <vt:lpwstr>Landbrugsstyrelsen</vt:lpwstr>
  </property>
  <property fmtid="{D5CDD505-2E9C-101B-9397-08002B2CF9AE}" pid="22" name="SD_Office_OFF_Institution_EN">
    <vt:lpwstr>The Danish Agricultural Agency</vt:lpwstr>
  </property>
  <property fmtid="{D5CDD505-2E9C-101B-9397-08002B2CF9AE}" pid="23" name="SD_Office_OFF_kontor">
    <vt:lpwstr>Landbrugsstyrelsen</vt:lpwstr>
  </property>
  <property fmtid="{D5CDD505-2E9C-101B-9397-08002B2CF9AE}" pid="24" name="SD_Office_OFF_Department">
    <vt:lpwstr/>
  </property>
  <property fmtid="{D5CDD505-2E9C-101B-9397-08002B2CF9AE}" pid="25" name="SD_Office_OFF_Department_EN">
    <vt:lpwstr/>
  </property>
  <property fmtid="{D5CDD505-2E9C-101B-9397-08002B2CF9AE}" pid="26" name="SD_Office_OFF_Footertext">
    <vt:lpwstr/>
  </property>
  <property fmtid="{D5CDD505-2E9C-101B-9397-08002B2CF9AE}" pid="27" name="SD_Office_OFF_AddressA">
    <vt:lpwstr>Nyropsgade 30</vt:lpwstr>
  </property>
  <property fmtid="{D5CDD505-2E9C-101B-9397-08002B2CF9AE}" pid="28" name="SD_Office_OFF_AddressB">
    <vt:lpwstr/>
  </property>
  <property fmtid="{D5CDD505-2E9C-101B-9397-08002B2CF9AE}" pid="29" name="SD_Office_OFF_AddressC">
    <vt:lpwstr/>
  </property>
  <property fmtid="{D5CDD505-2E9C-101B-9397-08002B2CF9AE}" pid="30" name="SD_Office_OFF_AddressCollected">
    <vt:lpwstr>Nyropsgade 30</vt:lpwstr>
  </property>
  <property fmtid="{D5CDD505-2E9C-101B-9397-08002B2CF9AE}" pid="31" name="SD_Office_OFF_AddressD">
    <vt:lpwstr>1780</vt:lpwstr>
  </property>
  <property fmtid="{D5CDD505-2E9C-101B-9397-08002B2CF9AE}" pid="32" name="SD_Office_OFF_City">
    <vt:lpwstr>København V</vt:lpwstr>
  </property>
  <property fmtid="{D5CDD505-2E9C-101B-9397-08002B2CF9AE}" pid="33" name="SD_Office_OFF_City_EN">
    <vt:lpwstr>Copenhagen V Denmark</vt:lpwstr>
  </property>
  <property fmtid="{D5CDD505-2E9C-101B-9397-08002B2CF9AE}" pid="34" name="SD_Office_OFF_Phone">
    <vt:lpwstr>33 95 80 00</vt:lpwstr>
  </property>
  <property fmtid="{D5CDD505-2E9C-101B-9397-08002B2CF9AE}" pid="35" name="SD_Office_OFF_Phone_EN">
    <vt:lpwstr>+45 33 95 80 00</vt:lpwstr>
  </property>
  <property fmtid="{D5CDD505-2E9C-101B-9397-08002B2CF9AE}" pid="36" name="SD_Office_OFF_Fax">
    <vt:lpwstr/>
  </property>
  <property fmtid="{D5CDD505-2E9C-101B-9397-08002B2CF9AE}" pid="37" name="SD_Office_OFF_Fax_EN">
    <vt:lpwstr/>
  </property>
  <property fmtid="{D5CDD505-2E9C-101B-9397-08002B2CF9AE}" pid="38" name="SD_Office_OFF_Email">
    <vt:lpwstr>mail@lbst.dk</vt:lpwstr>
  </property>
  <property fmtid="{D5CDD505-2E9C-101B-9397-08002B2CF9AE}" pid="39" name="SD_Office_OFF_Web">
    <vt:lpwstr>www.lbst.dk</vt:lpwstr>
  </property>
  <property fmtid="{D5CDD505-2E9C-101B-9397-08002B2CF9AE}" pid="40" name="SD_Office_OFF_CVR">
    <vt:lpwstr>20814616</vt:lpwstr>
  </property>
  <property fmtid="{D5CDD505-2E9C-101B-9397-08002B2CF9AE}" pid="41" name="SD_Office_OFF_EAN">
    <vt:lpwstr>5798000877955</vt:lpwstr>
  </property>
  <property fmtid="{D5CDD505-2E9C-101B-9397-08002B2CF9AE}" pid="42" name="SD_Office_OFF_EAN_EN">
    <vt:lpwstr>5798000877955</vt:lpwstr>
  </property>
  <property fmtid="{D5CDD505-2E9C-101B-9397-08002B2CF9AE}" pid="43" name="SD_Office_OFF_ColorTheme">
    <vt:lpwstr>MFVM - NaturErhvervstyrelsen</vt:lpwstr>
  </property>
  <property fmtid="{D5CDD505-2E9C-101B-9397-08002B2CF9AE}" pid="44" name="LastCompletedArtworkDefinition">
    <vt:lpwstr>FVM</vt:lpwstr>
  </property>
  <property fmtid="{D5CDD505-2E9C-101B-9397-08002B2CF9AE}" pid="45" name="USR_Name">
    <vt:lpwstr>Per Thygesen Christensen</vt:lpwstr>
  </property>
  <property fmtid="{D5CDD505-2E9C-101B-9397-08002B2CF9AE}" pid="46" name="USR_Initials">
    <vt:lpwstr>PETHCH</vt:lpwstr>
  </property>
  <property fmtid="{D5CDD505-2E9C-101B-9397-08002B2CF9AE}" pid="47" name="USR_Title">
    <vt:lpwstr>Fuldmægtig</vt:lpwstr>
  </property>
  <property fmtid="{D5CDD505-2E9C-101B-9397-08002B2CF9AE}" pid="48" name="USR_DirectPhone">
    <vt:lpwstr/>
  </property>
  <property fmtid="{D5CDD505-2E9C-101B-9397-08002B2CF9AE}" pid="49" name="USR_Mobile">
    <vt:lpwstr>+45 20 16 14 91</vt:lpwstr>
  </property>
  <property fmtid="{D5CDD505-2E9C-101B-9397-08002B2CF9AE}" pid="50" name="USR_Email">
    <vt:lpwstr>PETHCH@lbst.dk</vt:lpwstr>
  </property>
  <property fmtid="{D5CDD505-2E9C-101B-9397-08002B2CF9AE}" pid="51" name="DocumentInfoFinished">
    <vt:lpwstr>True</vt:lpwstr>
  </property>
  <property fmtid="{D5CDD505-2E9C-101B-9397-08002B2CF9AE}" pid="52" name="SD_IntegrationInfoAdded">
    <vt:bool>true</vt:bool>
  </property>
</Properties>
</file>