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12E8178" w14:textId="77777777" w:rsidR="008A1DFA" w:rsidRDefault="008A1DFA" w:rsidP="008A1DFA">
      <w:pPr>
        <w:rPr>
          <w:rFonts w:asciiTheme="minorHAnsi" w:hAnsiTheme="minorHAnsi" w:cstheme="minorHAnsi"/>
        </w:rPr>
      </w:pPr>
    </w:p>
    <w:p w14:paraId="2D22A68B" w14:textId="0017BFE2" w:rsidR="008A1DFA" w:rsidRPr="008A1DFA" w:rsidRDefault="008A1DFA" w:rsidP="008A1DFA">
      <w:pPr>
        <w:pStyle w:val="Overskrift"/>
      </w:pPr>
      <w:r w:rsidRPr="008A1DFA">
        <w:t>DPPO Høringssvar t</w:t>
      </w:r>
      <w:r w:rsidRPr="008A1DFA">
        <w:t>il bekendtgørelse om refusion af CO2-afgifter til virksomheder, der bedriver erhvervsmæssigt fiskeri og vejledning</w:t>
      </w:r>
    </w:p>
    <w:p w14:paraId="384F2B33" w14:textId="77777777" w:rsidR="008A1DFA" w:rsidRDefault="008A1DFA" w:rsidP="008A1DFA">
      <w:pPr>
        <w:rPr>
          <w:rFonts w:asciiTheme="minorHAnsi" w:hAnsiTheme="minorHAnsi" w:cstheme="minorHAnsi"/>
        </w:rPr>
      </w:pPr>
      <w:r w:rsidRPr="008A1DFA">
        <w:rPr>
          <w:rFonts w:asciiTheme="minorHAnsi" w:hAnsiTheme="minorHAnsi" w:cstheme="minorHAnsi"/>
        </w:rPr>
        <w:t>DPPO glæder sig over, at der nu etableres en ordning, som skal sikre refusion af fiskeriets betaling af CO₂-afgift for 2025. Vi har nedenfor samlet en række forslag, der efter vores vurdering kan bidrage til, at ordningen gennemfører den politiske aftale om fuld kompensation på en enkel og hensigtsmæssig måde.</w:t>
      </w:r>
    </w:p>
    <w:p w14:paraId="5B9902C4" w14:textId="77777777" w:rsidR="008A1DFA" w:rsidRPr="008A1DFA" w:rsidRDefault="008A1DFA" w:rsidP="008A1DFA">
      <w:pPr>
        <w:rPr>
          <w:rFonts w:asciiTheme="minorHAnsi" w:hAnsiTheme="minorHAnsi" w:cstheme="minorHAnsi"/>
        </w:rPr>
      </w:pPr>
    </w:p>
    <w:p w14:paraId="50390B62" w14:textId="77777777" w:rsidR="008A1DFA" w:rsidRPr="008A1DFA" w:rsidRDefault="008A1DFA" w:rsidP="008A1DFA">
      <w:pPr>
        <w:rPr>
          <w:rFonts w:asciiTheme="minorHAnsi" w:hAnsiTheme="minorHAnsi" w:cstheme="minorHAnsi"/>
          <w:b/>
          <w:bCs/>
        </w:rPr>
      </w:pPr>
      <w:r w:rsidRPr="008A1DFA">
        <w:rPr>
          <w:rFonts w:asciiTheme="minorHAnsi" w:hAnsiTheme="minorHAnsi" w:cstheme="minorHAnsi"/>
          <w:b/>
          <w:bCs/>
        </w:rPr>
        <w:t>1. Fuld refusion skal sikres for alle berettigede ansøgere</w:t>
      </w:r>
    </w:p>
    <w:p w14:paraId="37768FDC" w14:textId="77777777" w:rsidR="008A1DFA" w:rsidRPr="008A1DFA" w:rsidRDefault="008A1DFA" w:rsidP="008A1DFA">
      <w:pPr>
        <w:rPr>
          <w:rFonts w:asciiTheme="minorHAnsi" w:hAnsiTheme="minorHAnsi" w:cstheme="minorHAnsi"/>
        </w:rPr>
      </w:pPr>
      <w:r w:rsidRPr="008A1DFA">
        <w:rPr>
          <w:rFonts w:asciiTheme="minorHAnsi" w:hAnsiTheme="minorHAnsi" w:cstheme="minorHAnsi"/>
        </w:rPr>
        <w:t>Det fremgår af den politiske aftale "En ny kurs for dansk fiskeri" af 2. juli 2025, at fiskerne skal kunne ansøge om fuld kompensation for den afgiftsbetaling, som CO₂-afgiften medfører i 2025. Vejledningen beskriver tilsvarende ordningens formål som, at erhvervsfiskerne samlet set kan få refunderet hele den afholdte betaling.</w:t>
      </w:r>
    </w:p>
    <w:p w14:paraId="5A79BBEB" w14:textId="77777777" w:rsidR="008A1DFA" w:rsidRPr="008A1DFA" w:rsidRDefault="008A1DFA" w:rsidP="008A1DFA">
      <w:pPr>
        <w:rPr>
          <w:rFonts w:asciiTheme="minorHAnsi" w:hAnsiTheme="minorHAnsi" w:cstheme="minorHAnsi"/>
        </w:rPr>
      </w:pPr>
      <w:r w:rsidRPr="008A1DFA">
        <w:rPr>
          <w:rFonts w:asciiTheme="minorHAnsi" w:hAnsiTheme="minorHAnsi" w:cstheme="minorHAnsi"/>
        </w:rPr>
        <w:t>Dette harmonerer ikke med bekendtgørelsesudkastets § 8, stk. 3, hvorefter ansøgninger prioriteres efter modtagelsestidspunkt, og refusion kun udbetales, indtil den bevillingsmæssige ramme er opbrugt. En først-til-mølle-model indebærer, at to virksomheder i samme situation kan blive behandlet forskelligt alene på grund af tidspunktet for indsendelse. Det er særligt uhensigtsmæssigt, når ansøgningen forudsætter omfattende dokumentation og eventuel bistand fra revisor og leverandører.</w:t>
      </w:r>
    </w:p>
    <w:p w14:paraId="0B2B0DC7" w14:textId="77777777" w:rsidR="008A1DFA" w:rsidRPr="008A1DFA" w:rsidRDefault="008A1DFA" w:rsidP="008A1DFA">
      <w:pPr>
        <w:rPr>
          <w:rFonts w:asciiTheme="minorHAnsi" w:hAnsiTheme="minorHAnsi" w:cstheme="minorHAnsi"/>
        </w:rPr>
      </w:pPr>
      <w:r w:rsidRPr="008A1DFA">
        <w:rPr>
          <w:rFonts w:asciiTheme="minorHAnsi" w:hAnsiTheme="minorHAnsi" w:cstheme="minorHAnsi"/>
        </w:rPr>
        <w:t xml:space="preserve">DPPO opfordrer derfor til, at alle rettidige og berettigede ansøgninger imødekommes fuldt ud. Hvis de samlede ansøgninger overstiger de afsatte 125 mio. kr., bør der tilføres de nødvendige midler, så den politiske aftale gennemføres som forudsat. § 8, stk. 3, bør derfor udgå eller ændres, så bevillingsrammen ikke begrænser den enkelte ansøgers ret til fuld refusion. </w:t>
      </w:r>
    </w:p>
    <w:p w14:paraId="1EB3F072" w14:textId="77777777" w:rsidR="008A1DFA" w:rsidRDefault="008A1DFA" w:rsidP="008A1DFA">
      <w:pPr>
        <w:rPr>
          <w:rFonts w:asciiTheme="minorHAnsi" w:hAnsiTheme="minorHAnsi" w:cstheme="minorHAnsi"/>
        </w:rPr>
      </w:pPr>
    </w:p>
    <w:p w14:paraId="0DBC31E2" w14:textId="180BFB49" w:rsidR="008A1DFA" w:rsidRPr="008A1DFA" w:rsidRDefault="008A1DFA" w:rsidP="008A1DFA">
      <w:pPr>
        <w:rPr>
          <w:rFonts w:asciiTheme="minorHAnsi" w:hAnsiTheme="minorHAnsi" w:cstheme="minorHAnsi"/>
          <w:b/>
          <w:bCs/>
        </w:rPr>
      </w:pPr>
      <w:r w:rsidRPr="008A1DFA">
        <w:rPr>
          <w:rFonts w:asciiTheme="minorHAnsi" w:hAnsiTheme="minorHAnsi" w:cstheme="minorHAnsi"/>
          <w:b/>
          <w:bCs/>
        </w:rPr>
        <w:t>2. Forenkling af kravet om revisorerklæring</w:t>
      </w:r>
    </w:p>
    <w:p w14:paraId="07D2737C" w14:textId="77777777" w:rsidR="008A1DFA" w:rsidRPr="008A1DFA" w:rsidRDefault="008A1DFA" w:rsidP="008A1DFA">
      <w:pPr>
        <w:rPr>
          <w:rFonts w:asciiTheme="minorHAnsi" w:hAnsiTheme="minorHAnsi" w:cstheme="minorHAnsi"/>
        </w:rPr>
      </w:pPr>
      <w:r w:rsidRPr="008A1DFA">
        <w:rPr>
          <w:rFonts w:asciiTheme="minorHAnsi" w:hAnsiTheme="minorHAnsi" w:cstheme="minorHAnsi"/>
        </w:rPr>
        <w:t>Efter § 5, stk. 2, skal ansøgninger om mere end 50.000 kr. ledsages af en revisorerklæring. Samtidig skal ansøger efter dokumentationsmodel 1 indsende en bilagsoversigt, samtlige relevante fakturaer og betalingsdokumentation for hver faktura. Myndigheden får dermed allerede det fulde grundlag for at kontrollere opgørelsen.</w:t>
      </w:r>
    </w:p>
    <w:p w14:paraId="2FA5215B" w14:textId="51F5457D" w:rsidR="008A1DFA" w:rsidRPr="008A1DFA" w:rsidRDefault="008A1DFA" w:rsidP="008A1DFA">
      <w:pPr>
        <w:rPr>
          <w:rFonts w:asciiTheme="minorHAnsi" w:hAnsiTheme="minorHAnsi" w:cstheme="minorHAnsi"/>
        </w:rPr>
      </w:pPr>
      <w:r w:rsidRPr="008A1DFA">
        <w:rPr>
          <w:rFonts w:asciiTheme="minorHAnsi" w:hAnsiTheme="minorHAnsi" w:cstheme="minorHAnsi"/>
        </w:rPr>
        <w:t xml:space="preserve">Da myndigheden dermed allerede modtager det fulde bilagsgrundlag, forekommer revisorerklæringen at være en ekstra kontrol af de samme oplysninger. Kravet medfører samtidig en yderligere udgift for virksomhederne og kan forlænge den tid, der er nødvendig for at færdiggøre ansøgningen. Udgiften kan ifølge vejledningen ikke refunderes. </w:t>
      </w:r>
    </w:p>
    <w:p w14:paraId="6CFD7A92" w14:textId="77777777" w:rsidR="008A1DFA" w:rsidRDefault="008A1DFA" w:rsidP="008A1DFA">
      <w:pPr>
        <w:rPr>
          <w:rFonts w:asciiTheme="minorHAnsi" w:hAnsiTheme="minorHAnsi" w:cstheme="minorHAnsi"/>
        </w:rPr>
      </w:pPr>
      <w:r w:rsidRPr="008A1DFA">
        <w:rPr>
          <w:rFonts w:asciiTheme="minorHAnsi" w:hAnsiTheme="minorHAnsi" w:cstheme="minorHAnsi"/>
        </w:rPr>
        <w:t xml:space="preserve">DPPO foreslår på den baggrund, at § 5, stk. 2, udgår. Myndighedens kontrolbehov kan fortsat varetages gennem bilagene og muligheden i § 7 for at indhente supplerende oplysninger i konkrete sager. </w:t>
      </w:r>
    </w:p>
    <w:p w14:paraId="6525091E" w14:textId="77777777" w:rsidR="008A1DFA" w:rsidRPr="008A1DFA" w:rsidRDefault="008A1DFA" w:rsidP="008A1DFA">
      <w:pPr>
        <w:rPr>
          <w:rFonts w:asciiTheme="minorHAnsi" w:hAnsiTheme="minorHAnsi" w:cstheme="minorHAnsi"/>
        </w:rPr>
      </w:pPr>
    </w:p>
    <w:p w14:paraId="53541D10" w14:textId="77777777" w:rsidR="008A1DFA" w:rsidRPr="008A1DFA" w:rsidRDefault="008A1DFA" w:rsidP="008A1DFA">
      <w:pPr>
        <w:rPr>
          <w:rFonts w:asciiTheme="minorHAnsi" w:hAnsiTheme="minorHAnsi" w:cstheme="minorHAnsi"/>
          <w:b/>
          <w:bCs/>
        </w:rPr>
      </w:pPr>
      <w:r w:rsidRPr="008A1DFA">
        <w:rPr>
          <w:rFonts w:asciiTheme="minorHAnsi" w:hAnsiTheme="minorHAnsi" w:cstheme="minorHAnsi"/>
          <w:b/>
          <w:bCs/>
        </w:rPr>
        <w:t>3. Mere målrettede dokumentationskrav</w:t>
      </w:r>
    </w:p>
    <w:p w14:paraId="5CEBC98D" w14:textId="77777777" w:rsidR="008A1DFA" w:rsidRPr="008A1DFA" w:rsidRDefault="008A1DFA" w:rsidP="008A1DFA">
      <w:pPr>
        <w:rPr>
          <w:rFonts w:asciiTheme="minorHAnsi" w:hAnsiTheme="minorHAnsi" w:cstheme="minorHAnsi"/>
        </w:rPr>
      </w:pPr>
      <w:r w:rsidRPr="008A1DFA">
        <w:rPr>
          <w:rFonts w:asciiTheme="minorHAnsi" w:hAnsiTheme="minorHAnsi" w:cstheme="minorHAnsi"/>
        </w:rPr>
        <w:t xml:space="preserve">Vejledningen kræver blandt andet oplysning om leveringssted og om, hvilket fartøj produktet er leveret til og anvendt på. Det sidste krav gentages i bekendtgørelsens bilag 1. Oplysningerne vil </w:t>
      </w:r>
      <w:r w:rsidRPr="008A1DFA">
        <w:rPr>
          <w:rFonts w:asciiTheme="minorHAnsi" w:hAnsiTheme="minorHAnsi" w:cstheme="minorHAnsi"/>
        </w:rPr>
        <w:lastRenderedPageBreak/>
        <w:t>ikke nødvendigvis fremgå af fakturaer eller olieselskabernes almindelige kontoudtog og kan derfor kræve en omfattende manuel gennemgang hos både ansøgere og leverandører.</w:t>
      </w:r>
    </w:p>
    <w:p w14:paraId="5C9FFEC9" w14:textId="77777777" w:rsidR="008A1DFA" w:rsidRPr="008A1DFA" w:rsidRDefault="008A1DFA" w:rsidP="008A1DFA">
      <w:pPr>
        <w:rPr>
          <w:rFonts w:asciiTheme="minorHAnsi" w:hAnsiTheme="minorHAnsi" w:cstheme="minorHAnsi"/>
        </w:rPr>
      </w:pPr>
      <w:r w:rsidRPr="008A1DFA">
        <w:rPr>
          <w:rFonts w:asciiTheme="minorHAnsi" w:hAnsiTheme="minorHAnsi" w:cstheme="minorHAnsi"/>
        </w:rPr>
        <w:t xml:space="preserve">For en refusionsordning bør dokumentationen målrettes de oplysninger, der er afgørende for refusionsbeløbets størrelse og for at fastslå, at indkøbet vedrører erhvervsmæssigt fiskeri. DPPO anbefaler derfor, at krav om leveringssted og identifikation af det konkrete fartøj udgår som obligatoriske oplysninger og det samtidig overvejes om nogle af de andre listede oplysninger ligeledes er nødvendige. </w:t>
      </w:r>
    </w:p>
    <w:p w14:paraId="00FE59B0" w14:textId="77777777" w:rsidR="008A1DFA" w:rsidRDefault="008A1DFA" w:rsidP="008A1DFA">
      <w:pPr>
        <w:rPr>
          <w:rFonts w:asciiTheme="minorHAnsi" w:hAnsiTheme="minorHAnsi" w:cstheme="minorHAnsi"/>
        </w:rPr>
      </w:pPr>
      <w:r w:rsidRPr="008A1DFA">
        <w:rPr>
          <w:rFonts w:asciiTheme="minorHAnsi" w:hAnsiTheme="minorHAnsi" w:cstheme="minorHAnsi"/>
        </w:rPr>
        <w:t xml:space="preserve">Hvis der i en konkret sag opstår tvivl om anvendelsen, vil myndigheden fortsat kunne indhente yderligere oplysninger efter § 7. En sådan risikobaseret tilgang vil efter </w:t>
      </w:r>
      <w:proofErr w:type="spellStart"/>
      <w:r w:rsidRPr="008A1DFA">
        <w:rPr>
          <w:rFonts w:asciiTheme="minorHAnsi" w:hAnsiTheme="minorHAnsi" w:cstheme="minorHAnsi"/>
        </w:rPr>
        <w:t>DPPO's</w:t>
      </w:r>
      <w:proofErr w:type="spellEnd"/>
      <w:r w:rsidRPr="008A1DFA">
        <w:rPr>
          <w:rFonts w:asciiTheme="minorHAnsi" w:hAnsiTheme="minorHAnsi" w:cstheme="minorHAnsi"/>
        </w:rPr>
        <w:t xml:space="preserve"> vurdering skabe en god balance mellem kontrolhensynet og ønsket om en enkel ansøgningsproces.</w:t>
      </w:r>
    </w:p>
    <w:p w14:paraId="7F5889A2" w14:textId="77777777" w:rsidR="008A1DFA" w:rsidRPr="008A1DFA" w:rsidRDefault="008A1DFA" w:rsidP="008A1DFA">
      <w:pPr>
        <w:rPr>
          <w:rFonts w:asciiTheme="minorHAnsi" w:hAnsiTheme="minorHAnsi" w:cstheme="minorHAnsi"/>
        </w:rPr>
      </w:pPr>
    </w:p>
    <w:p w14:paraId="38C3614C" w14:textId="77777777" w:rsidR="008A1DFA" w:rsidRPr="008A1DFA" w:rsidRDefault="008A1DFA" w:rsidP="008A1DFA">
      <w:pPr>
        <w:rPr>
          <w:rFonts w:asciiTheme="minorHAnsi" w:hAnsiTheme="minorHAnsi" w:cstheme="minorHAnsi"/>
          <w:b/>
          <w:bCs/>
        </w:rPr>
      </w:pPr>
      <w:r w:rsidRPr="008A1DFA">
        <w:rPr>
          <w:rFonts w:asciiTheme="minorHAnsi" w:hAnsiTheme="minorHAnsi" w:cstheme="minorHAnsi"/>
          <w:b/>
          <w:bCs/>
        </w:rPr>
        <w:t>4. Kontoudtog fra olieselskaber</w:t>
      </w:r>
    </w:p>
    <w:p w14:paraId="3A786878" w14:textId="77777777" w:rsidR="008A1DFA" w:rsidRDefault="008A1DFA" w:rsidP="008A1DFA">
      <w:pPr>
        <w:rPr>
          <w:rFonts w:asciiTheme="minorHAnsi" w:hAnsiTheme="minorHAnsi" w:cstheme="minorHAnsi"/>
        </w:rPr>
      </w:pPr>
      <w:r w:rsidRPr="008A1DFA">
        <w:rPr>
          <w:rFonts w:asciiTheme="minorHAnsi" w:hAnsiTheme="minorHAnsi" w:cstheme="minorHAnsi"/>
        </w:rPr>
        <w:t>DPPO ser positivt på dokumentationsmodel 2, som kan blive en væsentlig forenkling for både virksomheder og myndighed. For at modellen kan få den tilsigtede virkning, foreslår vi, at den også kan anvendes, når et olieselskabs standardkontoudtog ikke indeholder alle de særlige oplysninger, som udkastet kræver, hvis oplysningerne i stedet kan suppleres af ansøgeren. Det vil også være hensigtsmæssigt at tillade supplerende dokumentation for enkelte leverancer uden at kræve, at hele ansøgningen overgår til model 1.</w:t>
      </w:r>
    </w:p>
    <w:p w14:paraId="12C07055" w14:textId="77777777" w:rsidR="008A1DFA" w:rsidRPr="008A1DFA" w:rsidRDefault="008A1DFA" w:rsidP="008A1DFA">
      <w:pPr>
        <w:rPr>
          <w:rFonts w:asciiTheme="minorHAnsi" w:hAnsiTheme="minorHAnsi" w:cstheme="minorHAnsi"/>
        </w:rPr>
      </w:pPr>
    </w:p>
    <w:p w14:paraId="384C89F4" w14:textId="77777777" w:rsidR="008A1DFA" w:rsidRPr="008A1DFA" w:rsidRDefault="008A1DFA" w:rsidP="008A1DFA">
      <w:pPr>
        <w:rPr>
          <w:rFonts w:asciiTheme="minorHAnsi" w:hAnsiTheme="minorHAnsi" w:cstheme="minorHAnsi"/>
          <w:b/>
          <w:bCs/>
        </w:rPr>
      </w:pPr>
      <w:r w:rsidRPr="008A1DFA">
        <w:rPr>
          <w:rFonts w:asciiTheme="minorHAnsi" w:hAnsiTheme="minorHAnsi" w:cstheme="minorHAnsi"/>
          <w:b/>
          <w:bCs/>
        </w:rPr>
        <w:t>5. Andre bemærkninger</w:t>
      </w:r>
    </w:p>
    <w:p w14:paraId="6B551E9E" w14:textId="77777777" w:rsidR="008A1DFA" w:rsidRPr="008A1DFA" w:rsidRDefault="008A1DFA" w:rsidP="008A1DFA">
      <w:pPr>
        <w:rPr>
          <w:rFonts w:asciiTheme="minorHAnsi" w:hAnsiTheme="minorHAnsi" w:cstheme="minorHAnsi"/>
          <w:u w:val="single"/>
        </w:rPr>
      </w:pPr>
      <w:r w:rsidRPr="008A1DFA">
        <w:rPr>
          <w:rFonts w:asciiTheme="minorHAnsi" w:hAnsiTheme="minorHAnsi" w:cstheme="minorHAnsi"/>
          <w:u w:val="single"/>
        </w:rPr>
        <w:t>Mulighed for at berigtige mangler</w:t>
      </w:r>
    </w:p>
    <w:p w14:paraId="3B849074" w14:textId="77777777" w:rsidR="008A1DFA" w:rsidRDefault="008A1DFA" w:rsidP="008A1DFA">
      <w:pPr>
        <w:rPr>
          <w:rFonts w:asciiTheme="minorHAnsi" w:hAnsiTheme="minorHAnsi" w:cstheme="minorHAnsi"/>
        </w:rPr>
      </w:pPr>
      <w:r w:rsidRPr="008A1DFA">
        <w:rPr>
          <w:rFonts w:asciiTheme="minorHAnsi" w:hAnsiTheme="minorHAnsi" w:cstheme="minorHAnsi"/>
        </w:rPr>
        <w:t xml:space="preserve">Udkastets § 8, stk. 2, giver mulighed for afslag, hvis oplysninger eller dokumentation mangler. For at understøtte en smidig administration foreslår DPPO, at det præciseres i bekendtgørelsen og vejledningen, at ansøgeren som udgangspunkt får en rimelig frist til at supplere eller berigtige ansøgningen, før der træffes afgørelse. På den måde undgås det, at mindre formelle fejl får uforholdsmæssigt store konsekvenser. </w:t>
      </w:r>
    </w:p>
    <w:p w14:paraId="18806C0D" w14:textId="77777777" w:rsidR="008A1DFA" w:rsidRPr="008A1DFA" w:rsidRDefault="008A1DFA" w:rsidP="008A1DFA">
      <w:pPr>
        <w:rPr>
          <w:rFonts w:asciiTheme="minorHAnsi" w:hAnsiTheme="minorHAnsi" w:cstheme="minorHAnsi"/>
        </w:rPr>
      </w:pPr>
    </w:p>
    <w:p w14:paraId="67A6921F" w14:textId="77777777" w:rsidR="008A1DFA" w:rsidRPr="008A1DFA" w:rsidRDefault="008A1DFA" w:rsidP="008A1DFA">
      <w:pPr>
        <w:rPr>
          <w:rFonts w:asciiTheme="minorHAnsi" w:hAnsiTheme="minorHAnsi" w:cstheme="minorHAnsi"/>
          <w:u w:val="single"/>
        </w:rPr>
      </w:pPr>
      <w:r w:rsidRPr="008A1DFA">
        <w:rPr>
          <w:rFonts w:asciiTheme="minorHAnsi" w:hAnsiTheme="minorHAnsi" w:cstheme="minorHAnsi"/>
          <w:u w:val="single"/>
        </w:rPr>
        <w:t>Konsekvenser af fejl eller mangler i enkelte bilag</w:t>
      </w:r>
    </w:p>
    <w:p w14:paraId="7C40A33F" w14:textId="77777777" w:rsidR="008A1DFA" w:rsidRPr="008A1DFA" w:rsidRDefault="008A1DFA" w:rsidP="008A1DFA">
      <w:pPr>
        <w:rPr>
          <w:rFonts w:asciiTheme="minorHAnsi" w:hAnsiTheme="minorHAnsi" w:cstheme="minorHAnsi"/>
        </w:rPr>
      </w:pPr>
      <w:r w:rsidRPr="008A1DFA">
        <w:rPr>
          <w:rFonts w:asciiTheme="minorHAnsi" w:hAnsiTheme="minorHAnsi" w:cstheme="minorHAnsi"/>
        </w:rPr>
        <w:t>Det fremgår ikke klart af bekendtgørelsen eller vejledningen, om en fejl eller mangel i et enkelt bilag kan medføre afslag på hele ansøgningen, eller om afslaget alene vedrører den del af refusionsbeløbet, som ikke er tilstrækkeligt dokumenteret.</w:t>
      </w:r>
    </w:p>
    <w:p w14:paraId="56C3AEFB" w14:textId="77777777" w:rsidR="008A1DFA" w:rsidRDefault="008A1DFA" w:rsidP="008A1DFA">
      <w:pPr>
        <w:rPr>
          <w:rFonts w:asciiTheme="minorHAnsi" w:hAnsiTheme="minorHAnsi" w:cstheme="minorHAnsi"/>
        </w:rPr>
      </w:pPr>
      <w:r w:rsidRPr="008A1DFA">
        <w:rPr>
          <w:rFonts w:asciiTheme="minorHAnsi" w:hAnsiTheme="minorHAnsi" w:cstheme="minorHAnsi"/>
        </w:rPr>
        <w:t>DPPO foreslår, at det præciseres, at fejl eller mangler i et enkelt bilag som udgangspunkt alene kan få betydning for den konkrete udgift. Ansøgeren bør desuden have en rimelig frist til at supplere eller rette dokumentationen, inden myndigheden træffer afgørelse. Hele ansøgningen bør kun kunne afslås, hvis manglerne er væsentlige for vurderingen af den samlede ansøgning.</w:t>
      </w:r>
    </w:p>
    <w:p w14:paraId="3F1F733B" w14:textId="77777777" w:rsidR="008A1DFA" w:rsidRPr="008A1DFA" w:rsidRDefault="008A1DFA" w:rsidP="008A1DFA">
      <w:pPr>
        <w:rPr>
          <w:rFonts w:asciiTheme="minorHAnsi" w:hAnsiTheme="minorHAnsi" w:cstheme="minorHAnsi"/>
        </w:rPr>
      </w:pPr>
    </w:p>
    <w:p w14:paraId="2C1CC035" w14:textId="77777777" w:rsidR="008A1DFA" w:rsidRPr="008A1DFA" w:rsidRDefault="008A1DFA" w:rsidP="008A1DFA">
      <w:pPr>
        <w:rPr>
          <w:rFonts w:asciiTheme="minorHAnsi" w:hAnsiTheme="minorHAnsi" w:cstheme="minorHAnsi"/>
          <w:u w:val="single"/>
        </w:rPr>
      </w:pPr>
      <w:r w:rsidRPr="008A1DFA">
        <w:rPr>
          <w:rFonts w:asciiTheme="minorHAnsi" w:hAnsiTheme="minorHAnsi" w:cstheme="minorHAnsi"/>
          <w:u w:val="single"/>
        </w:rPr>
        <w:t>Ensartethed mellem bekendtgørelse og vejledning</w:t>
      </w:r>
    </w:p>
    <w:p w14:paraId="66066FBE" w14:textId="77777777" w:rsidR="008A1DFA" w:rsidRDefault="008A1DFA" w:rsidP="008A1DFA">
      <w:pPr>
        <w:rPr>
          <w:rFonts w:asciiTheme="minorHAnsi" w:hAnsiTheme="minorHAnsi" w:cstheme="minorHAnsi"/>
        </w:rPr>
      </w:pPr>
      <w:r w:rsidRPr="008A1DFA">
        <w:rPr>
          <w:rFonts w:asciiTheme="minorHAnsi" w:hAnsiTheme="minorHAnsi" w:cstheme="minorHAnsi"/>
        </w:rPr>
        <w:t xml:space="preserve">DPPO bemærker, at vejledningen kræver oplysning om leveringssted, mens dette ikke fremgår af bekendtgørelsens bilag 1. Det bør således fjernes fra vejledningen. </w:t>
      </w:r>
    </w:p>
    <w:p w14:paraId="3E69AC04" w14:textId="77777777" w:rsidR="008A1DFA" w:rsidRDefault="008A1DFA" w:rsidP="008A1DFA">
      <w:pPr>
        <w:rPr>
          <w:rFonts w:asciiTheme="minorHAnsi" w:hAnsiTheme="minorHAnsi" w:cstheme="minorHAnsi"/>
        </w:rPr>
      </w:pPr>
    </w:p>
    <w:p w14:paraId="111A356E" w14:textId="77777777" w:rsidR="006D2C8D" w:rsidRPr="008A1DFA" w:rsidRDefault="006D2C8D" w:rsidP="008A1DFA">
      <w:pPr>
        <w:rPr>
          <w:rFonts w:asciiTheme="minorHAnsi" w:hAnsiTheme="minorHAnsi" w:cstheme="minorHAnsi"/>
        </w:rPr>
      </w:pPr>
    </w:p>
    <w:p w14:paraId="36386085" w14:textId="2A28E73E" w:rsidR="00047DE5" w:rsidRPr="008A1DFA" w:rsidRDefault="008A1DFA" w:rsidP="007872C9">
      <w:pPr>
        <w:rPr>
          <w:rFonts w:asciiTheme="minorHAnsi" w:hAnsiTheme="minorHAnsi" w:cstheme="minorHAnsi"/>
        </w:rPr>
      </w:pPr>
      <w:r w:rsidRPr="008A1DFA">
        <w:rPr>
          <w:rFonts w:asciiTheme="minorHAnsi" w:hAnsiTheme="minorHAnsi" w:cstheme="minorHAnsi"/>
        </w:rPr>
        <w:t>DPPO står naturligvis til rådighed for en nærmere drøftelse af bemærkningerne.</w:t>
      </w:r>
    </w:p>
    <w:sectPr w:rsidR="00047DE5" w:rsidRPr="008A1DFA">
      <w:headerReference w:type="default" r:id="rId8"/>
      <w:footerReference w:type="default" r:id="rId9"/>
      <w:pgSz w:w="11906" w:h="16838"/>
      <w:pgMar w:top="1693" w:right="1134" w:bottom="1693" w:left="1134" w:header="1134" w:footer="1134"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AD722" w14:textId="77777777" w:rsidR="00166771" w:rsidRDefault="00166771">
      <w:r>
        <w:separator/>
      </w:r>
    </w:p>
  </w:endnote>
  <w:endnote w:type="continuationSeparator" w:id="0">
    <w:p w14:paraId="60A379CE" w14:textId="77777777" w:rsidR="00166771" w:rsidRDefault="00166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Roboto Light">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Light" w:hAnsi="Roboto Light"/>
        <w:sz w:val="22"/>
        <w:szCs w:val="22"/>
      </w:rPr>
      <w:id w:val="-514454853"/>
      <w:docPartObj>
        <w:docPartGallery w:val="Page Numbers (Bottom of Page)"/>
        <w:docPartUnique/>
      </w:docPartObj>
    </w:sdtPr>
    <w:sdtContent>
      <w:p w14:paraId="043893D0" w14:textId="4561C09A" w:rsidR="008008B9" w:rsidRPr="004649CA" w:rsidRDefault="008008B9" w:rsidP="004649CA">
        <w:pPr>
          <w:pStyle w:val="Sidefod"/>
          <w:jc w:val="center"/>
          <w:rPr>
            <w:rFonts w:ascii="Roboto Light" w:hAnsi="Roboto Light"/>
            <w:sz w:val="22"/>
            <w:szCs w:val="22"/>
          </w:rPr>
        </w:pPr>
        <w:r w:rsidRPr="004649CA">
          <w:rPr>
            <w:rFonts w:ascii="Roboto Light" w:hAnsi="Roboto Light"/>
            <w:sz w:val="22"/>
            <w:szCs w:val="22"/>
          </w:rPr>
          <w:fldChar w:fldCharType="begin"/>
        </w:r>
        <w:r w:rsidRPr="004649CA">
          <w:rPr>
            <w:rFonts w:ascii="Roboto Light" w:hAnsi="Roboto Light"/>
            <w:sz w:val="22"/>
            <w:szCs w:val="22"/>
          </w:rPr>
          <w:instrText>PAGE   \* MERGEFORMAT</w:instrText>
        </w:r>
        <w:r w:rsidRPr="004649CA">
          <w:rPr>
            <w:rFonts w:ascii="Roboto Light" w:hAnsi="Roboto Light"/>
            <w:sz w:val="22"/>
            <w:szCs w:val="22"/>
          </w:rPr>
          <w:fldChar w:fldCharType="separate"/>
        </w:r>
        <w:r w:rsidRPr="004649CA">
          <w:rPr>
            <w:rFonts w:ascii="Roboto Light" w:hAnsi="Roboto Light"/>
            <w:sz w:val="22"/>
            <w:szCs w:val="22"/>
          </w:rPr>
          <w:t>2</w:t>
        </w:r>
        <w:r w:rsidRPr="004649CA">
          <w:rPr>
            <w:rFonts w:ascii="Roboto Light" w:hAnsi="Roboto Light"/>
            <w:sz w:val="22"/>
            <w:szCs w:val="22"/>
          </w:rPr>
          <w:fldChar w:fldCharType="end"/>
        </w:r>
        <w:r w:rsidR="00486BD0">
          <w:rPr>
            <w:rFonts w:ascii="Roboto Light" w:hAnsi="Roboto Light"/>
            <w:sz w:val="22"/>
            <w:szCs w:val="22"/>
          </w:rPr>
          <w:br/>
        </w:r>
      </w:p>
    </w:sdtContent>
  </w:sdt>
  <w:p w14:paraId="702F87C5" w14:textId="58A2241B" w:rsidR="004649CA" w:rsidRPr="004649CA" w:rsidRDefault="004649CA" w:rsidP="004649CA">
    <w:pPr>
      <w:widowControl/>
      <w:suppressAutoHyphens w:val="0"/>
      <w:jc w:val="center"/>
      <w:rPr>
        <w:rFonts w:ascii="Roboto Light" w:eastAsia="Times New Roman" w:hAnsi="Roboto Light" w:cs="Times New Roman"/>
        <w:kern w:val="0"/>
        <w:sz w:val="22"/>
        <w:szCs w:val="22"/>
        <w:lang w:eastAsia="da-DK" w:bidi="ar-SA"/>
      </w:rPr>
    </w:pPr>
    <w:r w:rsidRPr="004649CA">
      <w:rPr>
        <w:rFonts w:ascii="Roboto Light" w:eastAsia="Times New Roman" w:hAnsi="Roboto Light" w:cs="Arial"/>
        <w:color w:val="0F3A4B"/>
        <w:kern w:val="0"/>
        <w:sz w:val="22"/>
        <w:szCs w:val="22"/>
        <w:shd w:val="clear" w:color="auto" w:fill="FFFFFF"/>
        <w:lang w:eastAsia="da-DK" w:bidi="ar-SA"/>
      </w:rPr>
      <w:t xml:space="preserve">Danmarks Pelagiske Producentorganisation </w:t>
    </w:r>
    <w:r w:rsidR="00110621">
      <w:rPr>
        <w:rFonts w:ascii="Roboto Light" w:eastAsia="Times New Roman" w:hAnsi="Roboto Light" w:cs="Arial"/>
        <w:color w:val="0F3A4B"/>
        <w:kern w:val="0"/>
        <w:sz w:val="22"/>
        <w:szCs w:val="22"/>
        <w:shd w:val="clear" w:color="auto" w:fill="FFFFFF"/>
        <w:lang w:eastAsia="da-DK" w:bidi="ar-SA"/>
      </w:rPr>
      <w:t>–</w:t>
    </w:r>
    <w:r w:rsidRPr="004649CA">
      <w:rPr>
        <w:rFonts w:ascii="Roboto Light" w:eastAsia="Times New Roman" w:hAnsi="Roboto Light" w:cs="Arial"/>
        <w:color w:val="0F3A4B"/>
        <w:kern w:val="0"/>
        <w:sz w:val="22"/>
        <w:szCs w:val="22"/>
        <w:shd w:val="clear" w:color="auto" w:fill="FFFFFF"/>
        <w:lang w:eastAsia="da-DK" w:bidi="ar-SA"/>
      </w:rPr>
      <w:t xml:space="preserve"> </w:t>
    </w:r>
    <w:r w:rsidR="00986F4A" w:rsidRPr="00986F4A">
      <w:rPr>
        <w:rFonts w:ascii="Roboto Light" w:eastAsia="Times New Roman" w:hAnsi="Roboto Light" w:cs="Arial"/>
        <w:color w:val="0F3A4B"/>
        <w:kern w:val="0"/>
        <w:sz w:val="22"/>
        <w:szCs w:val="22"/>
        <w:shd w:val="clear" w:color="auto" w:fill="FFFFFF"/>
        <w:lang w:eastAsia="da-DK" w:bidi="ar-SA"/>
      </w:rPr>
      <w:t>Vester Farimagsgade 1, 3. sal</w:t>
    </w:r>
    <w:r w:rsidR="00986F4A">
      <w:rPr>
        <w:rFonts w:ascii="Roboto Light" w:eastAsia="Times New Roman" w:hAnsi="Roboto Light" w:cs="Arial"/>
        <w:color w:val="0F3A4B"/>
        <w:kern w:val="0"/>
        <w:sz w:val="22"/>
        <w:szCs w:val="22"/>
        <w:shd w:val="clear" w:color="auto" w:fill="FFFFFF"/>
        <w:lang w:eastAsia="da-DK" w:bidi="ar-SA"/>
      </w:rPr>
      <w:t xml:space="preserve"> – </w:t>
    </w:r>
    <w:r w:rsidR="00986F4A" w:rsidRPr="00986F4A">
      <w:rPr>
        <w:rFonts w:ascii="Roboto Light" w:eastAsia="Times New Roman" w:hAnsi="Roboto Light" w:cs="Arial"/>
        <w:color w:val="0F3A4B"/>
        <w:kern w:val="0"/>
        <w:sz w:val="22"/>
        <w:szCs w:val="22"/>
        <w:shd w:val="clear" w:color="auto" w:fill="FFFFFF"/>
        <w:lang w:eastAsia="da-DK" w:bidi="ar-SA"/>
      </w:rPr>
      <w:t>1606 København V</w:t>
    </w:r>
    <w:r w:rsidR="00486BD0">
      <w:rPr>
        <w:rFonts w:ascii="Roboto Light" w:eastAsia="Times New Roman" w:hAnsi="Roboto Light" w:cs="Arial"/>
        <w:color w:val="0F3A4B"/>
        <w:kern w:val="0"/>
        <w:sz w:val="22"/>
        <w:szCs w:val="22"/>
        <w:shd w:val="clear" w:color="auto" w:fill="FFFFFF"/>
        <w:lang w:eastAsia="da-DK" w:bidi="ar-SA"/>
      </w:rPr>
      <w:br/>
    </w:r>
    <w:r w:rsidRPr="004649CA">
      <w:rPr>
        <w:rFonts w:ascii="Roboto Light" w:eastAsia="Times New Roman" w:hAnsi="Roboto Light" w:cs="Arial"/>
        <w:color w:val="0F3A4B"/>
        <w:kern w:val="0"/>
        <w:sz w:val="22"/>
        <w:szCs w:val="22"/>
        <w:shd w:val="clear" w:color="auto" w:fill="FFFFFF"/>
        <w:lang w:eastAsia="da-DK" w:bidi="ar-SA"/>
      </w:rPr>
      <w:t xml:space="preserve"> CVR.nr.: 78321210</w:t>
    </w:r>
    <w:r w:rsidR="00486BD0">
      <w:rPr>
        <w:rFonts w:ascii="Roboto Light" w:eastAsia="Times New Roman" w:hAnsi="Roboto Light" w:cs="Arial"/>
        <w:color w:val="0F3A4B"/>
        <w:kern w:val="0"/>
        <w:sz w:val="22"/>
        <w:szCs w:val="22"/>
        <w:shd w:val="clear" w:color="auto" w:fill="FFFFFF"/>
        <w:lang w:eastAsia="da-DK" w:bidi="ar-SA"/>
      </w:rPr>
      <w:t xml:space="preserve"> </w:t>
    </w:r>
    <w:r w:rsidR="00486BD0">
      <w:rPr>
        <w:rFonts w:ascii="Roboto Light" w:eastAsia="Times New Roman" w:hAnsi="Roboto Light" w:cs="Arial"/>
        <w:color w:val="0F3A4B"/>
        <w:kern w:val="0"/>
        <w:sz w:val="22"/>
        <w:szCs w:val="22"/>
        <w:shd w:val="clear" w:color="auto" w:fill="FFFFFF"/>
        <w:lang w:eastAsia="da-DK" w:bidi="ar-SA"/>
      </w:rPr>
      <w:sym w:font="Symbol" w:char="F0BD"/>
    </w:r>
    <w:r w:rsidRPr="004649CA">
      <w:rPr>
        <w:rFonts w:ascii="Roboto Light" w:eastAsia="Times New Roman" w:hAnsi="Roboto Light" w:cs="Arial"/>
        <w:color w:val="0F3A4B"/>
        <w:kern w:val="0"/>
        <w:sz w:val="22"/>
        <w:szCs w:val="22"/>
        <w:shd w:val="clear" w:color="auto" w:fill="FFFFFF"/>
        <w:lang w:eastAsia="da-DK" w:bidi="ar-SA"/>
      </w:rPr>
      <w:t xml:space="preserve"> </w:t>
    </w:r>
    <w:proofErr w:type="spellStart"/>
    <w:r w:rsidRPr="004649CA">
      <w:rPr>
        <w:rFonts w:ascii="Roboto Light" w:eastAsia="Times New Roman" w:hAnsi="Roboto Light" w:cs="Arial"/>
        <w:color w:val="0F3A4B"/>
        <w:kern w:val="0"/>
        <w:sz w:val="22"/>
        <w:szCs w:val="22"/>
        <w:shd w:val="clear" w:color="auto" w:fill="FFFFFF"/>
        <w:lang w:eastAsia="da-DK" w:bidi="ar-SA"/>
      </w:rPr>
      <w:t>Tlf</w:t>
    </w:r>
    <w:proofErr w:type="spellEnd"/>
    <w:r w:rsidRPr="004649CA">
      <w:rPr>
        <w:rFonts w:ascii="Roboto Light" w:eastAsia="Times New Roman" w:hAnsi="Roboto Light" w:cs="Arial"/>
        <w:color w:val="0F3A4B"/>
        <w:kern w:val="0"/>
        <w:sz w:val="22"/>
        <w:szCs w:val="22"/>
        <w:shd w:val="clear" w:color="auto" w:fill="FFFFFF"/>
        <w:lang w:eastAsia="da-DK" w:bidi="ar-SA"/>
      </w:rPr>
      <w:t>: +45 98 94 42 39</w:t>
    </w:r>
    <w:r w:rsidR="00486BD0">
      <w:rPr>
        <w:rFonts w:ascii="Roboto Light" w:eastAsia="Times New Roman" w:hAnsi="Roboto Light" w:cs="Arial"/>
        <w:color w:val="0F3A4B"/>
        <w:kern w:val="0"/>
        <w:sz w:val="22"/>
        <w:szCs w:val="22"/>
        <w:shd w:val="clear" w:color="auto" w:fill="FFFFFF"/>
        <w:lang w:eastAsia="da-DK" w:bidi="ar-SA"/>
      </w:rPr>
      <w:t xml:space="preserve"> </w:t>
    </w:r>
    <w:r w:rsidR="00486BD0">
      <w:rPr>
        <w:rFonts w:ascii="Roboto Light" w:eastAsia="Times New Roman" w:hAnsi="Roboto Light" w:cs="Arial"/>
        <w:color w:val="0F3A4B"/>
        <w:kern w:val="0"/>
        <w:sz w:val="22"/>
        <w:szCs w:val="22"/>
        <w:shd w:val="clear" w:color="auto" w:fill="FFFFFF"/>
        <w:lang w:eastAsia="da-DK" w:bidi="ar-SA"/>
      </w:rPr>
      <w:sym w:font="Symbol" w:char="F0BD"/>
    </w:r>
    <w:r w:rsidRPr="004649CA">
      <w:rPr>
        <w:rFonts w:ascii="Roboto Light" w:eastAsia="Times New Roman" w:hAnsi="Roboto Light" w:cs="Arial"/>
        <w:color w:val="0F3A4B"/>
        <w:kern w:val="0"/>
        <w:sz w:val="22"/>
        <w:szCs w:val="22"/>
        <w:shd w:val="clear" w:color="auto" w:fill="FFFFFF"/>
        <w:lang w:eastAsia="da-DK" w:bidi="ar-SA"/>
      </w:rPr>
      <w:t xml:space="preserve"> Mail: info@pelagisk.dk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7DE35" w14:textId="77777777" w:rsidR="00166771" w:rsidRDefault="00166771">
      <w:r>
        <w:separator/>
      </w:r>
    </w:p>
  </w:footnote>
  <w:footnote w:type="continuationSeparator" w:id="0">
    <w:p w14:paraId="08469DBB" w14:textId="77777777" w:rsidR="00166771" w:rsidRDefault="00166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6FEDC" w14:textId="68237C78" w:rsidR="00ED06C0" w:rsidRDefault="004649CA">
    <w:pPr>
      <w:pStyle w:val="Sidehoved"/>
    </w:pPr>
    <w:r>
      <w:rPr>
        <w:noProof/>
      </w:rPr>
      <w:drawing>
        <wp:inline distT="0" distB="0" distL="0" distR="0" wp14:anchorId="346AF7EA" wp14:editId="6CD60B08">
          <wp:extent cx="2125980" cy="736086"/>
          <wp:effectExtent l="0" t="0" r="7620" b="6985"/>
          <wp:docPr id="5" name="Billede 5" descr="Et billede, der indeholder tekst, skil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5" descr="Et billede, der indeholder tekst, skilt&#10;&#10;Automatisk genereret beskrivelse"/>
                  <pic:cNvPicPr/>
                </pic:nvPicPr>
                <pic:blipFill>
                  <a:blip r:embed="rId1">
                    <a:extLst>
                      <a:ext uri="{28A0092B-C50C-407E-A947-70E740481C1C}">
                        <a14:useLocalDpi xmlns:a14="http://schemas.microsoft.com/office/drawing/2010/main" val="0"/>
                      </a:ext>
                    </a:extLst>
                  </a:blip>
                  <a:stretch>
                    <a:fillRect/>
                  </a:stretch>
                </pic:blipFill>
                <pic:spPr>
                  <a:xfrm>
                    <a:off x="0" y="0"/>
                    <a:ext cx="2163348" cy="7490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F532D"/>
    <w:multiLevelType w:val="hybridMultilevel"/>
    <w:tmpl w:val="7B40CC24"/>
    <w:lvl w:ilvl="0" w:tplc="3F9806F6">
      <w:numFmt w:val="bullet"/>
      <w:lvlText w:val="-"/>
      <w:lvlJc w:val="left"/>
      <w:pPr>
        <w:ind w:left="720" w:hanging="360"/>
      </w:pPr>
      <w:rPr>
        <w:rFonts w:ascii="Calibri" w:eastAsia="SimSun"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30F273E1"/>
    <w:multiLevelType w:val="hybridMultilevel"/>
    <w:tmpl w:val="958458E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8175787"/>
    <w:multiLevelType w:val="hybridMultilevel"/>
    <w:tmpl w:val="5F8258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338385433">
    <w:abstractNumId w:val="1"/>
  </w:num>
  <w:num w:numId="2" w16cid:durableId="405035474">
    <w:abstractNumId w:val="2"/>
  </w:num>
  <w:num w:numId="3" w16cid:durableId="815145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983"/>
    <w:rsid w:val="000260BB"/>
    <w:rsid w:val="0004304D"/>
    <w:rsid w:val="000456A5"/>
    <w:rsid w:val="00047DE5"/>
    <w:rsid w:val="00054401"/>
    <w:rsid w:val="00067791"/>
    <w:rsid w:val="00093249"/>
    <w:rsid w:val="000C788A"/>
    <w:rsid w:val="000D3D78"/>
    <w:rsid w:val="000F13FB"/>
    <w:rsid w:val="00110621"/>
    <w:rsid w:val="00125681"/>
    <w:rsid w:val="00133A4C"/>
    <w:rsid w:val="00135827"/>
    <w:rsid w:val="00135F92"/>
    <w:rsid w:val="00166771"/>
    <w:rsid w:val="0016778E"/>
    <w:rsid w:val="0017790D"/>
    <w:rsid w:val="00181D82"/>
    <w:rsid w:val="00192E36"/>
    <w:rsid w:val="00194985"/>
    <w:rsid w:val="00196BC0"/>
    <w:rsid w:val="001A2231"/>
    <w:rsid w:val="001A2F57"/>
    <w:rsid w:val="001A711D"/>
    <w:rsid w:val="001B37C6"/>
    <w:rsid w:val="001B4ADB"/>
    <w:rsid w:val="001E5501"/>
    <w:rsid w:val="00227BEE"/>
    <w:rsid w:val="002358F2"/>
    <w:rsid w:val="00237269"/>
    <w:rsid w:val="002734A6"/>
    <w:rsid w:val="00291948"/>
    <w:rsid w:val="002B47A3"/>
    <w:rsid w:val="002C4750"/>
    <w:rsid w:val="002C5EC6"/>
    <w:rsid w:val="002C7A46"/>
    <w:rsid w:val="00334743"/>
    <w:rsid w:val="00356B84"/>
    <w:rsid w:val="0037682E"/>
    <w:rsid w:val="003F0D84"/>
    <w:rsid w:val="003F24F0"/>
    <w:rsid w:val="004241D5"/>
    <w:rsid w:val="00431D56"/>
    <w:rsid w:val="0044765C"/>
    <w:rsid w:val="004649CA"/>
    <w:rsid w:val="00477E1B"/>
    <w:rsid w:val="00486930"/>
    <w:rsid w:val="00486BD0"/>
    <w:rsid w:val="004B47D3"/>
    <w:rsid w:val="004C6417"/>
    <w:rsid w:val="004E1F1E"/>
    <w:rsid w:val="0051287B"/>
    <w:rsid w:val="0054184E"/>
    <w:rsid w:val="00541F93"/>
    <w:rsid w:val="005436C2"/>
    <w:rsid w:val="00544159"/>
    <w:rsid w:val="0054783C"/>
    <w:rsid w:val="005714F8"/>
    <w:rsid w:val="00575596"/>
    <w:rsid w:val="00585992"/>
    <w:rsid w:val="005C358F"/>
    <w:rsid w:val="005C5FCA"/>
    <w:rsid w:val="005C6C8F"/>
    <w:rsid w:val="005D1057"/>
    <w:rsid w:val="005F6D17"/>
    <w:rsid w:val="005F7ED7"/>
    <w:rsid w:val="00620333"/>
    <w:rsid w:val="0062127C"/>
    <w:rsid w:val="00632273"/>
    <w:rsid w:val="006514C9"/>
    <w:rsid w:val="006525BF"/>
    <w:rsid w:val="0068181B"/>
    <w:rsid w:val="00690FFA"/>
    <w:rsid w:val="006D2C8D"/>
    <w:rsid w:val="006F468D"/>
    <w:rsid w:val="006F6CAB"/>
    <w:rsid w:val="00767C88"/>
    <w:rsid w:val="00772A39"/>
    <w:rsid w:val="007872C9"/>
    <w:rsid w:val="00794F8C"/>
    <w:rsid w:val="00796D10"/>
    <w:rsid w:val="007A0930"/>
    <w:rsid w:val="007C27E0"/>
    <w:rsid w:val="007F2888"/>
    <w:rsid w:val="008008B9"/>
    <w:rsid w:val="00822675"/>
    <w:rsid w:val="008342BE"/>
    <w:rsid w:val="00837B6C"/>
    <w:rsid w:val="00837BC4"/>
    <w:rsid w:val="008565C1"/>
    <w:rsid w:val="0086486D"/>
    <w:rsid w:val="00870F66"/>
    <w:rsid w:val="008A1DFA"/>
    <w:rsid w:val="008B2983"/>
    <w:rsid w:val="008F1B3D"/>
    <w:rsid w:val="008F45A3"/>
    <w:rsid w:val="00920F90"/>
    <w:rsid w:val="00921E03"/>
    <w:rsid w:val="009529C6"/>
    <w:rsid w:val="00966D5C"/>
    <w:rsid w:val="00967F16"/>
    <w:rsid w:val="009854DB"/>
    <w:rsid w:val="00986F4A"/>
    <w:rsid w:val="009920FD"/>
    <w:rsid w:val="00994700"/>
    <w:rsid w:val="009A444C"/>
    <w:rsid w:val="00A040E4"/>
    <w:rsid w:val="00A229A5"/>
    <w:rsid w:val="00A24CFB"/>
    <w:rsid w:val="00A31AB4"/>
    <w:rsid w:val="00A60485"/>
    <w:rsid w:val="00A704E2"/>
    <w:rsid w:val="00A753BA"/>
    <w:rsid w:val="00A80E10"/>
    <w:rsid w:val="00A93853"/>
    <w:rsid w:val="00AA73EA"/>
    <w:rsid w:val="00AB7E4F"/>
    <w:rsid w:val="00AF77F0"/>
    <w:rsid w:val="00B050AD"/>
    <w:rsid w:val="00B231BA"/>
    <w:rsid w:val="00B42B3D"/>
    <w:rsid w:val="00B549A5"/>
    <w:rsid w:val="00B62B2A"/>
    <w:rsid w:val="00B64B21"/>
    <w:rsid w:val="00B72116"/>
    <w:rsid w:val="00B816FE"/>
    <w:rsid w:val="00B91044"/>
    <w:rsid w:val="00BB4D0C"/>
    <w:rsid w:val="00BE3185"/>
    <w:rsid w:val="00C22FFA"/>
    <w:rsid w:val="00C40594"/>
    <w:rsid w:val="00C56F32"/>
    <w:rsid w:val="00C94638"/>
    <w:rsid w:val="00CA07AA"/>
    <w:rsid w:val="00CA131A"/>
    <w:rsid w:val="00CE08BB"/>
    <w:rsid w:val="00CE3804"/>
    <w:rsid w:val="00CE47C3"/>
    <w:rsid w:val="00CF00EE"/>
    <w:rsid w:val="00CF0659"/>
    <w:rsid w:val="00CF0AFB"/>
    <w:rsid w:val="00D6210B"/>
    <w:rsid w:val="00D753AE"/>
    <w:rsid w:val="00D92A71"/>
    <w:rsid w:val="00DA0D08"/>
    <w:rsid w:val="00DA39E2"/>
    <w:rsid w:val="00DB42AC"/>
    <w:rsid w:val="00DD25D4"/>
    <w:rsid w:val="00E00495"/>
    <w:rsid w:val="00E3317A"/>
    <w:rsid w:val="00E45F4D"/>
    <w:rsid w:val="00E5542C"/>
    <w:rsid w:val="00E56710"/>
    <w:rsid w:val="00E64880"/>
    <w:rsid w:val="00EB022B"/>
    <w:rsid w:val="00EB665B"/>
    <w:rsid w:val="00ED06C0"/>
    <w:rsid w:val="00ED2940"/>
    <w:rsid w:val="00F31F26"/>
    <w:rsid w:val="00F715B0"/>
    <w:rsid w:val="00F81A37"/>
    <w:rsid w:val="00FD5EE5"/>
    <w:rsid w:val="00FD7EC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E8384AA"/>
  <w15:chartTrackingRefBased/>
  <w15:docId w15:val="{EFB0A003-1BD8-419F-9FA5-06FD1CACD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Lucida Sans"/>
      <w:kern w:val="1"/>
      <w:sz w:val="24"/>
      <w:szCs w:val="24"/>
      <w:lang w:eastAsia="hi-IN" w:bidi="hi-IN"/>
    </w:rPr>
  </w:style>
  <w:style w:type="paragraph" w:styleId="Overskrift2">
    <w:name w:val="heading 2"/>
    <w:basedOn w:val="Normal"/>
    <w:next w:val="Normal"/>
    <w:link w:val="Overskrift2Tegn"/>
    <w:uiPriority w:val="9"/>
    <w:unhideWhenUsed/>
    <w:qFormat/>
    <w:rsid w:val="00047DE5"/>
    <w:pPr>
      <w:keepNext/>
      <w:keepLines/>
      <w:widowControl/>
      <w:suppressAutoHyphens w:val="0"/>
      <w:spacing w:before="40" w:line="259" w:lineRule="auto"/>
      <w:outlineLvl w:val="1"/>
    </w:pPr>
    <w:rPr>
      <w:rFonts w:ascii="Calibri Light" w:eastAsia="Times New Roman" w:hAnsi="Calibri Light" w:cs="Times New Roman"/>
      <w:color w:val="2F5496"/>
      <w:kern w:val="0"/>
      <w:sz w:val="26"/>
      <w:szCs w:val="26"/>
      <w:lang w:eastAsia="en-US" w:bidi="ar-SA"/>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Absatz-Standardschriftart">
    <w:name w:val="Absatz-Standardschriftart"/>
  </w:style>
  <w:style w:type="character" w:styleId="Hyperlink">
    <w:name w:val="Hyperlink"/>
    <w:rPr>
      <w:color w:val="000080"/>
      <w:u w:val="single"/>
    </w:rPr>
  </w:style>
  <w:style w:type="paragraph" w:customStyle="1" w:styleId="Heading">
    <w:name w:val="Heading"/>
    <w:basedOn w:val="Normal"/>
    <w:next w:val="Brdtekst"/>
    <w:pPr>
      <w:keepNext/>
      <w:spacing w:before="240" w:after="120"/>
    </w:pPr>
    <w:rPr>
      <w:rFonts w:ascii="Arial" w:hAnsi="Arial"/>
      <w:sz w:val="28"/>
      <w:szCs w:val="28"/>
    </w:rPr>
  </w:style>
  <w:style w:type="paragraph" w:styleId="Brdtekst">
    <w:name w:val="Body Text"/>
    <w:basedOn w:val="Normal"/>
    <w:pPr>
      <w:spacing w:after="120"/>
    </w:pPr>
  </w:style>
  <w:style w:type="paragraph" w:styleId="Liste">
    <w:name w:val="List"/>
    <w:basedOn w:val="Brdtekst"/>
  </w:style>
  <w:style w:type="paragraph" w:customStyle="1" w:styleId="Billedtekst1">
    <w:name w:val="Billedtekst1"/>
    <w:basedOn w:val="Normal"/>
    <w:pPr>
      <w:suppressLineNumbers/>
      <w:spacing w:before="120" w:after="120"/>
    </w:pPr>
    <w:rPr>
      <w:i/>
      <w:iCs/>
    </w:rPr>
  </w:style>
  <w:style w:type="paragraph" w:customStyle="1" w:styleId="Index">
    <w:name w:val="Index"/>
    <w:basedOn w:val="Normal"/>
    <w:pPr>
      <w:suppressLineNumbers/>
    </w:pPr>
  </w:style>
  <w:style w:type="paragraph" w:styleId="Overskrift">
    <w:name w:val="TOC Heading"/>
    <w:basedOn w:val="Normal"/>
    <w:next w:val="Brdtekst"/>
    <w:qFormat/>
    <w:pPr>
      <w:keepNext/>
      <w:spacing w:before="240" w:after="120"/>
    </w:pPr>
    <w:rPr>
      <w:rFonts w:ascii="Arial" w:hAnsi="Arial"/>
      <w:sz w:val="28"/>
      <w:szCs w:val="28"/>
    </w:rPr>
  </w:style>
  <w:style w:type="paragraph" w:customStyle="1" w:styleId="Billedtekst10">
    <w:name w:val="Billedtekst1"/>
    <w:basedOn w:val="Normal"/>
    <w:pPr>
      <w:suppressLineNumbers/>
      <w:spacing w:before="120" w:after="120"/>
    </w:pPr>
    <w:rPr>
      <w:i/>
      <w:iCs/>
    </w:rPr>
  </w:style>
  <w:style w:type="paragraph" w:customStyle="1" w:styleId="Indeks">
    <w:name w:val="Indeks"/>
    <w:basedOn w:val="Normal"/>
    <w:pPr>
      <w:suppressLineNumbers/>
    </w:pPr>
  </w:style>
  <w:style w:type="paragraph" w:styleId="Sidehoved">
    <w:name w:val="header"/>
    <w:basedOn w:val="Normal"/>
    <w:pPr>
      <w:suppressLineNumbers/>
      <w:tabs>
        <w:tab w:val="center" w:pos="4819"/>
        <w:tab w:val="right" w:pos="9638"/>
      </w:tabs>
    </w:pPr>
  </w:style>
  <w:style w:type="paragraph" w:styleId="Sidefod">
    <w:name w:val="footer"/>
    <w:basedOn w:val="Normal"/>
    <w:link w:val="SidefodTegn"/>
    <w:uiPriority w:val="99"/>
    <w:pPr>
      <w:suppressLineNumbers/>
      <w:tabs>
        <w:tab w:val="center" w:pos="4819"/>
        <w:tab w:val="right" w:pos="9638"/>
      </w:tabs>
    </w:pPr>
  </w:style>
  <w:style w:type="paragraph" w:customStyle="1" w:styleId="dppobrdtekst">
    <w:name w:val="dppo brødtekst"/>
    <w:basedOn w:val="Normal"/>
    <w:rPr>
      <w:rFonts w:ascii="Arial" w:hAnsi="Arial" w:cs="Arial"/>
      <w:sz w:val="18"/>
      <w:szCs w:val="18"/>
    </w:rPr>
  </w:style>
  <w:style w:type="paragraph" w:customStyle="1" w:styleId="Intetafsnitsformat">
    <w:name w:val="[Intet afsnitsformat]"/>
    <w:pPr>
      <w:widowControl w:val="0"/>
      <w:suppressAutoHyphens/>
      <w:autoSpaceDE w:val="0"/>
      <w:spacing w:line="288" w:lineRule="auto"/>
      <w:textAlignment w:val="center"/>
    </w:pPr>
    <w:rPr>
      <w:rFonts w:ascii="TimesNewRomanPSMT" w:eastAsia="TimesNewRomanPSMT" w:hAnsi="TimesNewRomanPSMT" w:cs="TimesNewRomanPSMT"/>
      <w:color w:val="000000"/>
      <w:sz w:val="24"/>
      <w:szCs w:val="24"/>
      <w:lang w:eastAsia="hi-IN" w:bidi="hi-IN"/>
    </w:rPr>
  </w:style>
  <w:style w:type="paragraph" w:customStyle="1" w:styleId="Grundlggendeafsnit">
    <w:name w:val="[Grundlæggende afsnit]"/>
    <w:basedOn w:val="Intetafsnitsformat"/>
  </w:style>
  <w:style w:type="character" w:customStyle="1" w:styleId="Overskrift2Tegn">
    <w:name w:val="Overskrift 2 Tegn"/>
    <w:basedOn w:val="Standardskrifttypeiafsnit"/>
    <w:link w:val="Overskrift2"/>
    <w:uiPriority w:val="9"/>
    <w:rsid w:val="00047DE5"/>
    <w:rPr>
      <w:rFonts w:ascii="Calibri Light" w:hAnsi="Calibri Light"/>
      <w:color w:val="2F5496"/>
      <w:sz w:val="26"/>
      <w:szCs w:val="26"/>
      <w:lang w:eastAsia="en-US"/>
    </w:rPr>
  </w:style>
  <w:style w:type="paragraph" w:customStyle="1" w:styleId="Default">
    <w:name w:val="Default"/>
    <w:rsid w:val="00047DE5"/>
    <w:pPr>
      <w:autoSpaceDE w:val="0"/>
      <w:autoSpaceDN w:val="0"/>
      <w:adjustRightInd w:val="0"/>
    </w:pPr>
    <w:rPr>
      <w:rFonts w:ascii="Calibri" w:eastAsia="Calibri" w:hAnsi="Calibri" w:cs="Calibri"/>
      <w:color w:val="000000"/>
      <w:sz w:val="24"/>
      <w:szCs w:val="24"/>
      <w:lang w:eastAsia="en-US"/>
    </w:rPr>
  </w:style>
  <w:style w:type="paragraph" w:styleId="Markeringsbobletekst">
    <w:name w:val="Balloon Text"/>
    <w:basedOn w:val="Normal"/>
    <w:link w:val="MarkeringsbobletekstTegn"/>
    <w:uiPriority w:val="99"/>
    <w:semiHidden/>
    <w:unhideWhenUsed/>
    <w:rsid w:val="00C40594"/>
    <w:rPr>
      <w:rFonts w:ascii="Segoe UI" w:hAnsi="Segoe UI" w:cs="Mangal"/>
      <w:sz w:val="18"/>
      <w:szCs w:val="16"/>
    </w:rPr>
  </w:style>
  <w:style w:type="character" w:customStyle="1" w:styleId="MarkeringsbobletekstTegn">
    <w:name w:val="Markeringsbobletekst Tegn"/>
    <w:basedOn w:val="Standardskrifttypeiafsnit"/>
    <w:link w:val="Markeringsbobletekst"/>
    <w:uiPriority w:val="99"/>
    <w:semiHidden/>
    <w:rsid w:val="00C40594"/>
    <w:rPr>
      <w:rFonts w:ascii="Segoe UI" w:eastAsia="SimSun" w:hAnsi="Segoe UI" w:cs="Mangal"/>
      <w:kern w:val="1"/>
      <w:sz w:val="18"/>
      <w:szCs w:val="16"/>
      <w:lang w:eastAsia="hi-IN" w:bidi="hi-IN"/>
    </w:rPr>
  </w:style>
  <w:style w:type="paragraph" w:styleId="Listeafsnit">
    <w:name w:val="List Paragraph"/>
    <w:basedOn w:val="Normal"/>
    <w:uiPriority w:val="34"/>
    <w:qFormat/>
    <w:rsid w:val="00C40594"/>
    <w:pPr>
      <w:ind w:left="720"/>
      <w:contextualSpacing/>
    </w:pPr>
    <w:rPr>
      <w:rFonts w:cs="Mangal"/>
      <w:szCs w:val="21"/>
    </w:rPr>
  </w:style>
  <w:style w:type="character" w:customStyle="1" w:styleId="SidefodTegn">
    <w:name w:val="Sidefod Tegn"/>
    <w:basedOn w:val="Standardskrifttypeiafsnit"/>
    <w:link w:val="Sidefod"/>
    <w:uiPriority w:val="99"/>
    <w:rsid w:val="008008B9"/>
    <w:rPr>
      <w:rFonts w:eastAsia="SimSun" w:cs="Lucida Sans"/>
      <w:kern w:val="1"/>
      <w:sz w:val="24"/>
      <w:szCs w:val="24"/>
      <w:lang w:eastAsia="hi-IN" w:bidi="hi-IN"/>
    </w:rPr>
  </w:style>
  <w:style w:type="paragraph" w:styleId="NormalWeb">
    <w:name w:val="Normal (Web)"/>
    <w:basedOn w:val="Normal"/>
    <w:uiPriority w:val="99"/>
    <w:semiHidden/>
    <w:unhideWhenUsed/>
    <w:rsid w:val="004649CA"/>
    <w:pPr>
      <w:widowControl/>
      <w:suppressAutoHyphens w:val="0"/>
      <w:spacing w:before="100" w:beforeAutospacing="1" w:after="100" w:afterAutospacing="1"/>
    </w:pPr>
    <w:rPr>
      <w:rFonts w:eastAsia="Times New Roman" w:cs="Times New Roman"/>
      <w:kern w:val="0"/>
      <w:lang w:eastAsia="da-DK" w:bidi="ar-SA"/>
    </w:rPr>
  </w:style>
  <w:style w:type="character" w:styleId="Ulstomtale">
    <w:name w:val="Unresolved Mention"/>
    <w:basedOn w:val="Standardskrifttypeiafsnit"/>
    <w:uiPriority w:val="99"/>
    <w:semiHidden/>
    <w:unhideWhenUsed/>
    <w:rsid w:val="00133A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092161">
      <w:bodyDiv w:val="1"/>
      <w:marLeft w:val="0"/>
      <w:marRight w:val="0"/>
      <w:marTop w:val="0"/>
      <w:marBottom w:val="0"/>
      <w:divBdr>
        <w:top w:val="none" w:sz="0" w:space="0" w:color="auto"/>
        <w:left w:val="none" w:sz="0" w:space="0" w:color="auto"/>
        <w:bottom w:val="none" w:sz="0" w:space="0" w:color="auto"/>
        <w:right w:val="none" w:sz="0" w:space="0" w:color="auto"/>
      </w:divBdr>
    </w:div>
    <w:div w:id="485780179">
      <w:bodyDiv w:val="1"/>
      <w:marLeft w:val="0"/>
      <w:marRight w:val="0"/>
      <w:marTop w:val="0"/>
      <w:marBottom w:val="0"/>
      <w:divBdr>
        <w:top w:val="none" w:sz="0" w:space="0" w:color="auto"/>
        <w:left w:val="none" w:sz="0" w:space="0" w:color="auto"/>
        <w:bottom w:val="none" w:sz="0" w:space="0" w:color="auto"/>
        <w:right w:val="none" w:sz="0" w:space="0" w:color="auto"/>
      </w:divBdr>
    </w:div>
    <w:div w:id="487792978">
      <w:bodyDiv w:val="1"/>
      <w:marLeft w:val="0"/>
      <w:marRight w:val="0"/>
      <w:marTop w:val="0"/>
      <w:marBottom w:val="0"/>
      <w:divBdr>
        <w:top w:val="none" w:sz="0" w:space="0" w:color="auto"/>
        <w:left w:val="none" w:sz="0" w:space="0" w:color="auto"/>
        <w:bottom w:val="none" w:sz="0" w:space="0" w:color="auto"/>
        <w:right w:val="none" w:sz="0" w:space="0" w:color="auto"/>
      </w:divBdr>
    </w:div>
    <w:div w:id="618030650">
      <w:bodyDiv w:val="1"/>
      <w:marLeft w:val="0"/>
      <w:marRight w:val="0"/>
      <w:marTop w:val="0"/>
      <w:marBottom w:val="0"/>
      <w:divBdr>
        <w:top w:val="none" w:sz="0" w:space="0" w:color="auto"/>
        <w:left w:val="none" w:sz="0" w:space="0" w:color="auto"/>
        <w:bottom w:val="none" w:sz="0" w:space="0" w:color="auto"/>
        <w:right w:val="none" w:sz="0" w:space="0" w:color="auto"/>
      </w:divBdr>
    </w:div>
    <w:div w:id="827749928">
      <w:bodyDiv w:val="1"/>
      <w:marLeft w:val="0"/>
      <w:marRight w:val="0"/>
      <w:marTop w:val="0"/>
      <w:marBottom w:val="0"/>
      <w:divBdr>
        <w:top w:val="none" w:sz="0" w:space="0" w:color="auto"/>
        <w:left w:val="none" w:sz="0" w:space="0" w:color="auto"/>
        <w:bottom w:val="none" w:sz="0" w:space="0" w:color="auto"/>
        <w:right w:val="none" w:sz="0" w:space="0" w:color="auto"/>
      </w:divBdr>
    </w:div>
    <w:div w:id="1045718077">
      <w:bodyDiv w:val="1"/>
      <w:marLeft w:val="0"/>
      <w:marRight w:val="0"/>
      <w:marTop w:val="0"/>
      <w:marBottom w:val="0"/>
      <w:divBdr>
        <w:top w:val="none" w:sz="0" w:space="0" w:color="auto"/>
        <w:left w:val="none" w:sz="0" w:space="0" w:color="auto"/>
        <w:bottom w:val="none" w:sz="0" w:space="0" w:color="auto"/>
        <w:right w:val="none" w:sz="0" w:space="0" w:color="auto"/>
      </w:divBdr>
    </w:div>
    <w:div w:id="1272007194">
      <w:bodyDiv w:val="1"/>
      <w:marLeft w:val="0"/>
      <w:marRight w:val="0"/>
      <w:marTop w:val="0"/>
      <w:marBottom w:val="0"/>
      <w:divBdr>
        <w:top w:val="none" w:sz="0" w:space="0" w:color="auto"/>
        <w:left w:val="none" w:sz="0" w:space="0" w:color="auto"/>
        <w:bottom w:val="none" w:sz="0" w:space="0" w:color="auto"/>
        <w:right w:val="none" w:sz="0" w:space="0" w:color="auto"/>
      </w:divBdr>
    </w:div>
    <w:div w:id="1708798607">
      <w:bodyDiv w:val="1"/>
      <w:marLeft w:val="0"/>
      <w:marRight w:val="0"/>
      <w:marTop w:val="0"/>
      <w:marBottom w:val="0"/>
      <w:divBdr>
        <w:top w:val="none" w:sz="0" w:space="0" w:color="auto"/>
        <w:left w:val="none" w:sz="0" w:space="0" w:color="auto"/>
        <w:bottom w:val="none" w:sz="0" w:space="0" w:color="auto"/>
        <w:right w:val="none" w:sz="0" w:space="0" w:color="auto"/>
      </w:divBdr>
    </w:div>
    <w:div w:id="198214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F72ED-8790-421F-83E6-83303771D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797</Words>
  <Characters>4866</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dppo notat dk</vt:lpstr>
    </vt:vector>
  </TitlesOfParts>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dppo notat dk</dc:title>
  <dc:subject/>
  <dc:creator>DPPO</dc:creator>
  <cp:keywords/>
  <cp:lastModifiedBy>Lise Laustsen</cp:lastModifiedBy>
  <cp:revision>5</cp:revision>
  <cp:lastPrinted>2020-11-19T22:45:00Z</cp:lastPrinted>
  <dcterms:created xsi:type="dcterms:W3CDTF">2026-08-05T13:31:00Z</dcterms:created>
  <dcterms:modified xsi:type="dcterms:W3CDTF">2026-08-05T13:39:00Z</dcterms:modified>
</cp:coreProperties>
</file>