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5A1F82">
        <w:trPr>
          <w:trHeight w:val="2835"/>
        </w:trPr>
        <w:tc>
          <w:tcPr>
            <w:tcW w:w="2484" w:type="dxa"/>
          </w:tcPr>
          <w:sdt>
            <w:sdtPr>
              <w:alias w:val="Vælg dato"/>
              <w:tag w:val="Vælg dato"/>
              <w:id w:val="-696322164"/>
              <w:placeholder>
                <w:docPart w:val="1102700AAA9243BFBFA7499DA621CF99"/>
              </w:placeholder>
              <w:date w:fullDate="2015-02-26T00:00:00Z">
                <w:dateFormat w:val="d. MMMM yyyy"/>
                <w:lid w:val="da-DK"/>
                <w:storeMappedDataAs w:val="dateTime"/>
                <w:calendar w:val="gregorian"/>
              </w:date>
            </w:sdtPr>
            <w:sdtEndPr/>
            <w:sdtContent>
              <w:p w:rsidR="00F37F63" w:rsidRDefault="00B34584" w:rsidP="00F37F63">
                <w:pPr>
                  <w:pStyle w:val="Hjrespaltetekst"/>
                  <w:rPr>
                    <w:rFonts w:ascii="Garamond" w:hAnsi="Garamond"/>
                    <w:noProof w:val="0"/>
                    <w:color w:val="auto"/>
                    <w:spacing w:val="0"/>
                    <w:sz w:val="22"/>
                  </w:rPr>
                </w:pPr>
                <w:r>
                  <w:t>26. februar 2015</w:t>
                </w:r>
              </w:p>
            </w:sdtContent>
          </w:sdt>
          <w:p w:rsidR="00F37F63" w:rsidRDefault="00F37F63" w:rsidP="00F37F63">
            <w:pPr>
              <w:pStyle w:val="Template-Dato"/>
            </w:pPr>
            <w:r>
              <w:t xml:space="preserve">J.nr. </w:t>
            </w:r>
            <w:bookmarkStart w:id="0" w:name="sagsnr"/>
            <w:bookmarkEnd w:id="0"/>
            <w:r w:rsidR="005734E1">
              <w:t>14-4601203</w:t>
            </w:r>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C57AF9" w:rsidRDefault="00600E3E" w:rsidP="00C57AF9">
      <w:r w:rsidRPr="00684545">
        <w:t xml:space="preserve">Til udvalgets orientering </w:t>
      </w:r>
      <w:r>
        <w:t>vedlægges høringsskema samt de modtagne høringssvar vedrørende forslag til</w:t>
      </w:r>
      <w:r w:rsidRPr="00684545">
        <w:t xml:space="preserve"> </w:t>
      </w:r>
      <w:r w:rsidR="00C57AF9">
        <w:t>Forslag til Lov om ændring af lov om afgift af elektricitet</w:t>
      </w:r>
      <w:r w:rsidR="006D5381">
        <w:t xml:space="preserve"> og momsloven</w:t>
      </w:r>
      <w:r w:rsidR="00C57AF9">
        <w:t xml:space="preserve"> (Tilpasninger til engrosmodellen</w:t>
      </w:r>
      <w:r w:rsidR="006D5381">
        <w:t xml:space="preserve"> og indførelse af omvendt betalingspligt på gas- og elmarkedet</w:t>
      </w:r>
      <w:r w:rsidR="00C57AF9">
        <w:t>)</w:t>
      </w:r>
      <w:r w:rsidR="006D5381">
        <w:t xml:space="preserve"> for så vidt angår den del af forslaget, der vedrører tilpasninger af elafgiftslovgivningen til engrosmodellen, og som i perioden 5. december 2014 til den 7. januar 2015 har været sendt i høring.</w:t>
      </w:r>
    </w:p>
    <w:p w:rsidR="00C57AF9" w:rsidRDefault="00C57AF9" w:rsidP="00FB1FE9"/>
    <w:p w:rsidR="00C57AF9" w:rsidRDefault="00C57AF9" w:rsidP="00FB1FE9"/>
    <w:p w:rsidR="00C57AF9" w:rsidRDefault="00C57AF9" w:rsidP="00FB1FE9"/>
    <w:p w:rsidR="00FB1FE9" w:rsidRDefault="00FB1FE9" w:rsidP="00FB1FE9"/>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967833">
      <w:pPr>
        <w:keepNext/>
        <w:keepLines/>
        <w:jc w:val="right"/>
      </w:pPr>
      <w:r>
        <w:t xml:space="preserve">/ </w:t>
      </w:r>
      <w:r w:rsidR="005734E1">
        <w:t>Lene Skov Henningsen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09"/>
        <w:gridCol w:w="201"/>
        <w:gridCol w:w="3505"/>
        <w:gridCol w:w="217"/>
        <w:gridCol w:w="3407"/>
      </w:tblGrid>
      <w:tr w:rsidR="006B60F2" w:rsidTr="00684D94">
        <w:trPr>
          <w:tblHeader/>
        </w:trPr>
        <w:tc>
          <w:tcPr>
            <w:tcW w:w="2309" w:type="dxa"/>
            <w:shd w:val="clear" w:color="auto" w:fill="D1C5C3"/>
            <w:vAlign w:val="center"/>
          </w:tcPr>
          <w:p w:rsidR="00600E3E" w:rsidRDefault="00600E3E" w:rsidP="00B9508F">
            <w:pPr>
              <w:pStyle w:val="Tabel-KolonneOverskrift"/>
            </w:pPr>
            <w:r>
              <w:t>Organisation</w:t>
            </w:r>
          </w:p>
        </w:tc>
        <w:tc>
          <w:tcPr>
            <w:tcW w:w="201" w:type="dxa"/>
            <w:shd w:val="clear" w:color="auto" w:fill="FFFFFF" w:themeFill="background1"/>
            <w:vAlign w:val="center"/>
          </w:tcPr>
          <w:p w:rsidR="00600E3E" w:rsidRDefault="00600E3E" w:rsidP="00B9508F">
            <w:pPr>
              <w:keepNext/>
              <w:keepLines/>
            </w:pPr>
          </w:p>
        </w:tc>
        <w:tc>
          <w:tcPr>
            <w:tcW w:w="3505" w:type="dxa"/>
            <w:shd w:val="clear" w:color="auto" w:fill="D1C5C3" w:themeFill="accent3"/>
            <w:vAlign w:val="center"/>
          </w:tcPr>
          <w:p w:rsidR="00600E3E" w:rsidRDefault="00600E3E" w:rsidP="00B9508F">
            <w:pPr>
              <w:pStyle w:val="Tabel-KolonneOverskrift"/>
            </w:pPr>
            <w:r>
              <w:t>Bemærkninger</w:t>
            </w:r>
          </w:p>
        </w:tc>
        <w:tc>
          <w:tcPr>
            <w:tcW w:w="217" w:type="dxa"/>
            <w:shd w:val="clear" w:color="auto" w:fill="FFFFFF" w:themeFill="background1"/>
            <w:vAlign w:val="center"/>
          </w:tcPr>
          <w:p w:rsidR="00600E3E" w:rsidRDefault="00600E3E" w:rsidP="00B9508F">
            <w:pPr>
              <w:keepNext/>
              <w:keepLines/>
            </w:pPr>
          </w:p>
        </w:tc>
        <w:tc>
          <w:tcPr>
            <w:tcW w:w="3407" w:type="dxa"/>
            <w:shd w:val="clear" w:color="auto" w:fill="14143C" w:themeFill="accent1"/>
            <w:vAlign w:val="center"/>
          </w:tcPr>
          <w:p w:rsidR="00600E3E" w:rsidRDefault="00600E3E" w:rsidP="00B9508F">
            <w:pPr>
              <w:pStyle w:val="Tabel-KolonneOverskriftHvid"/>
            </w:pPr>
            <w:r>
              <w:t>Kommentarer</w:t>
            </w:r>
          </w:p>
        </w:tc>
      </w:tr>
      <w:tr w:rsidR="006B60F2" w:rsidRPr="00B5346F" w:rsidTr="00684D94">
        <w:tc>
          <w:tcPr>
            <w:tcW w:w="2309" w:type="dxa"/>
            <w:tcBorders>
              <w:bottom w:val="single" w:sz="4" w:space="0" w:color="D1C5C3" w:themeColor="accent3"/>
            </w:tcBorders>
            <w:shd w:val="clear" w:color="auto" w:fill="FBF9F9"/>
          </w:tcPr>
          <w:p w:rsidR="001777C2" w:rsidRDefault="001777C2" w:rsidP="006A699C">
            <w:pPr>
              <w:rPr>
                <w:i/>
              </w:rPr>
            </w:pPr>
          </w:p>
          <w:p w:rsidR="006A699C" w:rsidRPr="006A699C" w:rsidRDefault="006A699C" w:rsidP="006A699C">
            <w:pPr>
              <w:rPr>
                <w:i/>
              </w:rPr>
            </w:pPr>
            <w:r w:rsidRPr="006A699C">
              <w:rPr>
                <w:i/>
              </w:rPr>
              <w:t xml:space="preserve">Advokatrådet </w:t>
            </w:r>
            <w:r w:rsidRPr="006A699C">
              <w:rPr>
                <w:i/>
              </w:rPr>
              <w:br/>
              <w:t>Advokatsamfundet</w:t>
            </w:r>
          </w:p>
          <w:p w:rsidR="006A699C" w:rsidRDefault="006A699C" w:rsidP="00BB0574">
            <w:pPr>
              <w:pStyle w:val="Tabel-BrdtekstmedafstandptekstGaramond"/>
              <w:ind w:left="0"/>
              <w:rPr>
                <w:i/>
              </w:rPr>
            </w:pPr>
          </w:p>
        </w:tc>
        <w:tc>
          <w:tcPr>
            <w:tcW w:w="201" w:type="dxa"/>
            <w:shd w:val="clear" w:color="auto" w:fill="FFFFFF" w:themeFill="background1"/>
          </w:tcPr>
          <w:p w:rsidR="006A699C" w:rsidRPr="00B5346F" w:rsidRDefault="006A699C" w:rsidP="005A1F82"/>
        </w:tc>
        <w:tc>
          <w:tcPr>
            <w:tcW w:w="3505" w:type="dxa"/>
            <w:tcBorders>
              <w:bottom w:val="single" w:sz="4" w:space="0" w:color="D1C5C3" w:themeColor="accent3"/>
            </w:tcBorders>
            <w:shd w:val="clear" w:color="auto" w:fill="FBF9F9"/>
          </w:tcPr>
          <w:p w:rsidR="006A699C" w:rsidRDefault="00FD4ADA" w:rsidP="005A1F82">
            <w:pPr>
              <w:pStyle w:val="Tabel-BrdtekstmedafstandptekstGaramond"/>
            </w:pPr>
            <w:r>
              <w:t>Det påpeges, at det retlige pligtsubjekt ikke kan være datahubben, men må være den juridiske person Energinet.dk, som driver datahubben.</w:t>
            </w:r>
          </w:p>
        </w:tc>
        <w:tc>
          <w:tcPr>
            <w:tcW w:w="217" w:type="dxa"/>
            <w:shd w:val="clear" w:color="auto" w:fill="FFFFFF" w:themeFill="background1"/>
          </w:tcPr>
          <w:p w:rsidR="006A699C" w:rsidRPr="00B5346F" w:rsidRDefault="006A699C" w:rsidP="005A1F82"/>
        </w:tc>
        <w:tc>
          <w:tcPr>
            <w:tcW w:w="3407" w:type="dxa"/>
            <w:tcBorders>
              <w:bottom w:val="single" w:sz="4" w:space="0" w:color="14143C" w:themeColor="accent1"/>
            </w:tcBorders>
            <w:shd w:val="clear" w:color="auto" w:fill="D2CED8"/>
          </w:tcPr>
          <w:p w:rsidR="006A699C" w:rsidRDefault="00B93904" w:rsidP="008024ED">
            <w:pPr>
              <w:pStyle w:val="Tabel-BrdtekstmedafstandptekstGaramond"/>
            </w:pPr>
            <w:r>
              <w:t>Det er rigtigt. F</w:t>
            </w:r>
            <w:r w:rsidR="00FD4ADA">
              <w:t>orslaget vil blive tilpasset hertil.</w:t>
            </w:r>
          </w:p>
        </w:tc>
      </w:tr>
      <w:tr w:rsidR="006B60F2" w:rsidRPr="00B5346F" w:rsidTr="00684D94">
        <w:tc>
          <w:tcPr>
            <w:tcW w:w="2309" w:type="dxa"/>
            <w:tcBorders>
              <w:bottom w:val="single" w:sz="4" w:space="0" w:color="D1C5C3" w:themeColor="accent3"/>
            </w:tcBorders>
            <w:shd w:val="clear" w:color="auto" w:fill="FBF9F9"/>
          </w:tcPr>
          <w:p w:rsidR="00FD4ADA" w:rsidRPr="00FD4ADA" w:rsidRDefault="00FD4ADA" w:rsidP="00BB0574">
            <w:pPr>
              <w:pStyle w:val="Tabel-BrdtekstmedafstandptekstGaramond"/>
              <w:ind w:left="0"/>
              <w:rPr>
                <w:i/>
              </w:rPr>
            </w:pPr>
            <w:r w:rsidRPr="00FD4ADA">
              <w:rPr>
                <w:i/>
              </w:rPr>
              <w:t>CO-industri</w:t>
            </w:r>
          </w:p>
        </w:tc>
        <w:tc>
          <w:tcPr>
            <w:tcW w:w="201" w:type="dxa"/>
            <w:shd w:val="clear" w:color="auto" w:fill="FFFFFF" w:themeFill="background1"/>
          </w:tcPr>
          <w:p w:rsidR="00FD4ADA" w:rsidRPr="00B5346F" w:rsidRDefault="00FD4ADA" w:rsidP="005A1F82"/>
        </w:tc>
        <w:tc>
          <w:tcPr>
            <w:tcW w:w="3505" w:type="dxa"/>
            <w:tcBorders>
              <w:bottom w:val="single" w:sz="4" w:space="0" w:color="D1C5C3" w:themeColor="accent3"/>
            </w:tcBorders>
            <w:shd w:val="clear" w:color="auto" w:fill="FBF9F9"/>
          </w:tcPr>
          <w:p w:rsidR="00FD4ADA" w:rsidRDefault="00FD4ADA" w:rsidP="005A1F82">
            <w:pPr>
              <w:pStyle w:val="Tabel-BrdtekstmedafstandptekstGaramond"/>
            </w:pPr>
            <w:r>
              <w:t>Kan støtte indholdet af forslaget.</w:t>
            </w:r>
          </w:p>
        </w:tc>
        <w:tc>
          <w:tcPr>
            <w:tcW w:w="217" w:type="dxa"/>
            <w:shd w:val="clear" w:color="auto" w:fill="FFFFFF" w:themeFill="background1"/>
          </w:tcPr>
          <w:p w:rsidR="00FD4ADA" w:rsidRPr="00B5346F" w:rsidRDefault="00FD4ADA" w:rsidP="005A1F82"/>
        </w:tc>
        <w:tc>
          <w:tcPr>
            <w:tcW w:w="3407" w:type="dxa"/>
            <w:tcBorders>
              <w:bottom w:val="single" w:sz="4" w:space="0" w:color="14143C" w:themeColor="accent1"/>
            </w:tcBorders>
            <w:shd w:val="clear" w:color="auto" w:fill="D2CED8"/>
          </w:tcPr>
          <w:p w:rsidR="00FD4ADA" w:rsidRDefault="00FD4ADA" w:rsidP="008024ED">
            <w:pPr>
              <w:pStyle w:val="Tabel-BrdtekstmedafstandptekstGaramond"/>
            </w:pPr>
          </w:p>
        </w:tc>
      </w:tr>
      <w:tr w:rsidR="006B60F2" w:rsidRPr="00B5346F" w:rsidTr="00684D94">
        <w:tc>
          <w:tcPr>
            <w:tcW w:w="2309" w:type="dxa"/>
            <w:tcBorders>
              <w:bottom w:val="single" w:sz="4" w:space="0" w:color="D1C5C3" w:themeColor="accent3"/>
            </w:tcBorders>
            <w:shd w:val="clear" w:color="auto" w:fill="FBF9F9"/>
          </w:tcPr>
          <w:p w:rsidR="004556C1" w:rsidRPr="00FD4ADA" w:rsidRDefault="004556C1" w:rsidP="00BB0574">
            <w:pPr>
              <w:pStyle w:val="Tabel-BrdtekstmedafstandptekstGaramond"/>
              <w:ind w:left="0"/>
              <w:rPr>
                <w:i/>
              </w:rPr>
            </w:pPr>
            <w:r w:rsidRPr="002B5E57">
              <w:rPr>
                <w:i/>
              </w:rPr>
              <w:t>Danmarks Rederiforening</w:t>
            </w:r>
          </w:p>
        </w:tc>
        <w:tc>
          <w:tcPr>
            <w:tcW w:w="201" w:type="dxa"/>
            <w:shd w:val="clear" w:color="auto" w:fill="FFFFFF" w:themeFill="background1"/>
          </w:tcPr>
          <w:p w:rsidR="004556C1" w:rsidRPr="00B5346F" w:rsidRDefault="004556C1" w:rsidP="005A1F82"/>
        </w:tc>
        <w:tc>
          <w:tcPr>
            <w:tcW w:w="3505" w:type="dxa"/>
            <w:tcBorders>
              <w:bottom w:val="single" w:sz="4" w:space="0" w:color="D1C5C3" w:themeColor="accent3"/>
            </w:tcBorders>
            <w:shd w:val="clear" w:color="auto" w:fill="FBF9F9"/>
          </w:tcPr>
          <w:p w:rsidR="004556C1" w:rsidRDefault="004556C1" w:rsidP="005A1F82">
            <w:pPr>
              <w:pStyle w:val="Tabel-BrdtekstmedafstandptekstGaramond"/>
            </w:pPr>
            <w:r>
              <w:t>Foreningen forstår forslagets punkt 3.5.2. således, at havnevirksomheden fortsat skal fakturere den reducerede el-sats til de berettigede skibe.</w:t>
            </w:r>
          </w:p>
        </w:tc>
        <w:tc>
          <w:tcPr>
            <w:tcW w:w="217" w:type="dxa"/>
            <w:shd w:val="clear" w:color="auto" w:fill="FFFFFF" w:themeFill="background1"/>
          </w:tcPr>
          <w:p w:rsidR="004556C1" w:rsidRPr="00B5346F" w:rsidRDefault="004556C1" w:rsidP="005A1F82"/>
        </w:tc>
        <w:tc>
          <w:tcPr>
            <w:tcW w:w="3407" w:type="dxa"/>
            <w:tcBorders>
              <w:bottom w:val="single" w:sz="4" w:space="0" w:color="14143C" w:themeColor="accent1"/>
            </w:tcBorders>
            <w:shd w:val="clear" w:color="auto" w:fill="D2CED8"/>
          </w:tcPr>
          <w:p w:rsidR="003A46C4" w:rsidRDefault="00CB2114" w:rsidP="00CB2114">
            <w:pPr>
              <w:pStyle w:val="Tabel-BrdtekstmedafstandptekstGaramond"/>
            </w:pPr>
            <w:r>
              <w:t xml:space="preserve">Det er rigtigt. </w:t>
            </w:r>
          </w:p>
        </w:tc>
      </w:tr>
      <w:tr w:rsidR="006B60F2" w:rsidRPr="00B5346F" w:rsidTr="00684D94">
        <w:tc>
          <w:tcPr>
            <w:tcW w:w="2309" w:type="dxa"/>
            <w:tcBorders>
              <w:bottom w:val="single" w:sz="4" w:space="0" w:color="D1C5C3" w:themeColor="accent3"/>
            </w:tcBorders>
            <w:shd w:val="clear" w:color="auto" w:fill="FBF9F9"/>
          </w:tcPr>
          <w:p w:rsidR="002B5E57" w:rsidRDefault="002B5E57" w:rsidP="00BB0574">
            <w:pPr>
              <w:pStyle w:val="Tabel-BrdtekstmedafstandptekstGaramond"/>
              <w:ind w:left="0"/>
              <w:rPr>
                <w:i/>
              </w:rPr>
            </w:pPr>
            <w:r>
              <w:rPr>
                <w:i/>
              </w:rPr>
              <w:t>Dansk Energi</w:t>
            </w:r>
          </w:p>
        </w:tc>
        <w:tc>
          <w:tcPr>
            <w:tcW w:w="201" w:type="dxa"/>
            <w:shd w:val="clear" w:color="auto" w:fill="FFFFFF" w:themeFill="background1"/>
          </w:tcPr>
          <w:p w:rsidR="002B5E57" w:rsidRPr="00B5346F" w:rsidRDefault="002B5E57" w:rsidP="005A1F82"/>
        </w:tc>
        <w:tc>
          <w:tcPr>
            <w:tcW w:w="3505" w:type="dxa"/>
            <w:tcBorders>
              <w:bottom w:val="single" w:sz="4" w:space="0" w:color="D1C5C3" w:themeColor="accent3"/>
            </w:tcBorders>
            <w:shd w:val="clear" w:color="auto" w:fill="FBF9F9"/>
          </w:tcPr>
          <w:p w:rsidR="002B5E57" w:rsidRDefault="002B5E57" w:rsidP="005A1F82">
            <w:pPr>
              <w:pStyle w:val="Tabel-BrdtekstmedafstandptekstGaramond"/>
            </w:pPr>
            <w:r>
              <w:t xml:space="preserve">Dansk Energi foreslår, at ikrafttrædelsesdatoen ændres fra den 1. marts til den 1. april </w:t>
            </w:r>
            <w:r w:rsidR="00B93904">
              <w:t xml:space="preserve">i </w:t>
            </w:r>
            <w:r>
              <w:t>2016.</w:t>
            </w:r>
          </w:p>
          <w:p w:rsidR="002B5E57" w:rsidRDefault="002B5E57"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r w:rsidRPr="00B16D74">
              <w:t xml:space="preserve">Dansk Energi fremfører, at </w:t>
            </w:r>
            <w:proofErr w:type="spellStart"/>
            <w:r w:rsidRPr="00B16D74">
              <w:t>værnsreglen</w:t>
            </w:r>
            <w:proofErr w:type="spellEnd"/>
            <w:r w:rsidRPr="00B16D74">
              <w:t xml:space="preserve"> vedr. </w:t>
            </w:r>
            <w:proofErr w:type="spellStart"/>
            <w:r w:rsidRPr="00B16D74">
              <w:t>forudfakturering</w:t>
            </w:r>
            <w:proofErr w:type="spellEnd"/>
            <w:r w:rsidRPr="00B16D74">
              <w:t xml:space="preserve"> er administrativ tung, begrænsende for konkurrencen og medfører et likviditetstab for el-</w:t>
            </w:r>
            <w:proofErr w:type="spellStart"/>
            <w:r w:rsidRPr="00B16D74">
              <w:t>handelvirksomheder</w:t>
            </w:r>
            <w:proofErr w:type="spellEnd"/>
            <w:r w:rsidRPr="00B16D74">
              <w:t>.</w:t>
            </w:r>
          </w:p>
          <w:p w:rsidR="0046168A" w:rsidRDefault="0046168A"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B16D74" w:rsidRDefault="00B16D74" w:rsidP="005A1F82">
            <w:pPr>
              <w:pStyle w:val="Tabel-BrdtekstmedafstandptekstGaramond"/>
            </w:pPr>
          </w:p>
          <w:p w:rsidR="00237122" w:rsidRDefault="00237122" w:rsidP="005A1F82">
            <w:pPr>
              <w:pStyle w:val="Tabel-BrdtekstmedafstandptekstGaramond"/>
            </w:pPr>
          </w:p>
          <w:p w:rsidR="00237122" w:rsidRDefault="00237122" w:rsidP="005A1F82">
            <w:pPr>
              <w:pStyle w:val="Tabel-BrdtekstmedafstandptekstGaramond"/>
            </w:pPr>
          </w:p>
          <w:p w:rsidR="00237122" w:rsidRDefault="00237122" w:rsidP="005A1F82">
            <w:pPr>
              <w:pStyle w:val="Tabel-BrdtekstmedafstandptekstGaramond"/>
            </w:pPr>
          </w:p>
          <w:p w:rsidR="00237122" w:rsidRDefault="00237122" w:rsidP="005A1F82">
            <w:pPr>
              <w:pStyle w:val="Tabel-BrdtekstmedafstandptekstGaramond"/>
            </w:pPr>
          </w:p>
          <w:p w:rsidR="00237122" w:rsidRDefault="00237122" w:rsidP="005A1F82">
            <w:pPr>
              <w:pStyle w:val="Tabel-BrdtekstmedafstandptekstGaramond"/>
            </w:pPr>
          </w:p>
          <w:p w:rsidR="00237122" w:rsidRDefault="00237122" w:rsidP="005A1F82">
            <w:pPr>
              <w:pStyle w:val="Tabel-BrdtekstmedafstandptekstGaramond"/>
            </w:pPr>
          </w:p>
          <w:p w:rsidR="00237122" w:rsidRDefault="00237122" w:rsidP="005A1F82">
            <w:pPr>
              <w:pStyle w:val="Tabel-BrdtekstmedafstandptekstGaramond"/>
            </w:pPr>
          </w:p>
          <w:p w:rsidR="00A80544" w:rsidRDefault="002B5E57" w:rsidP="008F73A8">
            <w:pPr>
              <w:pStyle w:val="Tabel-BrdtekstmedafstandptekstGaramond"/>
            </w:pPr>
            <w:r>
              <w:t>Det skal sikres, at MID-direktivets krav om, at kunder skal kunne genfinde måledata brugt til fakturering ved at aflæse deres elmåler, kan overholdes.</w:t>
            </w:r>
          </w:p>
          <w:p w:rsidR="00B75C00" w:rsidRDefault="00B75C00" w:rsidP="008F73A8">
            <w:pPr>
              <w:pStyle w:val="Tabel-BrdtekstmedafstandptekstGaramond"/>
            </w:pPr>
          </w:p>
          <w:p w:rsidR="002B5E57" w:rsidRDefault="002B5E57" w:rsidP="005A1F82">
            <w:pPr>
              <w:pStyle w:val="Tabel-BrdtekstmedafstandptekstGaramond"/>
            </w:pPr>
            <w:r>
              <w:t xml:space="preserve">Det foreslås, at </w:t>
            </w:r>
            <w:proofErr w:type="spellStart"/>
            <w:r>
              <w:t>værnsreglen</w:t>
            </w:r>
            <w:proofErr w:type="spellEnd"/>
            <w:r>
              <w:t xml:space="preserve"> ændres, så </w:t>
            </w:r>
            <w:proofErr w:type="spellStart"/>
            <w:r>
              <w:t>elhandelsvirksomheder</w:t>
            </w:r>
            <w:proofErr w:type="spellEnd"/>
            <w:r>
              <w:t xml:space="preserve"> kan sende faktura </w:t>
            </w:r>
            <w:r w:rsidR="00D4123A">
              <w:t>med</w:t>
            </w:r>
            <w:r>
              <w:t xml:space="preserve"> </w:t>
            </w:r>
            <w:r w:rsidR="00D4123A">
              <w:t>el</w:t>
            </w:r>
            <w:r>
              <w:t>afgifter til</w:t>
            </w:r>
            <w:r w:rsidR="00166D5C">
              <w:t xml:space="preserve"> momsregistrerede virksomheder </w:t>
            </w:r>
            <w:r>
              <w:t xml:space="preserve">fra det tidspunkt, hvor datahubben har genereret et engrosafregningsgrundlag for den relevante forbrugsmåned. </w:t>
            </w:r>
            <w:r w:rsidR="00D110E7">
              <w:t xml:space="preserve">Generelt er problematikken, at forslaget ikke giver mulighed for, at erhvervskunder slutafregnes med hensyn til afgifter, når måleværdierne er på plads. I stedet for ser det ud til, at </w:t>
            </w:r>
            <w:proofErr w:type="spellStart"/>
            <w:r w:rsidR="00D110E7">
              <w:t>elleverandører</w:t>
            </w:r>
            <w:proofErr w:type="spellEnd"/>
            <w:r w:rsidR="00D110E7">
              <w:t xml:space="preserve"> skal afvente engrosafregningsopgørelsen, der falder i bestemte frekvenser, som ikke tilgodeser en hurtig slutkundeafregning.</w:t>
            </w:r>
          </w:p>
          <w:p w:rsidR="002B5E57" w:rsidRDefault="002B5E57" w:rsidP="005A1F82">
            <w:pPr>
              <w:pStyle w:val="Tabel-BrdtekstmedafstandptekstGaramond"/>
            </w:pPr>
          </w:p>
          <w:p w:rsidR="002B5E57" w:rsidRDefault="002B5E57" w:rsidP="005A1F82">
            <w:pPr>
              <w:pStyle w:val="Tabel-BrdtekstmedafstandptekstGaramond"/>
            </w:pPr>
          </w:p>
          <w:p w:rsidR="002B5E57" w:rsidRDefault="002B5E57" w:rsidP="005A1F82">
            <w:pPr>
              <w:pStyle w:val="Tabel-BrdtekstmedafstandptekstGaramond"/>
            </w:pPr>
          </w:p>
          <w:p w:rsidR="002B5E57" w:rsidRDefault="002B5E57" w:rsidP="005A1F82">
            <w:pPr>
              <w:pStyle w:val="Tabel-BrdtekstmedafstandptekstGaramond"/>
            </w:pPr>
          </w:p>
          <w:p w:rsidR="002B5E57" w:rsidRDefault="002B5E57" w:rsidP="005A1F82">
            <w:pPr>
              <w:pStyle w:val="Tabel-BrdtekstmedafstandptekstGaramond"/>
            </w:pPr>
          </w:p>
          <w:p w:rsidR="002B5E57" w:rsidRDefault="002B5E57" w:rsidP="005A1F82">
            <w:pPr>
              <w:pStyle w:val="Tabel-BrdtekstmedafstandptekstGaramond"/>
            </w:pPr>
          </w:p>
          <w:p w:rsidR="00DE323B" w:rsidRDefault="00DE323B" w:rsidP="003C0B1A">
            <w:pPr>
              <w:pStyle w:val="Tabel-BrdtekstmedafstandptekstGaramond"/>
            </w:pPr>
          </w:p>
          <w:p w:rsidR="003C0B1A" w:rsidRDefault="002B5E57" w:rsidP="003C0B1A">
            <w:pPr>
              <w:pStyle w:val="Tabel-BrdtekstmedafstandptekstGaramond"/>
            </w:pPr>
            <w:r>
              <w:t xml:space="preserve">Det fremgår, at en </w:t>
            </w:r>
            <w:proofErr w:type="spellStart"/>
            <w:r>
              <w:t>elhandelsvirksomhed</w:t>
            </w:r>
            <w:proofErr w:type="spellEnd"/>
            <w:r>
              <w:t xml:space="preserve"> ved salg af afgiftspligtig elektricitet til en momsregistreret virksomhed ikke må påføre fakturaen oplysning om afgiftsbeløb, før </w:t>
            </w:r>
            <w:proofErr w:type="spellStart"/>
            <w:r>
              <w:t>netselskabet</w:t>
            </w:r>
            <w:proofErr w:type="spellEnd"/>
            <w:r>
              <w:t xml:space="preserve"> har udstedt en faktura med oplysning om afgiftsbeløbet. Det bør præciseres, at der ikke er tale om det samme afgiftsbeløb på de to fakturaer, idet afgiftsbeløbet, der faktureres fra </w:t>
            </w:r>
            <w:proofErr w:type="spellStart"/>
            <w:r>
              <w:t>netvirksomheden</w:t>
            </w:r>
            <w:proofErr w:type="spellEnd"/>
            <w:r>
              <w:t xml:space="preserve"> til </w:t>
            </w:r>
            <w:proofErr w:type="spellStart"/>
            <w:r>
              <w:t>elhandelsvirksomheden</w:t>
            </w:r>
            <w:proofErr w:type="spellEnd"/>
            <w:r>
              <w:t xml:space="preserve"> er på aggregeret niveau for alle aftagenumre, mens </w:t>
            </w:r>
            <w:proofErr w:type="spellStart"/>
            <w:r>
              <w:t>elhandelsvirk</w:t>
            </w:r>
            <w:r w:rsidR="007A7118">
              <w:t>som</w:t>
            </w:r>
            <w:r>
              <w:t>hedens</w:t>
            </w:r>
            <w:proofErr w:type="spellEnd"/>
            <w:r>
              <w:t xml:space="preserve"> fakturering over for momsregistrerede virksomheder alene udgør den for kunden relevante andel. </w:t>
            </w:r>
          </w:p>
          <w:p w:rsidR="003C0B1A" w:rsidRDefault="003C0B1A" w:rsidP="003C0B1A">
            <w:pPr>
              <w:pStyle w:val="Tabel-BrdtekstmedafstandptekstGaramond"/>
            </w:pPr>
          </w:p>
          <w:p w:rsidR="002B5E57" w:rsidRDefault="002B5E57" w:rsidP="003C0B1A">
            <w:pPr>
              <w:pStyle w:val="Tabel-BrdtekstmedafstandptekstGaramond"/>
            </w:pPr>
            <w:r>
              <w:t xml:space="preserve">Det er Dansk Energis opfattelse, at elafgiftsloven ikke har til hensigt at forhindre, at en </w:t>
            </w:r>
            <w:proofErr w:type="spellStart"/>
            <w:r>
              <w:t>elhandelsvirksomhed</w:t>
            </w:r>
            <w:proofErr w:type="spellEnd"/>
            <w:r>
              <w:t xml:space="preserve"> kan opkræve uspecificerede løbende ydelser, som bl.a. kan dække </w:t>
            </w:r>
            <w:proofErr w:type="spellStart"/>
            <w:r>
              <w:t>elhandelsvirksomhedens</w:t>
            </w:r>
            <w:proofErr w:type="spellEnd"/>
            <w:r>
              <w:t xml:space="preserve"> risiko forbundet med, at elafgiften ikke må </w:t>
            </w:r>
            <w:proofErr w:type="spellStart"/>
            <w:r>
              <w:t>forudopkræves</w:t>
            </w:r>
            <w:proofErr w:type="spellEnd"/>
            <w:r>
              <w:t xml:space="preserve">. Dette bedes bekræftet. </w:t>
            </w:r>
          </w:p>
          <w:p w:rsidR="00FA17EE" w:rsidRDefault="00FA17EE" w:rsidP="003C0B1A">
            <w:pPr>
              <w:pStyle w:val="Tabel-BrdtekstmedafstandptekstGaramond"/>
            </w:pPr>
          </w:p>
          <w:p w:rsidR="00FA17EE" w:rsidRDefault="00FA17EE" w:rsidP="003C0B1A">
            <w:pPr>
              <w:pStyle w:val="Tabel-BrdtekstmedafstandptekstGaramond"/>
            </w:pPr>
            <w:r>
              <w:t xml:space="preserve">Afsnit 3.1.2. vedrører </w:t>
            </w:r>
            <w:proofErr w:type="spellStart"/>
            <w:r>
              <w:t>elleverandørers</w:t>
            </w:r>
            <w:proofErr w:type="spellEnd"/>
            <w:r>
              <w:t xml:space="preserve"> fakturering af elafgifter, men ikke den øvrige fakturering.</w:t>
            </w:r>
          </w:p>
          <w:p w:rsidR="00040A16" w:rsidRDefault="00040A16" w:rsidP="003C0B1A">
            <w:pPr>
              <w:pStyle w:val="Tabel-BrdtekstmedafstandptekstGaramond"/>
            </w:pPr>
          </w:p>
          <w:p w:rsidR="00040A16" w:rsidRDefault="000A6CFA" w:rsidP="003C0B1A">
            <w:pPr>
              <w:pStyle w:val="Tabel-BrdtekstmedafstandptekstGaramond"/>
            </w:pPr>
            <w:r>
              <w:t xml:space="preserve">Bestemmelsen om, at afgiftsbeløb, som momsregistrerede virksomheder kan få godtgjort, skal oplyses på </w:t>
            </w:r>
            <w:proofErr w:type="spellStart"/>
            <w:r>
              <w:t>netselskabets</w:t>
            </w:r>
            <w:proofErr w:type="spellEnd"/>
            <w:r>
              <w:t xml:space="preserve"> faktura til </w:t>
            </w:r>
            <w:proofErr w:type="spellStart"/>
            <w:r>
              <w:t>elleverandøren</w:t>
            </w:r>
            <w:proofErr w:type="spellEnd"/>
            <w:r>
              <w:t xml:space="preserve">, er overflødig. </w:t>
            </w:r>
          </w:p>
          <w:p w:rsidR="001C16D3" w:rsidRDefault="001C16D3" w:rsidP="003C0B1A">
            <w:pPr>
              <w:pStyle w:val="Tabel-BrdtekstmedafstandptekstGaramond"/>
            </w:pPr>
          </w:p>
          <w:p w:rsidR="00FA17EE" w:rsidRDefault="001C16D3" w:rsidP="001C16D3">
            <w:pPr>
              <w:pStyle w:val="Tabel-BrdtekstmedafstandptekstGaramond"/>
            </w:pPr>
            <w:r>
              <w:t xml:space="preserve">På side 22 i forslaget nævnes fejlagtigt, at aftagenummeret skal fremgå, når </w:t>
            </w:r>
            <w:proofErr w:type="spellStart"/>
            <w:r>
              <w:t>netselskaber</w:t>
            </w:r>
            <w:proofErr w:type="spellEnd"/>
            <w:r>
              <w:t xml:space="preserve"> fakturerer </w:t>
            </w:r>
            <w:proofErr w:type="spellStart"/>
            <w:r>
              <w:t>elleverandører</w:t>
            </w:r>
            <w:proofErr w:type="spellEnd"/>
            <w:r>
              <w:t>.</w:t>
            </w:r>
          </w:p>
          <w:p w:rsidR="00684EB1" w:rsidRDefault="00684EB1" w:rsidP="001C16D3">
            <w:pPr>
              <w:pStyle w:val="Tabel-BrdtekstmedafstandptekstGaramond"/>
            </w:pPr>
          </w:p>
          <w:p w:rsidR="00684EB1" w:rsidRDefault="0062540C" w:rsidP="0062540C">
            <w:pPr>
              <w:pStyle w:val="Tabel-BrdtekstmedafstandptekstGaramond"/>
            </w:pPr>
            <w:r>
              <w:t xml:space="preserve">Det formodes, at </w:t>
            </w:r>
            <w:proofErr w:type="spellStart"/>
            <w:r>
              <w:t>netselskaberne</w:t>
            </w:r>
            <w:proofErr w:type="spellEnd"/>
            <w:r>
              <w:t xml:space="preserve"> ikke hæfter for fejloplysninger i datahubben, som de ikke selv har lagt ind</w:t>
            </w:r>
            <w:r w:rsidR="001D60B4">
              <w:t>, og som resulter</w:t>
            </w:r>
            <w:r>
              <w:t>er i forkert afgiftsopkrævning.</w:t>
            </w:r>
          </w:p>
          <w:p w:rsidR="00CB4768" w:rsidRDefault="00CB4768" w:rsidP="0062540C">
            <w:pPr>
              <w:pStyle w:val="Tabel-BrdtekstmedafstandptekstGaramond"/>
            </w:pPr>
          </w:p>
          <w:p w:rsidR="00CB4768" w:rsidRDefault="00CB4768" w:rsidP="0062540C">
            <w:pPr>
              <w:pStyle w:val="Tabel-BrdtekstmedafstandptekstGaramond"/>
            </w:pPr>
          </w:p>
          <w:p w:rsidR="00CB4768" w:rsidRDefault="00CB4768" w:rsidP="0062540C">
            <w:pPr>
              <w:pStyle w:val="Tabel-BrdtekstmedafstandptekstGaramond"/>
            </w:pPr>
          </w:p>
          <w:p w:rsidR="00CB4768" w:rsidRDefault="00CB4768" w:rsidP="0062540C">
            <w:pPr>
              <w:pStyle w:val="Tabel-BrdtekstmedafstandptekstGaramond"/>
            </w:pPr>
          </w:p>
          <w:p w:rsidR="00CB4768" w:rsidRDefault="00CB4768" w:rsidP="0062540C">
            <w:pPr>
              <w:pStyle w:val="Tabel-BrdtekstmedafstandptekstGaramond"/>
            </w:pPr>
          </w:p>
          <w:p w:rsidR="00CB4768" w:rsidRDefault="00CB4768" w:rsidP="0062540C">
            <w:pPr>
              <w:pStyle w:val="Tabel-BrdtekstmedafstandptekstGaramond"/>
            </w:pPr>
          </w:p>
          <w:p w:rsidR="000D0513" w:rsidRDefault="000D0513" w:rsidP="0062540C">
            <w:pPr>
              <w:pStyle w:val="Tabel-BrdtekstmedafstandptekstGaramond"/>
            </w:pPr>
          </w:p>
          <w:p w:rsidR="00CB4768" w:rsidRDefault="000D7706" w:rsidP="0062540C">
            <w:pPr>
              <w:pStyle w:val="Tabel-BrdtekstmedafstandptekstGaramond"/>
            </w:pPr>
            <w:r>
              <w:t>Det foreslås, at Energinet.dk skal indmelde elvarmekunder</w:t>
            </w:r>
            <w:r w:rsidR="00D74803">
              <w:t xml:space="preserve"> i BBR</w:t>
            </w:r>
            <w:r>
              <w:t xml:space="preserve"> i datahubben.</w:t>
            </w:r>
          </w:p>
          <w:p w:rsidR="000D7706" w:rsidRDefault="000D7706" w:rsidP="0062540C">
            <w:pPr>
              <w:pStyle w:val="Tabel-BrdtekstmedafstandptekstGaramond"/>
            </w:pPr>
          </w:p>
          <w:p w:rsidR="00F715B9" w:rsidRDefault="00F715B9" w:rsidP="0062540C">
            <w:pPr>
              <w:pStyle w:val="Tabel-BrdtekstmedafstandptekstGaramond"/>
            </w:pPr>
          </w:p>
          <w:p w:rsidR="00F715B9" w:rsidRDefault="00F715B9" w:rsidP="0062540C">
            <w:pPr>
              <w:pStyle w:val="Tabel-BrdtekstmedafstandptekstGaramond"/>
            </w:pPr>
          </w:p>
          <w:p w:rsidR="00F715B9" w:rsidRDefault="00F715B9" w:rsidP="0062540C">
            <w:pPr>
              <w:pStyle w:val="Tabel-BrdtekstmedafstandptekstGaramond"/>
            </w:pPr>
          </w:p>
          <w:p w:rsidR="000D49A3" w:rsidRDefault="00BE0D73" w:rsidP="0062540C">
            <w:pPr>
              <w:pStyle w:val="Tabel-BrdtekstmedafstandptekstGaramond"/>
            </w:pPr>
            <w:r>
              <w:t xml:space="preserve">Det fremgår af forslaget, at </w:t>
            </w:r>
            <w:proofErr w:type="spellStart"/>
            <w:r>
              <w:t>elleverandøren</w:t>
            </w:r>
            <w:proofErr w:type="spellEnd"/>
            <w:r>
              <w:t xml:space="preserve"> ikke må meddele yderligere om særlige afgiftsforhold eller ændringer i særlige afgiftsforhold end oplyst i leveringsaftalen for et aftagenummer til datahubben.  Formuleringen giver indtryk af, at der ikke kan ske senere ændringer, når en leveringsaftale er indgået. </w:t>
            </w:r>
          </w:p>
          <w:p w:rsidR="003B67F5" w:rsidRDefault="003B67F5" w:rsidP="0062540C">
            <w:pPr>
              <w:pStyle w:val="Tabel-BrdtekstmedafstandptekstGaramond"/>
            </w:pPr>
          </w:p>
          <w:p w:rsidR="003B67F5" w:rsidRDefault="003B67F5" w:rsidP="0062540C">
            <w:pPr>
              <w:pStyle w:val="Tabel-BrdtekstmedafstandptekstGaramond"/>
            </w:pPr>
          </w:p>
          <w:p w:rsidR="000D49A3" w:rsidRDefault="000D49A3" w:rsidP="0062540C">
            <w:pPr>
              <w:pStyle w:val="Tabel-BrdtekstmedafstandptekstGaramond"/>
            </w:pPr>
          </w:p>
          <w:p w:rsidR="000D49A3" w:rsidRDefault="000D49A3" w:rsidP="0062540C">
            <w:pPr>
              <w:pStyle w:val="Tabel-BrdtekstmedafstandptekstGaramond"/>
            </w:pPr>
          </w:p>
          <w:p w:rsidR="000D49A3" w:rsidRDefault="000D49A3" w:rsidP="0062540C">
            <w:pPr>
              <w:pStyle w:val="Tabel-BrdtekstmedafstandptekstGaramond"/>
            </w:pPr>
          </w:p>
          <w:p w:rsidR="000D49A3" w:rsidRDefault="000D49A3" w:rsidP="0062540C">
            <w:pPr>
              <w:pStyle w:val="Tabel-BrdtekstmedafstandptekstGaramond"/>
            </w:pPr>
          </w:p>
          <w:p w:rsidR="000D49A3" w:rsidRDefault="00AC6BBD" w:rsidP="0062540C">
            <w:pPr>
              <w:pStyle w:val="Tabel-BrdtekstmedafstandptekstGaramond"/>
            </w:pPr>
            <w:r>
              <w:t xml:space="preserve">Det fremgår af forslaget, at for særlige afgiftsforhold i form af solcelleordninger har </w:t>
            </w:r>
            <w:proofErr w:type="spellStart"/>
            <w:r>
              <w:t>netselskabet</w:t>
            </w:r>
            <w:proofErr w:type="spellEnd"/>
            <w:r>
              <w:t xml:space="preserve"> kun adgang til oplysninger på aggregeret niveau</w:t>
            </w:r>
            <w:r w:rsidR="00396D70">
              <w:t xml:space="preserve"> fra datahubben</w:t>
            </w:r>
            <w:r>
              <w:t xml:space="preserve">. </w:t>
            </w:r>
            <w:proofErr w:type="spellStart"/>
            <w:r>
              <w:t>Netselskaberne</w:t>
            </w:r>
            <w:proofErr w:type="spellEnd"/>
            <w:r>
              <w:t xml:space="preserve"> har brug for disse oplysninger til bl.a. </w:t>
            </w:r>
            <w:r w:rsidR="00396D70">
              <w:t xml:space="preserve">afstemning af afgiftsbetalingen og </w:t>
            </w:r>
            <w:r>
              <w:t xml:space="preserve">dimensionering og drift af </w:t>
            </w:r>
            <w:proofErr w:type="spellStart"/>
            <w:r>
              <w:t>elnettet</w:t>
            </w:r>
            <w:proofErr w:type="spellEnd"/>
            <w:r>
              <w:t xml:space="preserve">. </w:t>
            </w:r>
            <w:proofErr w:type="spellStart"/>
            <w:r w:rsidR="00396D70">
              <w:t>Netselskabet</w:t>
            </w:r>
            <w:proofErr w:type="spellEnd"/>
            <w:r w:rsidR="00396D70">
              <w:t xml:space="preserve"> må ikke kende </w:t>
            </w:r>
            <w:proofErr w:type="spellStart"/>
            <w:r w:rsidR="00396D70">
              <w:t>elleverandørens</w:t>
            </w:r>
            <w:proofErr w:type="spellEnd"/>
            <w:r w:rsidR="00396D70">
              <w:t xml:space="preserve"> identitet på den enkelte kunde, men det virker unødvendigt, at </w:t>
            </w:r>
            <w:proofErr w:type="spellStart"/>
            <w:r w:rsidR="00396D70">
              <w:t>netselskabet</w:t>
            </w:r>
            <w:proofErr w:type="spellEnd"/>
            <w:r w:rsidR="00396D70">
              <w:t xml:space="preserve"> ikke må kende de særlige afgiftsmæssige forhold omkring den enkelte kunde.</w:t>
            </w:r>
            <w:r>
              <w:t xml:space="preserve"> </w:t>
            </w:r>
          </w:p>
          <w:p w:rsidR="00F715B9" w:rsidRDefault="00F715B9" w:rsidP="0062540C">
            <w:pPr>
              <w:pStyle w:val="Tabel-BrdtekstmedafstandptekstGaramond"/>
            </w:pPr>
          </w:p>
          <w:p w:rsidR="009E3C0F" w:rsidRDefault="00E4398A" w:rsidP="0062540C">
            <w:pPr>
              <w:pStyle w:val="Tabel-BrdtekstmedafstandptekstGaramond"/>
            </w:pPr>
            <w:r>
              <w:t>I forhold til momsregistrerede virksomheder er det ikke nødvendigt, at det skal fremgå af købsaftalen, at køber er en momsregistreret virk</w:t>
            </w:r>
            <w:r w:rsidR="00F70126">
              <w:t>som</w:t>
            </w:r>
            <w:r>
              <w:t>hed med angivelse af CVR- eller SE-nr. for momsregistreringen.</w:t>
            </w:r>
            <w:r w:rsidR="009E3C0F">
              <w:t xml:space="preserve"> </w:t>
            </w:r>
            <w:r>
              <w:t>Det bør være tilstrækkeligt, at kun</w:t>
            </w:r>
            <w:r w:rsidR="00F40BD8">
              <w:t xml:space="preserve">dens CVR- eller SE-nr. </w:t>
            </w:r>
            <w:r>
              <w:t>fremgå</w:t>
            </w:r>
            <w:r w:rsidR="00F40BD8">
              <w:t>r</w:t>
            </w:r>
            <w:r w:rsidR="0083634F">
              <w:t xml:space="preserve"> </w:t>
            </w:r>
            <w:r>
              <w:t>af købsaftalen.</w:t>
            </w:r>
            <w:r w:rsidR="00041276">
              <w:t xml:space="preserve"> </w:t>
            </w:r>
          </w:p>
          <w:p w:rsidR="009E3C0F" w:rsidRDefault="009E3C0F" w:rsidP="0062540C">
            <w:pPr>
              <w:pStyle w:val="Tabel-BrdtekstmedafstandptekstGaramond"/>
            </w:pPr>
          </w:p>
          <w:p w:rsidR="006D2B11" w:rsidRDefault="00041276" w:rsidP="0062540C">
            <w:pPr>
              <w:pStyle w:val="Tabel-BrdtekstmedafstandptekstGaramond"/>
            </w:pPr>
            <w:r>
              <w:t xml:space="preserve">Endvidere skal </w:t>
            </w:r>
            <w:r w:rsidR="008D230F">
              <w:t xml:space="preserve">den </w:t>
            </w:r>
            <w:proofErr w:type="spellStart"/>
            <w:r w:rsidR="008D230F">
              <w:t>momsregistrede</w:t>
            </w:r>
            <w:proofErr w:type="spellEnd"/>
            <w:r w:rsidR="008D230F">
              <w:t xml:space="preserve"> </w:t>
            </w:r>
            <w:r>
              <w:t xml:space="preserve">kundes CVR- eller SE-nr. </w:t>
            </w:r>
            <w:r w:rsidR="004B2AB8">
              <w:t xml:space="preserve">efter forslaget </w:t>
            </w:r>
            <w:r>
              <w:t>fremgå af fakturaen til kunden. Det bør ikke være nødvendigt.</w:t>
            </w:r>
            <w:r w:rsidR="00E4398A">
              <w:t xml:space="preserve"> </w:t>
            </w:r>
          </w:p>
          <w:p w:rsidR="006D2B11" w:rsidRDefault="006D2B11" w:rsidP="0062540C">
            <w:pPr>
              <w:pStyle w:val="Tabel-BrdtekstmedafstandptekstGaramond"/>
            </w:pPr>
          </w:p>
          <w:p w:rsidR="009E3C0F" w:rsidRDefault="009E3C0F" w:rsidP="0062540C">
            <w:pPr>
              <w:pStyle w:val="Tabel-BrdtekstmedafstandptekstGaramond"/>
            </w:pPr>
          </w:p>
          <w:p w:rsidR="00E50FA3" w:rsidRDefault="00E50FA3" w:rsidP="0062540C">
            <w:pPr>
              <w:pStyle w:val="Tabel-BrdtekstmedafstandptekstGaramond"/>
            </w:pPr>
          </w:p>
          <w:p w:rsidR="00B748FE" w:rsidRDefault="00B748FE" w:rsidP="0062540C">
            <w:pPr>
              <w:pStyle w:val="Tabel-BrdtekstmedafstandptekstGaramond"/>
            </w:pPr>
          </w:p>
          <w:p w:rsidR="00113D6B" w:rsidRDefault="00D81B7B" w:rsidP="00A7777E">
            <w:pPr>
              <w:pStyle w:val="Tabel-BrdtekstmedafstandptekstGaramond"/>
            </w:pPr>
            <w:r>
              <w:t xml:space="preserve">Det bør præciseres, at i tilfælde af konstateret tyveri af elektricitet har </w:t>
            </w:r>
            <w:proofErr w:type="spellStart"/>
            <w:r>
              <w:t>netselskabet</w:t>
            </w:r>
            <w:proofErr w:type="spellEnd"/>
            <w:r>
              <w:t xml:space="preserve"> ret til at opkræve afgifter direkte hos kunden.</w:t>
            </w:r>
          </w:p>
          <w:p w:rsidR="00B230A7" w:rsidRDefault="00B230A7" w:rsidP="00A7777E">
            <w:pPr>
              <w:pStyle w:val="Tabel-BrdtekstmedafstandptekstGaramond"/>
            </w:pPr>
          </w:p>
          <w:p w:rsidR="00113D6B" w:rsidRDefault="00113D6B" w:rsidP="00A7777E">
            <w:pPr>
              <w:pStyle w:val="Tabel-BrdtekstmedafstandptekstGaramond"/>
            </w:pPr>
          </w:p>
          <w:p w:rsidR="00113D6B" w:rsidRDefault="00113D6B" w:rsidP="00A7777E">
            <w:pPr>
              <w:pStyle w:val="Tabel-BrdtekstmedafstandptekstGaramond"/>
            </w:pPr>
          </w:p>
          <w:p w:rsidR="00113D6B" w:rsidRDefault="00113D6B" w:rsidP="00A7777E">
            <w:pPr>
              <w:pStyle w:val="Tabel-BrdtekstmedafstandptekstGaramond"/>
            </w:pPr>
          </w:p>
          <w:p w:rsidR="00A7777E" w:rsidRDefault="00A7777E" w:rsidP="00A7777E">
            <w:pPr>
              <w:pStyle w:val="Tabel-BrdtekstmedafstandptekstGaramond"/>
            </w:pPr>
          </w:p>
          <w:p w:rsidR="00A7777E" w:rsidRDefault="00A7777E" w:rsidP="00A7777E">
            <w:pPr>
              <w:pStyle w:val="Tabel-BrdtekstmedafstandptekstGaramond"/>
              <w:ind w:left="0"/>
            </w:pPr>
          </w:p>
          <w:p w:rsidR="00A7777E" w:rsidRDefault="00A7777E" w:rsidP="00A7777E">
            <w:pPr>
              <w:pStyle w:val="Tabel-BrdtekstmedafstandptekstGaramond"/>
            </w:pPr>
          </w:p>
          <w:p w:rsidR="005501EF" w:rsidRDefault="00CB1C0D" w:rsidP="0062540C">
            <w:pPr>
              <w:pStyle w:val="Tabel-BrdtekstmedafstandptekstGaramond"/>
            </w:pPr>
            <w:r>
              <w:t>Det er ikke korrekt, at forslaget ikke medfører nævneværdige administrative konsekvenser for erhvervslivet.</w:t>
            </w: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7A2CA3" w:rsidRDefault="007A2CA3" w:rsidP="0062540C">
            <w:pPr>
              <w:pStyle w:val="Tabel-BrdtekstmedafstandptekstGaramond"/>
            </w:pPr>
          </w:p>
          <w:p w:rsidR="007A2CA3" w:rsidRDefault="007A2CA3" w:rsidP="0062540C">
            <w:pPr>
              <w:pStyle w:val="Tabel-BrdtekstmedafstandptekstGaramond"/>
            </w:pPr>
          </w:p>
          <w:p w:rsidR="007A2CA3" w:rsidRDefault="007A2CA3" w:rsidP="0062540C">
            <w:pPr>
              <w:pStyle w:val="Tabel-BrdtekstmedafstandptekstGaramond"/>
            </w:pPr>
          </w:p>
          <w:p w:rsidR="007A2CA3" w:rsidRDefault="007A2CA3" w:rsidP="0062540C">
            <w:pPr>
              <w:pStyle w:val="Tabel-BrdtekstmedafstandptekstGaramond"/>
            </w:pPr>
          </w:p>
          <w:p w:rsidR="007A2CA3" w:rsidRDefault="007A2CA3" w:rsidP="0062540C">
            <w:pPr>
              <w:pStyle w:val="Tabel-BrdtekstmedafstandptekstGaramond"/>
            </w:pPr>
          </w:p>
          <w:p w:rsidR="007A2CA3" w:rsidRDefault="007A2CA3"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7A2CA3" w:rsidRDefault="007A2CA3" w:rsidP="0062540C">
            <w:pPr>
              <w:pStyle w:val="Tabel-BrdtekstmedafstandptekstGaramond"/>
            </w:pPr>
          </w:p>
          <w:p w:rsidR="005501EF" w:rsidRDefault="005501EF" w:rsidP="0062540C">
            <w:pPr>
              <w:pStyle w:val="Tabel-BrdtekstmedafstandptekstGaramond"/>
            </w:pPr>
          </w:p>
          <w:p w:rsidR="005501EF" w:rsidRDefault="005501EF" w:rsidP="0062540C">
            <w:pPr>
              <w:pStyle w:val="Tabel-BrdtekstmedafstandptekstGaramond"/>
            </w:pPr>
          </w:p>
          <w:p w:rsidR="000D7706" w:rsidRDefault="00E1041E" w:rsidP="0062540C">
            <w:pPr>
              <w:pStyle w:val="Tabel-BrdtekstmedafstandptekstGaramond"/>
            </w:pPr>
            <w:r>
              <w:t xml:space="preserve">Der opfordres til, at det tydeliggøres, at der for </w:t>
            </w:r>
            <w:proofErr w:type="spellStart"/>
            <w:r>
              <w:t>elopvarmede</w:t>
            </w:r>
            <w:proofErr w:type="spellEnd"/>
            <w:r>
              <w:t xml:space="preserve"> boliger er tale om en ændring af praksis. </w:t>
            </w:r>
          </w:p>
          <w:p w:rsidR="000D7706" w:rsidRDefault="000D7706" w:rsidP="0062540C">
            <w:pPr>
              <w:pStyle w:val="Tabel-BrdtekstmedafstandptekstGaramond"/>
            </w:pPr>
          </w:p>
          <w:p w:rsidR="00B75C00" w:rsidRDefault="00B75C00" w:rsidP="0062540C">
            <w:pPr>
              <w:pStyle w:val="Tabel-BrdtekstmedafstandptekstGaramond"/>
            </w:pPr>
          </w:p>
          <w:p w:rsidR="000D7706" w:rsidRDefault="000D7706" w:rsidP="0062540C">
            <w:pPr>
              <w:pStyle w:val="Tabel-BrdtekstmedafstandptekstGaramond"/>
            </w:pPr>
          </w:p>
          <w:p w:rsidR="003D2156" w:rsidRDefault="00727C8A" w:rsidP="003D2156">
            <w:pPr>
              <w:pStyle w:val="Tabel-BrdtekstmedafstandptekstGaramond"/>
            </w:pPr>
            <w:r>
              <w:t>For så vidt angår de 4.000 kWh for kunder med elvarme nævnes</w:t>
            </w:r>
            <w:r w:rsidR="003D2156">
              <w:t xml:space="preserve"> opgørelse i kalendermåneder i forbindelse med leverandørskifte, men et skift kan ske på en vilkårlig dato. Det anbefales, at kalendermåneder ændres til dage.</w:t>
            </w:r>
          </w:p>
          <w:p w:rsidR="000D7706" w:rsidRDefault="000D7706" w:rsidP="0062540C">
            <w:pPr>
              <w:pStyle w:val="Tabel-BrdtekstmedafstandptekstGaramond"/>
            </w:pPr>
          </w:p>
          <w:p w:rsidR="000D7706" w:rsidRDefault="004E69B0" w:rsidP="0062540C">
            <w:pPr>
              <w:pStyle w:val="Tabel-BrdtekstmedafstandptekstGaramond"/>
            </w:pPr>
            <w:r>
              <w:t>Den nuværende hjemmel til at udstede en bekendtgørelse i relation til kunder med elvarme udgår. Dansk Energi foreslår, at det overvejes at beholde bekendtgørelseshjemlen eller alternativt uddybe lovbestemmelsen yderligere.</w:t>
            </w:r>
          </w:p>
          <w:p w:rsidR="00CB4768" w:rsidRDefault="00CB4768" w:rsidP="0062540C">
            <w:pPr>
              <w:pStyle w:val="Tabel-BrdtekstmedafstandptekstGaramond"/>
            </w:pPr>
          </w:p>
          <w:p w:rsidR="001F32D1" w:rsidRDefault="009C1C3A" w:rsidP="0062540C">
            <w:pPr>
              <w:pStyle w:val="Tabel-BrdtekstmedafstandptekstGaramond"/>
            </w:pPr>
            <w:r>
              <w:t xml:space="preserve">I forbindelse med overgangen til engrosmodellen er det mest oplagt, at </w:t>
            </w:r>
            <w:proofErr w:type="spellStart"/>
            <w:r>
              <w:t>netselskabernes</w:t>
            </w:r>
            <w:proofErr w:type="spellEnd"/>
            <w:r>
              <w:t xml:space="preserve"> oplysninger om særlige afgiftsforhold indberettes til datahubben, hvorefter </w:t>
            </w:r>
            <w:proofErr w:type="spellStart"/>
            <w:r>
              <w:t>elleverandøren</w:t>
            </w:r>
            <w:proofErr w:type="spellEnd"/>
            <w:r>
              <w:t xml:space="preserve"> kan tage udgangspunkt i disse oplysninger. </w:t>
            </w:r>
          </w:p>
          <w:p w:rsidR="00B16D74" w:rsidRDefault="00B16D74" w:rsidP="0062540C">
            <w:pPr>
              <w:pStyle w:val="Tabel-BrdtekstmedafstandptekstGaramond"/>
            </w:pPr>
          </w:p>
          <w:p w:rsidR="00B16D74" w:rsidRDefault="00DA3D4A" w:rsidP="0062540C">
            <w:pPr>
              <w:pStyle w:val="Tabel-BrdtekstmedafstandptekstGaramond"/>
            </w:pPr>
            <w:r>
              <w:t>D</w:t>
            </w:r>
            <w:r w:rsidR="00B16D74" w:rsidRPr="00B16D74">
              <w:t xml:space="preserve">er er </w:t>
            </w:r>
            <w:r w:rsidR="00C51C20">
              <w:t xml:space="preserve">ikke </w:t>
            </w:r>
            <w:r w:rsidR="00B16D74" w:rsidRPr="00B16D74">
              <w:t xml:space="preserve">saglige argumenter for, at det skulle være mere risikobetonet at lade </w:t>
            </w:r>
            <w:proofErr w:type="spellStart"/>
            <w:r w:rsidR="00B16D74" w:rsidRPr="00B16D74">
              <w:t>elhandelsvirksomheder</w:t>
            </w:r>
            <w:proofErr w:type="spellEnd"/>
            <w:r w:rsidR="00B16D74" w:rsidRPr="00B16D74">
              <w:t xml:space="preserve"> stå for indbetaling af </w:t>
            </w:r>
            <w:proofErr w:type="spellStart"/>
            <w:r w:rsidR="00B16D74" w:rsidRPr="00B16D74">
              <w:t>SKATs</w:t>
            </w:r>
            <w:proofErr w:type="spellEnd"/>
            <w:r w:rsidR="00B16D74" w:rsidRPr="00B16D74">
              <w:t xml:space="preserve"> afgifter, som i den </w:t>
            </w:r>
            <w:r w:rsidR="00B16D74">
              <w:t>oprindelige engrosmo</w:t>
            </w:r>
            <w:r w:rsidR="00B16D74" w:rsidRPr="00B16D74">
              <w:t>del, fremfor at de</w:t>
            </w:r>
            <w:r w:rsidR="00B16D74">
              <w:t xml:space="preserve">t er </w:t>
            </w:r>
            <w:proofErr w:type="spellStart"/>
            <w:r w:rsidR="00B16D74">
              <w:t>netvirksom</w:t>
            </w:r>
            <w:r w:rsidR="00B16D74" w:rsidRPr="00B16D74">
              <w:t>heden</w:t>
            </w:r>
            <w:proofErr w:type="spellEnd"/>
            <w:r w:rsidR="00B16D74" w:rsidRPr="00B16D74">
              <w:t>, der skal stå for indbetaling af afgifter, som foreslået.</w:t>
            </w:r>
          </w:p>
          <w:p w:rsidR="00FB5A5B" w:rsidRDefault="00FB5A5B" w:rsidP="0062540C">
            <w:pPr>
              <w:pStyle w:val="Tabel-BrdtekstmedafstandptekstGaramond"/>
            </w:pPr>
          </w:p>
          <w:p w:rsidR="00FB5A5B" w:rsidRDefault="00FB5A5B" w:rsidP="0062540C">
            <w:pPr>
              <w:pStyle w:val="Tabel-BrdtekstmedafstandptekstGaramond"/>
            </w:pPr>
          </w:p>
          <w:p w:rsidR="00FB5A5B" w:rsidRDefault="00FB5A5B" w:rsidP="0062540C">
            <w:pPr>
              <w:pStyle w:val="Tabel-BrdtekstmedafstandptekstGaramond"/>
            </w:pPr>
          </w:p>
          <w:p w:rsidR="00FB5A5B" w:rsidRDefault="00FB5A5B" w:rsidP="0062540C">
            <w:pPr>
              <w:pStyle w:val="Tabel-BrdtekstmedafstandptekstGaramond"/>
            </w:pPr>
          </w:p>
          <w:p w:rsidR="00FB5A5B" w:rsidRDefault="00FB5A5B" w:rsidP="0062540C">
            <w:pPr>
              <w:pStyle w:val="Tabel-BrdtekstmedafstandptekstGaramond"/>
            </w:pPr>
          </w:p>
          <w:p w:rsidR="00FB5A5B" w:rsidRDefault="00FB5A5B" w:rsidP="0062540C">
            <w:pPr>
              <w:pStyle w:val="Tabel-BrdtekstmedafstandptekstGaramond"/>
            </w:pPr>
          </w:p>
          <w:p w:rsidR="00FB5A5B" w:rsidRDefault="00FB5A5B" w:rsidP="0062540C">
            <w:pPr>
              <w:pStyle w:val="Tabel-BrdtekstmedafstandptekstGaramond"/>
            </w:pPr>
          </w:p>
          <w:p w:rsidR="00FB5A5B" w:rsidRDefault="00FB5A5B"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DA3D4A" w:rsidRDefault="00DA3D4A" w:rsidP="0062540C">
            <w:pPr>
              <w:pStyle w:val="Tabel-BrdtekstmedafstandptekstGaramond"/>
            </w:pPr>
          </w:p>
          <w:p w:rsidR="00B16D74" w:rsidRDefault="00B16D74" w:rsidP="0062540C">
            <w:pPr>
              <w:pStyle w:val="Tabel-BrdtekstmedafstandptekstGaramond"/>
            </w:pPr>
          </w:p>
          <w:p w:rsidR="00B16D74" w:rsidRDefault="00DA3D4A" w:rsidP="0062540C">
            <w:pPr>
              <w:pStyle w:val="Tabel-BrdtekstmedafstandptekstGaramond"/>
            </w:pPr>
            <w:r>
              <w:t xml:space="preserve">Foreslår, at </w:t>
            </w:r>
            <w:proofErr w:type="spellStart"/>
            <w:r>
              <w:t>værnsreg</w:t>
            </w:r>
            <w:r w:rsidR="00B16D74" w:rsidRPr="00B16D74">
              <w:t>len</w:t>
            </w:r>
            <w:proofErr w:type="spellEnd"/>
            <w:r w:rsidR="00B16D74" w:rsidRPr="00B16D74">
              <w:t xml:space="preserve"> mod </w:t>
            </w:r>
            <w:proofErr w:type="spellStart"/>
            <w:r w:rsidR="00B16D74" w:rsidRPr="00B16D74">
              <w:t>forudfakturering</w:t>
            </w:r>
            <w:proofErr w:type="spellEnd"/>
            <w:r w:rsidR="00B16D74" w:rsidRPr="00B16D74">
              <w:t xml:space="preserve"> begrænses til fakturering af forbrug på målere på et forbrug på over 0,1 mio. kWh årligt.</w:t>
            </w:r>
          </w:p>
          <w:p w:rsidR="00B75C00" w:rsidRDefault="00B75C00"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B16D74" w:rsidRDefault="00B16D74" w:rsidP="0062540C">
            <w:pPr>
              <w:pStyle w:val="Tabel-BrdtekstmedafstandptekstGaramond"/>
            </w:pPr>
          </w:p>
          <w:p w:rsidR="00390BCD" w:rsidRDefault="00390BCD" w:rsidP="0062540C">
            <w:pPr>
              <w:pStyle w:val="Tabel-BrdtekstmedafstandptekstGaramond"/>
            </w:pPr>
          </w:p>
          <w:p w:rsidR="00B16D74" w:rsidRDefault="00DA3D4A" w:rsidP="00F55368">
            <w:pPr>
              <w:pStyle w:val="Tabel-BrdtekstmedafstandptekstGaramond"/>
            </w:pPr>
            <w:r>
              <w:t>Det</w:t>
            </w:r>
            <w:r w:rsidR="00B16D74" w:rsidRPr="00B16D74">
              <w:t xml:space="preserve"> ønske</w:t>
            </w:r>
            <w:r>
              <w:t>s</w:t>
            </w:r>
            <w:r w:rsidR="00B16D74" w:rsidRPr="00B16D74">
              <w:t xml:space="preserve"> bekræftet, at den nævnte varige belastning på 50 mio. kr. er udtryk for den varige belastning af engangstabet på 1 mia. kr. som følge af senere indbetaling af elafgift til SKAT.</w:t>
            </w:r>
          </w:p>
        </w:tc>
        <w:tc>
          <w:tcPr>
            <w:tcW w:w="217" w:type="dxa"/>
            <w:shd w:val="clear" w:color="auto" w:fill="FFFFFF" w:themeFill="background1"/>
          </w:tcPr>
          <w:p w:rsidR="002B5E57" w:rsidRPr="00B5346F" w:rsidRDefault="002B5E57" w:rsidP="005A1F82"/>
        </w:tc>
        <w:tc>
          <w:tcPr>
            <w:tcW w:w="3407" w:type="dxa"/>
            <w:tcBorders>
              <w:bottom w:val="single" w:sz="4" w:space="0" w:color="14143C" w:themeColor="accent1"/>
            </w:tcBorders>
            <w:shd w:val="clear" w:color="auto" w:fill="D2CED8"/>
          </w:tcPr>
          <w:p w:rsidR="0046168A" w:rsidRDefault="00B93904" w:rsidP="003A46C4">
            <w:pPr>
              <w:pStyle w:val="Tabel-BrdtekstmedafstandptekstGaramond"/>
            </w:pPr>
            <w:r>
              <w:t xml:space="preserve">Det tiltrædes. </w:t>
            </w:r>
            <w:r w:rsidR="003A46C4">
              <w:t>Ikrafttrædelsesdatoen for engrosmodellen vil blive ændret fra den 1. marts 2016 til den 1. april 2016.</w:t>
            </w:r>
          </w:p>
          <w:p w:rsidR="0046168A" w:rsidRDefault="0046168A" w:rsidP="003A46C4">
            <w:pPr>
              <w:pStyle w:val="Tabel-BrdtekstmedafstandptekstGaramond"/>
            </w:pPr>
          </w:p>
          <w:p w:rsidR="0046168A" w:rsidRDefault="00B16D74" w:rsidP="003A46C4">
            <w:pPr>
              <w:pStyle w:val="Tabel-BrdtekstmedafstandptekstGaramond"/>
            </w:pPr>
            <w:r w:rsidRPr="00B16D74">
              <w:t xml:space="preserve">Uden </w:t>
            </w:r>
            <w:proofErr w:type="spellStart"/>
            <w:r w:rsidRPr="00B16D74">
              <w:t>værnsregel</w:t>
            </w:r>
            <w:proofErr w:type="spellEnd"/>
            <w:r w:rsidRPr="00B16D74">
              <w:t xml:space="preserve"> mod </w:t>
            </w:r>
            <w:proofErr w:type="spellStart"/>
            <w:r w:rsidRPr="00B16D74">
              <w:t>forudfakturering</w:t>
            </w:r>
            <w:proofErr w:type="spellEnd"/>
            <w:r w:rsidRPr="00B16D74">
              <w:t xml:space="preserve"> vil der opstå en risiko for, at virksomheder får godtgjort elafgifter, før elafgifterne er indbetalt til SKAT, hvilket kan medføre betydelige tab for statskassen. </w:t>
            </w:r>
            <w:proofErr w:type="spellStart"/>
            <w:r w:rsidRPr="00B16D74">
              <w:t>Værnsreglen</w:t>
            </w:r>
            <w:proofErr w:type="spellEnd"/>
            <w:r w:rsidRPr="00B16D74">
              <w:t xml:space="preserve"> er således en forudsætning for, at engrosmodellen kan blive implementeret. V</w:t>
            </w:r>
            <w:r w:rsidR="00277B6D">
              <w:t xml:space="preserve">ed udformningen af </w:t>
            </w:r>
            <w:proofErr w:type="spellStart"/>
            <w:r w:rsidR="00277B6D">
              <w:t>værnsreglen</w:t>
            </w:r>
            <w:proofErr w:type="spellEnd"/>
            <w:r w:rsidR="00277B6D">
              <w:t xml:space="preserve"> er der lagt vægt på, dels at</w:t>
            </w:r>
            <w:r w:rsidR="00697E66">
              <w:t xml:space="preserve"> de administrative omkostninger </w:t>
            </w:r>
            <w:r w:rsidR="00277B6D">
              <w:t>begrænses,</w:t>
            </w:r>
            <w:r w:rsidR="00697E66">
              <w:t xml:space="preserve"> </w:t>
            </w:r>
            <w:r w:rsidR="00277B6D">
              <w:t xml:space="preserve">dels </w:t>
            </w:r>
            <w:proofErr w:type="gramStart"/>
            <w:r w:rsidR="00277B6D">
              <w:t xml:space="preserve">at </w:t>
            </w:r>
            <w:r w:rsidR="00697E66">
              <w:t xml:space="preserve"> </w:t>
            </w:r>
            <w:r w:rsidR="00277B6D">
              <w:t>der</w:t>
            </w:r>
            <w:proofErr w:type="gramEnd"/>
            <w:r w:rsidR="00277B6D">
              <w:t xml:space="preserve"> </w:t>
            </w:r>
            <w:r w:rsidRPr="00B16D74">
              <w:t>gribe</w:t>
            </w:r>
            <w:r w:rsidR="00277B6D">
              <w:t>s</w:t>
            </w:r>
            <w:r w:rsidRPr="00B16D74">
              <w:t xml:space="preserve"> mindst mu</w:t>
            </w:r>
            <w:r w:rsidR="00697E66">
              <w:t xml:space="preserve">ligt ind i </w:t>
            </w:r>
            <w:r w:rsidRPr="00B16D74">
              <w:t xml:space="preserve">konkurrencen på elmarkedet. </w:t>
            </w:r>
            <w:proofErr w:type="spellStart"/>
            <w:r w:rsidR="00237122" w:rsidRPr="00237122">
              <w:t>Værnsreglen</w:t>
            </w:r>
            <w:proofErr w:type="spellEnd"/>
            <w:r w:rsidR="00237122" w:rsidRPr="00237122">
              <w:t xml:space="preserve"> mod forudbetaling gælder alene elafgifter. Hvordan der elle</w:t>
            </w:r>
            <w:r w:rsidR="0011709B">
              <w:t>r</w:t>
            </w:r>
            <w:r w:rsidR="00237122" w:rsidRPr="00237122">
              <w:t xml:space="preserve">s faktureres mellem </w:t>
            </w:r>
            <w:proofErr w:type="spellStart"/>
            <w:r w:rsidR="00237122" w:rsidRPr="00237122">
              <w:t>elkunde</w:t>
            </w:r>
            <w:proofErr w:type="spellEnd"/>
            <w:r w:rsidR="00237122" w:rsidRPr="00237122">
              <w:t xml:space="preserve"> og </w:t>
            </w:r>
            <w:proofErr w:type="spellStart"/>
            <w:r w:rsidR="00237122" w:rsidRPr="00237122">
              <w:t>elhandelsvirksomhed</w:t>
            </w:r>
            <w:proofErr w:type="spellEnd"/>
            <w:r w:rsidR="00237122" w:rsidRPr="00237122">
              <w:t xml:space="preserve"> er et internt kundeforhold, hvilket ikke reguleres i Skatteministeriets lovgivning. Det bemærkes, at ikke-momsregistrerede </w:t>
            </w:r>
            <w:proofErr w:type="spellStart"/>
            <w:r w:rsidR="00237122" w:rsidRPr="00237122">
              <w:t>elkunder</w:t>
            </w:r>
            <w:proofErr w:type="spellEnd"/>
            <w:r w:rsidR="00237122" w:rsidRPr="00237122">
              <w:t xml:space="preserve"> kan </w:t>
            </w:r>
            <w:proofErr w:type="spellStart"/>
            <w:r w:rsidR="00237122" w:rsidRPr="00237122">
              <w:t>forudfaktureres</w:t>
            </w:r>
            <w:proofErr w:type="spellEnd"/>
            <w:r w:rsidR="00237122" w:rsidRPr="00237122">
              <w:t xml:space="preserve"> for elafgiften.</w:t>
            </w:r>
          </w:p>
          <w:p w:rsidR="00237122" w:rsidRDefault="00237122" w:rsidP="003A46C4">
            <w:pPr>
              <w:pStyle w:val="Tabel-BrdtekstmedafstandptekstGaramond"/>
            </w:pPr>
          </w:p>
          <w:p w:rsidR="00E3117F" w:rsidRDefault="0046168A" w:rsidP="0046168A">
            <w:pPr>
              <w:pStyle w:val="Tabel-BrdtekstmedafstandptekstGaramond"/>
            </w:pPr>
            <w:r>
              <w:t>De foreslåede afgiftsregler ses ikke at være til hinder for dette.</w:t>
            </w:r>
          </w:p>
          <w:p w:rsidR="00113D6B" w:rsidRDefault="00113D6B" w:rsidP="0046168A">
            <w:pPr>
              <w:pStyle w:val="Tabel-BrdtekstmedafstandptekstGaramond"/>
            </w:pPr>
          </w:p>
          <w:p w:rsidR="00B75C00" w:rsidRDefault="00B75C00" w:rsidP="0046168A">
            <w:pPr>
              <w:pStyle w:val="Tabel-BrdtekstmedafstandptekstGaramond"/>
            </w:pPr>
          </w:p>
          <w:p w:rsidR="00B75C00" w:rsidRDefault="00B75C00" w:rsidP="0046168A">
            <w:pPr>
              <w:pStyle w:val="Tabel-BrdtekstmedafstandptekstGaramond"/>
            </w:pPr>
          </w:p>
          <w:p w:rsidR="00C452CB" w:rsidRDefault="00C452CB" w:rsidP="0046168A">
            <w:pPr>
              <w:pStyle w:val="Tabel-BrdtekstmedafstandptekstGaramond"/>
            </w:pPr>
          </w:p>
          <w:p w:rsidR="00F35583" w:rsidRDefault="00C452CB" w:rsidP="007C0F1D">
            <w:pPr>
              <w:pStyle w:val="Tabel-BrdtekstmedafstandptekstGaramond"/>
            </w:pPr>
            <w:r w:rsidRPr="00C452CB">
              <w:t>I visse situationer korrigeres engrosafregningsgrundlaget i data</w:t>
            </w:r>
            <w:r>
              <w:t xml:space="preserve">hubben </w:t>
            </w:r>
            <w:r w:rsidRPr="00C452CB">
              <w:t xml:space="preserve">mere end et år efter, at forbruget har fundet sted, og først på dette tidspunkt </w:t>
            </w:r>
            <w:r w:rsidR="00F35583">
              <w:t xml:space="preserve">kan der </w:t>
            </w:r>
            <w:r w:rsidR="00251528">
              <w:t xml:space="preserve">afgiftsmæssigt </w:t>
            </w:r>
            <w:r w:rsidRPr="00C452CB">
              <w:t xml:space="preserve">afregnes endeligt mellem </w:t>
            </w:r>
            <w:proofErr w:type="spellStart"/>
            <w:r w:rsidRPr="00C452CB">
              <w:t>netvirksomheden</w:t>
            </w:r>
            <w:proofErr w:type="spellEnd"/>
            <w:r w:rsidRPr="00C452CB">
              <w:t xml:space="preserve"> og </w:t>
            </w:r>
            <w:proofErr w:type="spellStart"/>
            <w:r w:rsidRPr="00C452CB">
              <w:t>elhandelsvirksomheden</w:t>
            </w:r>
            <w:proofErr w:type="spellEnd"/>
            <w:r w:rsidRPr="00C452CB">
              <w:t>. Det er for lang tid</w:t>
            </w:r>
            <w:r w:rsidR="00251528">
              <w:t xml:space="preserve">. </w:t>
            </w:r>
            <w:r w:rsidRPr="00C452CB">
              <w:t xml:space="preserve">Derfor foreslås en modifikation af </w:t>
            </w:r>
            <w:proofErr w:type="spellStart"/>
            <w:r w:rsidRPr="00C452CB">
              <w:t>værnsreglen</w:t>
            </w:r>
            <w:proofErr w:type="spellEnd"/>
            <w:r w:rsidRPr="00C452CB">
              <w:t xml:space="preserve"> for </w:t>
            </w:r>
            <w:r w:rsidR="00F35583">
              <w:t xml:space="preserve">den situation, hvori </w:t>
            </w:r>
            <w:proofErr w:type="spellStart"/>
            <w:r w:rsidRPr="00C452CB">
              <w:t>netvirksomheden</w:t>
            </w:r>
            <w:proofErr w:type="spellEnd"/>
            <w:r w:rsidRPr="00C452CB">
              <w:t xml:space="preserve"> </w:t>
            </w:r>
            <w:r w:rsidR="00F35583">
              <w:t xml:space="preserve">først </w:t>
            </w:r>
            <w:r w:rsidRPr="00C452CB">
              <w:t xml:space="preserve">har sendt en faktura for </w:t>
            </w:r>
            <w:r w:rsidR="00F35583">
              <w:t>forbrugs</w:t>
            </w:r>
            <w:r w:rsidRPr="00C452CB">
              <w:t>perioden med afgift</w:t>
            </w:r>
            <w:r w:rsidR="00251528">
              <w:t>er</w:t>
            </w:r>
            <w:r w:rsidRPr="00C452CB">
              <w:t xml:space="preserve"> til </w:t>
            </w:r>
            <w:proofErr w:type="spellStart"/>
            <w:r w:rsidRPr="00C452CB">
              <w:t>elhandelsvirksomheden</w:t>
            </w:r>
            <w:proofErr w:type="spellEnd"/>
            <w:r w:rsidRPr="00C452CB">
              <w:t xml:space="preserve">. Modifikationen betyder, at </w:t>
            </w:r>
            <w:proofErr w:type="spellStart"/>
            <w:r w:rsidRPr="00C452CB">
              <w:t>elhandelsvirksomheden</w:t>
            </w:r>
            <w:proofErr w:type="spellEnd"/>
            <w:r w:rsidRPr="00C452CB">
              <w:t xml:space="preserve"> ved endelig fakturering for en forbrugsperiode kan fakturere et afgiftsbeløb, som er baseret på en måleraflæsning oplyst i datahubben på det givne tidspunkt, selvom </w:t>
            </w:r>
            <w:proofErr w:type="spellStart"/>
            <w:r w:rsidRPr="00C452CB">
              <w:t>elhandelsvirksomheden</w:t>
            </w:r>
            <w:proofErr w:type="spellEnd"/>
            <w:r w:rsidRPr="00C452CB">
              <w:t xml:space="preserve"> ikke har modtaget en faktura med nøjagtig dette afgiftsbeløb.</w:t>
            </w:r>
            <w:r w:rsidR="00F35583">
              <w:t xml:space="preserve"> </w:t>
            </w:r>
          </w:p>
          <w:p w:rsidR="004A3DEF" w:rsidRDefault="004A3DEF" w:rsidP="007C0F1D">
            <w:pPr>
              <w:pStyle w:val="Tabel-BrdtekstmedafstandptekstGaramond"/>
            </w:pPr>
          </w:p>
          <w:p w:rsidR="003C0B1A" w:rsidRDefault="009E0C99" w:rsidP="009E0C99">
            <w:pPr>
              <w:pStyle w:val="Tabel-BrdtekstmedafstandptekstGaramond"/>
            </w:pPr>
            <w:r>
              <w:t>Det er rigtigt. Det v</w:t>
            </w:r>
            <w:r w:rsidR="004A3DEF">
              <w:t>il blive nævnt</w:t>
            </w:r>
            <w:r>
              <w:t xml:space="preserve"> under de specielle bemærkninger.</w:t>
            </w: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3C0B1A">
            <w:pPr>
              <w:pStyle w:val="Tabel-BrdtekstmedafstandptekstGaramond"/>
            </w:pPr>
            <w:r>
              <w:t>Det er rigtigt.</w:t>
            </w: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r>
              <w:t>Det er rigtigt</w:t>
            </w:r>
            <w:r w:rsidR="00A717C3">
              <w:t>.</w:t>
            </w:r>
          </w:p>
          <w:p w:rsidR="00FA17EE" w:rsidRDefault="00FA17EE" w:rsidP="003C0B1A">
            <w:pPr>
              <w:pStyle w:val="Tabel-BrdtekstmedafstandptekstGaramond"/>
            </w:pPr>
          </w:p>
          <w:p w:rsidR="00FA17EE" w:rsidRDefault="00FA17EE" w:rsidP="003C0B1A">
            <w:pPr>
              <w:pStyle w:val="Tabel-BrdtekstmedafstandptekstGaramond"/>
            </w:pPr>
          </w:p>
          <w:p w:rsidR="00FA17EE" w:rsidRDefault="00FA17EE" w:rsidP="003C0B1A">
            <w:pPr>
              <w:pStyle w:val="Tabel-BrdtekstmedafstandptekstGaramond"/>
            </w:pPr>
          </w:p>
          <w:p w:rsidR="003C0B1A" w:rsidRDefault="000A6CFA" w:rsidP="009E0C99">
            <w:pPr>
              <w:pStyle w:val="Tabel-BrdtekstmedafstandptekstGaramond"/>
            </w:pPr>
            <w:r>
              <w:t>Det er rigtig</w:t>
            </w:r>
            <w:r w:rsidR="004A474E">
              <w:t>t</w:t>
            </w:r>
            <w:r>
              <w:t xml:space="preserve">. </w:t>
            </w:r>
            <w:r w:rsidR="0093604D">
              <w:t xml:space="preserve">Reglen </w:t>
            </w:r>
            <w:r>
              <w:t>vil blive fjernet</w:t>
            </w:r>
            <w:r w:rsidR="004A474E">
              <w:t xml:space="preserve"> fra forslaget</w:t>
            </w:r>
            <w:r>
              <w:t>.</w:t>
            </w: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3C0B1A" w:rsidRDefault="003C0B1A" w:rsidP="009E0C99">
            <w:pPr>
              <w:pStyle w:val="Tabel-BrdtekstmedafstandptekstGaramond"/>
            </w:pPr>
          </w:p>
          <w:p w:rsidR="0062540C" w:rsidRDefault="00166D5C" w:rsidP="001C16D3">
            <w:pPr>
              <w:pStyle w:val="Tabel-BrdtekstmedafstandptekstGaramond"/>
            </w:pPr>
            <w:r>
              <w:t xml:space="preserve">Fejlen vil blive rettet i </w:t>
            </w:r>
            <w:r w:rsidR="001C16D3">
              <w:t>forslaget.</w:t>
            </w:r>
          </w:p>
          <w:p w:rsidR="0062540C" w:rsidRDefault="0062540C" w:rsidP="001C16D3">
            <w:pPr>
              <w:pStyle w:val="Tabel-BrdtekstmedafstandptekstGaramond"/>
            </w:pPr>
          </w:p>
          <w:p w:rsidR="0062540C" w:rsidRDefault="0062540C" w:rsidP="001C16D3">
            <w:pPr>
              <w:pStyle w:val="Tabel-BrdtekstmedafstandptekstGaramond"/>
            </w:pPr>
          </w:p>
          <w:p w:rsidR="0062540C" w:rsidRDefault="0062540C" w:rsidP="001C16D3">
            <w:pPr>
              <w:pStyle w:val="Tabel-BrdtekstmedafstandptekstGaramond"/>
            </w:pPr>
          </w:p>
          <w:p w:rsidR="00166D5C" w:rsidRDefault="00166D5C" w:rsidP="001C16D3">
            <w:pPr>
              <w:pStyle w:val="Tabel-BrdtekstmedafstandptekstGaramond"/>
            </w:pPr>
          </w:p>
          <w:p w:rsidR="0062540C" w:rsidRDefault="0062540C" w:rsidP="001C16D3">
            <w:pPr>
              <w:pStyle w:val="Tabel-BrdtekstmedafstandptekstGaramond"/>
            </w:pPr>
            <w:proofErr w:type="spellStart"/>
            <w:r>
              <w:t>Netselskaberne</w:t>
            </w:r>
            <w:proofErr w:type="spellEnd"/>
            <w:r>
              <w:t xml:space="preserve"> hæfter ikke afgiftsmæssigt for fejloplysninger, </w:t>
            </w:r>
            <w:r w:rsidR="001D60B4">
              <w:t xml:space="preserve">som de ikke kan have kendskab til. Hvis fejl opdages, skal der udsendes et korrigeret afregningsgrundlag til </w:t>
            </w:r>
            <w:proofErr w:type="spellStart"/>
            <w:r w:rsidR="001D60B4">
              <w:t>netselskabet</w:t>
            </w:r>
            <w:proofErr w:type="spellEnd"/>
            <w:r w:rsidR="001D60B4">
              <w:t xml:space="preserve">, som dette skal benytte til at korrigere </w:t>
            </w:r>
            <w:r w:rsidR="006D4F49">
              <w:t>dets</w:t>
            </w:r>
            <w:r w:rsidR="001D60B4">
              <w:t xml:space="preserve"> afgiftsmæssig</w:t>
            </w:r>
            <w:r w:rsidR="00F715B9">
              <w:t>e</w:t>
            </w:r>
            <w:r w:rsidR="001D60B4">
              <w:t xml:space="preserve"> fakturering til </w:t>
            </w:r>
            <w:proofErr w:type="spellStart"/>
            <w:r w:rsidR="001D60B4">
              <w:t>elhandelsvirksomheden</w:t>
            </w:r>
            <w:proofErr w:type="spellEnd"/>
            <w:r w:rsidR="001D60B4">
              <w:t xml:space="preserve">. </w:t>
            </w:r>
            <w:proofErr w:type="spellStart"/>
            <w:r w:rsidR="001D60B4">
              <w:t>Netselskabet</w:t>
            </w:r>
            <w:proofErr w:type="spellEnd"/>
            <w:r w:rsidR="001D60B4">
              <w:t xml:space="preserve"> hæfter for den fakturerede afgift.</w:t>
            </w:r>
          </w:p>
          <w:p w:rsidR="001C16D3" w:rsidRDefault="001C16D3" w:rsidP="009E0C99">
            <w:pPr>
              <w:pStyle w:val="Tabel-BrdtekstmedafstandptekstGaramond"/>
            </w:pPr>
          </w:p>
          <w:p w:rsidR="00BE0D73" w:rsidRDefault="000D0513" w:rsidP="00EE4ECF">
            <w:pPr>
              <w:pStyle w:val="Tabel-BrdtekstmedafstandptekstGaramond"/>
            </w:pPr>
            <w:r>
              <w:t xml:space="preserve">Efter forslaget har </w:t>
            </w:r>
            <w:proofErr w:type="spellStart"/>
            <w:r>
              <w:t>elleverandøren</w:t>
            </w:r>
            <w:proofErr w:type="spellEnd"/>
            <w:r>
              <w:t xml:space="preserve"> og ikke Energinet.dk kontakten til kunden. </w:t>
            </w:r>
            <w:r w:rsidR="00EE4ECF">
              <w:t>Det er ikke hensigtsmæssigt, hvis Energinet.dk får ansvar for korrekt indmelding af el</w:t>
            </w:r>
            <w:r w:rsidR="00752B37">
              <w:t>varme</w:t>
            </w:r>
            <w:r w:rsidR="00EE4ECF">
              <w:t>kunder i datahubben.</w:t>
            </w:r>
          </w:p>
          <w:p w:rsidR="00BE0D73" w:rsidRDefault="00BE0D73" w:rsidP="00EE4ECF">
            <w:pPr>
              <w:pStyle w:val="Tabel-BrdtekstmedafstandptekstGaramond"/>
            </w:pPr>
          </w:p>
          <w:p w:rsidR="00BE0D73" w:rsidRDefault="00725837" w:rsidP="00725837">
            <w:pPr>
              <w:pStyle w:val="Tabel-BrdtekstmedafstandptekstGaramond"/>
            </w:pPr>
            <w:proofErr w:type="spellStart"/>
            <w:r>
              <w:t>E</w:t>
            </w:r>
            <w:r w:rsidRPr="00725837">
              <w:t>lhandelsvirksomheden</w:t>
            </w:r>
            <w:proofErr w:type="spellEnd"/>
            <w:r w:rsidRPr="00725837">
              <w:t xml:space="preserve"> </w:t>
            </w:r>
            <w:r>
              <w:t xml:space="preserve">skal </w:t>
            </w:r>
            <w:r w:rsidRPr="00725837">
              <w:t>på grundlag af en aftale med køberen af elektrici</w:t>
            </w:r>
            <w:r>
              <w:t xml:space="preserve">tet </w:t>
            </w:r>
            <w:r w:rsidRPr="00725837">
              <w:t>medde</w:t>
            </w:r>
            <w:r>
              <w:t>le det til</w:t>
            </w:r>
            <w:r w:rsidRPr="00725837">
              <w:t xml:space="preserve"> datahub</w:t>
            </w:r>
            <w:r>
              <w:t xml:space="preserve">ben, hvis </w:t>
            </w:r>
            <w:r w:rsidRPr="00725837">
              <w:t>særlige afgiftsforhold eller ændringer i særlige afgiftsforhold gør sig gældende for det af aftalen omfattede aftag</w:t>
            </w:r>
            <w:r w:rsidR="00E77302">
              <w:t xml:space="preserve">enummer. Dermed vil det kun </w:t>
            </w:r>
            <w:r w:rsidRPr="00725837">
              <w:t xml:space="preserve">være relevante oplysninger, herunder </w:t>
            </w:r>
            <w:r w:rsidR="00E10668">
              <w:t xml:space="preserve">senere </w:t>
            </w:r>
            <w:r w:rsidRPr="00725837">
              <w:t>oplysning</w:t>
            </w:r>
            <w:r w:rsidR="00E10668">
              <w:t>er</w:t>
            </w:r>
            <w:r w:rsidRPr="00725837">
              <w:t xml:space="preserve"> om bortfald af et særligt afgiftsforhold for et aftagenummer, modtaget fra nævnte køber, som </w:t>
            </w:r>
            <w:proofErr w:type="spellStart"/>
            <w:r w:rsidRPr="00725837">
              <w:t>elhandelsvirksomheden</w:t>
            </w:r>
            <w:proofErr w:type="spellEnd"/>
            <w:r w:rsidRPr="00725837">
              <w:t xml:space="preserve"> </w:t>
            </w:r>
            <w:r w:rsidR="003B67F5">
              <w:t xml:space="preserve">kan meddele til datahubben. </w:t>
            </w:r>
          </w:p>
          <w:p w:rsidR="00AC6BBD" w:rsidRDefault="00AC6BBD" w:rsidP="00725837">
            <w:pPr>
              <w:pStyle w:val="Tabel-BrdtekstmedafstandptekstGaramond"/>
            </w:pPr>
          </w:p>
          <w:p w:rsidR="00E4398A" w:rsidRDefault="00396D70" w:rsidP="00396D70">
            <w:pPr>
              <w:pStyle w:val="Tabel-BrdtekstmedafstandptekstGaramond"/>
            </w:pPr>
            <w:r w:rsidRPr="00316E8E">
              <w:t xml:space="preserve">Det vil blive præciseret, at </w:t>
            </w:r>
            <w:proofErr w:type="spellStart"/>
            <w:r w:rsidRPr="00316E8E">
              <w:t>net</w:t>
            </w:r>
            <w:r w:rsidR="00942E55">
              <w:t>s</w:t>
            </w:r>
            <w:r w:rsidRPr="00316E8E">
              <w:t>elskaberne</w:t>
            </w:r>
            <w:proofErr w:type="spellEnd"/>
            <w:r w:rsidRPr="00316E8E">
              <w:t xml:space="preserve"> </w:t>
            </w:r>
            <w:r w:rsidR="00316E8E" w:rsidRPr="00316E8E">
              <w:t>kan få</w:t>
            </w:r>
            <w:r w:rsidRPr="00316E8E">
              <w:t xml:space="preserve"> adgang til denne type oplysninger.</w:t>
            </w:r>
          </w:p>
          <w:p w:rsidR="00E4398A" w:rsidRDefault="00E4398A" w:rsidP="00396D70">
            <w:pPr>
              <w:pStyle w:val="Tabel-BrdtekstmedafstandptekstGaramond"/>
            </w:pPr>
          </w:p>
          <w:p w:rsidR="00E4398A" w:rsidRDefault="00E4398A" w:rsidP="00396D70">
            <w:pPr>
              <w:pStyle w:val="Tabel-BrdtekstmedafstandptekstGaramond"/>
            </w:pPr>
          </w:p>
          <w:p w:rsidR="00E4398A" w:rsidRDefault="00E4398A" w:rsidP="00396D70">
            <w:pPr>
              <w:pStyle w:val="Tabel-BrdtekstmedafstandptekstGaramond"/>
            </w:pPr>
          </w:p>
          <w:p w:rsidR="00E4398A" w:rsidRDefault="00E4398A" w:rsidP="00396D70">
            <w:pPr>
              <w:pStyle w:val="Tabel-BrdtekstmedafstandptekstGaramond"/>
            </w:pPr>
          </w:p>
          <w:p w:rsidR="00E4398A" w:rsidRDefault="00E4398A" w:rsidP="00396D70">
            <w:pPr>
              <w:pStyle w:val="Tabel-BrdtekstmedafstandptekstGaramond"/>
            </w:pPr>
          </w:p>
          <w:p w:rsidR="00E4398A" w:rsidRDefault="00E4398A" w:rsidP="00396D70">
            <w:pPr>
              <w:pStyle w:val="Tabel-BrdtekstmedafstandptekstGaramond"/>
            </w:pPr>
          </w:p>
          <w:p w:rsidR="00E4398A" w:rsidRDefault="00E4398A" w:rsidP="00396D70">
            <w:pPr>
              <w:pStyle w:val="Tabel-BrdtekstmedafstandptekstGaramond"/>
            </w:pPr>
          </w:p>
          <w:p w:rsidR="00E4398A" w:rsidRDefault="00E4398A" w:rsidP="00396D70">
            <w:pPr>
              <w:pStyle w:val="Tabel-BrdtekstmedafstandptekstGaramond"/>
            </w:pPr>
          </w:p>
          <w:p w:rsidR="00316E8E" w:rsidRDefault="00316E8E" w:rsidP="0078622B">
            <w:pPr>
              <w:pStyle w:val="Tabel-BrdtekstmedafstandptekstGaramond"/>
            </w:pPr>
          </w:p>
          <w:p w:rsidR="00316E8E" w:rsidRDefault="00316E8E" w:rsidP="0078622B">
            <w:pPr>
              <w:pStyle w:val="Tabel-BrdtekstmedafstandptekstGaramond"/>
            </w:pPr>
          </w:p>
          <w:p w:rsidR="00316E8E" w:rsidRDefault="00316E8E" w:rsidP="0078622B">
            <w:pPr>
              <w:pStyle w:val="Tabel-BrdtekstmedafstandptekstGaramond"/>
            </w:pPr>
          </w:p>
          <w:p w:rsidR="00316E8E" w:rsidRDefault="00316E8E" w:rsidP="0078622B">
            <w:pPr>
              <w:pStyle w:val="Tabel-BrdtekstmedafstandptekstGaramond"/>
            </w:pPr>
          </w:p>
          <w:p w:rsidR="00316E8E" w:rsidRDefault="00316E8E" w:rsidP="0078622B">
            <w:pPr>
              <w:pStyle w:val="Tabel-BrdtekstmedafstandptekstGaramond"/>
            </w:pPr>
          </w:p>
          <w:p w:rsidR="0078622B" w:rsidRDefault="00E4398A" w:rsidP="0078622B">
            <w:pPr>
              <w:pStyle w:val="Tabel-BrdtekstmedafstandptekstGaramond"/>
            </w:pPr>
            <w:r>
              <w:t xml:space="preserve">Det er ikke tilstrækkeligt, </w:t>
            </w:r>
            <w:r w:rsidR="0083634F">
              <w:t xml:space="preserve">at kun CVR- eller SE-nr. for momsregistrerede kunder fremgår af købsaftalen, </w:t>
            </w:r>
            <w:r>
              <w:t>da der findes virksomheder med et CVR- eller SE-nr., som ikke er momsregistrerede.</w:t>
            </w:r>
            <w:r w:rsidR="0083634F">
              <w:t xml:space="preserve"> </w:t>
            </w:r>
          </w:p>
          <w:p w:rsidR="004B2AB8" w:rsidRDefault="004B2AB8" w:rsidP="0078622B">
            <w:pPr>
              <w:pStyle w:val="Tabel-BrdtekstmedafstandptekstGaramond"/>
            </w:pPr>
          </w:p>
          <w:p w:rsidR="004B2AB8" w:rsidRDefault="004B2AB8" w:rsidP="0078622B">
            <w:pPr>
              <w:pStyle w:val="Tabel-BrdtekstmedafstandptekstGaramond"/>
            </w:pPr>
          </w:p>
          <w:p w:rsidR="004B2AB8" w:rsidRDefault="004B2AB8" w:rsidP="0078622B">
            <w:pPr>
              <w:pStyle w:val="Tabel-BrdtekstmedafstandptekstGaramond"/>
            </w:pPr>
          </w:p>
          <w:p w:rsidR="004B2AB8" w:rsidRDefault="004B2AB8" w:rsidP="0078622B">
            <w:pPr>
              <w:pStyle w:val="Tabel-BrdtekstmedafstandptekstGaramond"/>
            </w:pPr>
          </w:p>
          <w:p w:rsidR="00942E55" w:rsidRDefault="008D230F" w:rsidP="00942E55">
            <w:pPr>
              <w:pStyle w:val="Tabel-BrdtekstmedafstandptekstGaramond"/>
            </w:pPr>
            <w:r>
              <w:t>Det er nødvendigt,</w:t>
            </w:r>
            <w:r w:rsidR="006D2B11">
              <w:t xml:space="preserve"> at nummeret</w:t>
            </w:r>
            <w:r w:rsidR="00E50FA3">
              <w:t xml:space="preserve"> </w:t>
            </w:r>
            <w:r w:rsidR="006D2B11">
              <w:t>fremgår af fakturaen</w:t>
            </w:r>
            <w:r w:rsidR="0046264C">
              <w:t>,</w:t>
            </w:r>
            <w:r>
              <w:t xml:space="preserve"> fordi det i k</w:t>
            </w:r>
            <w:r w:rsidR="0046264C">
              <w:t>øbsaftalen</w:t>
            </w:r>
            <w:r>
              <w:t xml:space="preserve"> nævnte nummer kan ændres</w:t>
            </w:r>
            <w:r w:rsidR="00E50FA3">
              <w:t xml:space="preserve">. Desuden gør et nummer på fakturaen </w:t>
            </w:r>
            <w:r w:rsidR="00DF30B0">
              <w:t xml:space="preserve">det nemmere </w:t>
            </w:r>
            <w:r>
              <w:t xml:space="preserve">at konstatere, om </w:t>
            </w:r>
            <w:proofErr w:type="spellStart"/>
            <w:r>
              <w:t>værnsreglen</w:t>
            </w:r>
            <w:proofErr w:type="spellEnd"/>
            <w:r>
              <w:t xml:space="preserve"> er overholdt. </w:t>
            </w:r>
          </w:p>
          <w:p w:rsidR="00942E55" w:rsidRDefault="00942E55" w:rsidP="00942E55">
            <w:pPr>
              <w:pStyle w:val="Tabel-BrdtekstmedafstandptekstGaramond"/>
            </w:pPr>
          </w:p>
          <w:p w:rsidR="00942E55" w:rsidRDefault="00B230A7" w:rsidP="00942E55">
            <w:pPr>
              <w:pStyle w:val="Tabel-BrdtekstmedafstandptekstGaramond"/>
            </w:pPr>
            <w:r>
              <w:t xml:space="preserve">Dette vil blive præciseret i lovforslaget. </w:t>
            </w:r>
            <w:r w:rsidR="00D25783">
              <w:t xml:space="preserve">Der er ikke et aftaleforhold mellem </w:t>
            </w:r>
            <w:r w:rsidR="005D7F28">
              <w:t xml:space="preserve">på den ene side </w:t>
            </w:r>
            <w:proofErr w:type="spellStart"/>
            <w:r w:rsidR="00D25783">
              <w:t>netvirksomheden</w:t>
            </w:r>
            <w:proofErr w:type="spellEnd"/>
            <w:r w:rsidR="00D25783">
              <w:t xml:space="preserve"> </w:t>
            </w:r>
            <w:r w:rsidR="005D7F28">
              <w:t xml:space="preserve">eller en </w:t>
            </w:r>
            <w:proofErr w:type="spellStart"/>
            <w:r w:rsidR="005D7F28">
              <w:t>elhandelsvirksomhed</w:t>
            </w:r>
            <w:proofErr w:type="spellEnd"/>
            <w:r w:rsidR="005D7F28">
              <w:t xml:space="preserve"> </w:t>
            </w:r>
            <w:r w:rsidR="00D25783">
              <w:t xml:space="preserve">og </w:t>
            </w:r>
            <w:r w:rsidR="005D7F28">
              <w:t>på den anden</w:t>
            </w:r>
            <w:r w:rsidR="00905C17">
              <w:t xml:space="preserve"> side</w:t>
            </w:r>
            <w:r w:rsidR="005D7F28">
              <w:t xml:space="preserve"> </w:t>
            </w:r>
            <w:r>
              <w:t xml:space="preserve">en </w:t>
            </w:r>
            <w:r w:rsidR="00D25783">
              <w:t xml:space="preserve">tyv af elektricitet, men da elafgiften skal pålægges forbrug af elektricitet i Danmark, skal der </w:t>
            </w:r>
            <w:r>
              <w:t>opkræves</w:t>
            </w:r>
            <w:r w:rsidR="00D25783">
              <w:t xml:space="preserve"> elafgift</w:t>
            </w:r>
            <w:r>
              <w:t xml:space="preserve"> af konstateret tyveri af elektricitet</w:t>
            </w:r>
            <w:r w:rsidR="00D25783">
              <w:t>.</w:t>
            </w:r>
          </w:p>
          <w:p w:rsidR="00942E55" w:rsidRDefault="00942E55" w:rsidP="00942E55">
            <w:pPr>
              <w:pStyle w:val="Tabel-BrdtekstmedafstandptekstGaramond"/>
            </w:pPr>
          </w:p>
          <w:p w:rsidR="00942E55" w:rsidRPr="005501EF" w:rsidRDefault="00942E55" w:rsidP="00942E55">
            <w:pPr>
              <w:pStyle w:val="Tabel-BrdtekstmedafstandptekstGaramond"/>
              <w:rPr>
                <w:szCs w:val="22"/>
              </w:rPr>
            </w:pPr>
            <w:r w:rsidRPr="005501EF">
              <w:rPr>
                <w:szCs w:val="22"/>
              </w:rPr>
              <w:t>TER har følgende bemærkninger om de administrative konsekvenser.</w:t>
            </w:r>
          </w:p>
          <w:p w:rsidR="00942E55" w:rsidRPr="005501EF" w:rsidRDefault="00942E55" w:rsidP="00942E55">
            <w:pPr>
              <w:pStyle w:val="Tabel-BrdtekstmedafstandptekstGaramond"/>
              <w:rPr>
                <w:szCs w:val="22"/>
              </w:rPr>
            </w:pPr>
          </w:p>
          <w:p w:rsidR="00942E55" w:rsidRPr="005501EF" w:rsidRDefault="00942E55" w:rsidP="00942E55">
            <w:pPr>
              <w:pStyle w:val="Tabel-BrdtekstmedafstandptekstGaramond"/>
              <w:rPr>
                <w:szCs w:val="22"/>
              </w:rPr>
            </w:pPr>
            <w:r w:rsidRPr="005501EF">
              <w:rPr>
                <w:szCs w:val="22"/>
              </w:rPr>
              <w:t xml:space="preserve">”Lovforslaget medfører administrative byrder for erhvervslivet. </w:t>
            </w:r>
          </w:p>
          <w:p w:rsidR="00942E55" w:rsidRPr="005501EF" w:rsidRDefault="00942E55" w:rsidP="00942E55">
            <w:pPr>
              <w:pStyle w:val="Tabel-BrdtekstmedafstandptekstGaramond"/>
              <w:rPr>
                <w:szCs w:val="22"/>
              </w:rPr>
            </w:pPr>
          </w:p>
          <w:p w:rsidR="00942E55" w:rsidRPr="005501EF" w:rsidRDefault="00942E55" w:rsidP="00942E55">
            <w:pPr>
              <w:pStyle w:val="Tabel-BrdtekstmedafstandptekstGaramond"/>
              <w:rPr>
                <w:szCs w:val="22"/>
              </w:rPr>
            </w:pPr>
            <w:r w:rsidRPr="005501EF">
              <w:rPr>
                <w:szCs w:val="22"/>
              </w:rPr>
              <w:t xml:space="preserve">De løbende administrative byrder består for det første i, at virksomheder i forbindelse med indgåelse af en købsaftale med en </w:t>
            </w:r>
            <w:proofErr w:type="spellStart"/>
            <w:r w:rsidRPr="005501EF">
              <w:rPr>
                <w:szCs w:val="22"/>
              </w:rPr>
              <w:t>elhandelsvirksomhed</w:t>
            </w:r>
            <w:proofErr w:type="spellEnd"/>
            <w:r w:rsidRPr="005501EF">
              <w:rPr>
                <w:szCs w:val="22"/>
              </w:rPr>
              <w:t xml:space="preserve"> skal oplyse, om virksomheden er berettiget til tilbagebetaling af elafgift med angivelse af CVR- eller SE-nr. Tidsforbruget i denne forbindelse vurderes til at være omkring ét minut, da det er kendte oplysninger for virksomheden og foretages i forbindelse med anden indberetning.  </w:t>
            </w:r>
          </w:p>
          <w:p w:rsidR="00942E55" w:rsidRPr="005501EF" w:rsidRDefault="00942E55" w:rsidP="00942E55">
            <w:pPr>
              <w:pStyle w:val="Tabel-BrdtekstmedafstandptekstGaramond"/>
              <w:rPr>
                <w:szCs w:val="22"/>
              </w:rPr>
            </w:pPr>
          </w:p>
          <w:p w:rsidR="00942E55" w:rsidRPr="005501EF" w:rsidRDefault="00942E55" w:rsidP="00942E55">
            <w:pPr>
              <w:pStyle w:val="Tabel-BrdtekstmedafstandptekstGaramond"/>
              <w:rPr>
                <w:szCs w:val="22"/>
              </w:rPr>
            </w:pPr>
            <w:r w:rsidRPr="005501EF">
              <w:rPr>
                <w:szCs w:val="22"/>
              </w:rPr>
              <w:t xml:space="preserve">For det andet vil </w:t>
            </w:r>
            <w:proofErr w:type="spellStart"/>
            <w:r w:rsidRPr="005501EF">
              <w:rPr>
                <w:szCs w:val="22"/>
              </w:rPr>
              <w:t>elhandelsvirksomheder</w:t>
            </w:r>
            <w:proofErr w:type="spellEnd"/>
            <w:r w:rsidRPr="005501EF">
              <w:rPr>
                <w:szCs w:val="22"/>
              </w:rPr>
              <w:t xml:space="preserve"> skulle verificere, at de ikke </w:t>
            </w:r>
            <w:proofErr w:type="spellStart"/>
            <w:r w:rsidRPr="005501EF">
              <w:rPr>
                <w:szCs w:val="22"/>
              </w:rPr>
              <w:t>forudfakturerer</w:t>
            </w:r>
            <w:proofErr w:type="spellEnd"/>
            <w:r w:rsidRPr="005501EF">
              <w:rPr>
                <w:szCs w:val="22"/>
              </w:rPr>
              <w:t xml:space="preserve"> momsregistrerede virksomheder. Skatteministeriet oplyser, at antallet af </w:t>
            </w:r>
            <w:proofErr w:type="spellStart"/>
            <w:r w:rsidRPr="005501EF">
              <w:rPr>
                <w:szCs w:val="22"/>
              </w:rPr>
              <w:t>elhandelsvirksomheder</w:t>
            </w:r>
            <w:proofErr w:type="spellEnd"/>
            <w:r w:rsidRPr="005501EF">
              <w:rPr>
                <w:szCs w:val="22"/>
              </w:rPr>
              <w:t xml:space="preserve"> ikke kendes. </w:t>
            </w:r>
          </w:p>
          <w:p w:rsidR="00942E55" w:rsidRPr="005501EF" w:rsidRDefault="00942E55" w:rsidP="00942E55">
            <w:pPr>
              <w:pStyle w:val="Tabel-BrdtekstmedafstandptekstGaramond"/>
              <w:rPr>
                <w:szCs w:val="22"/>
              </w:rPr>
            </w:pPr>
          </w:p>
          <w:p w:rsidR="00942E55" w:rsidRPr="005501EF" w:rsidRDefault="00942E55" w:rsidP="00942E55">
            <w:pPr>
              <w:pStyle w:val="Tabel-BrdtekstmedafstandptekstGaramond"/>
              <w:rPr>
                <w:szCs w:val="22"/>
              </w:rPr>
            </w:pPr>
            <w:r w:rsidRPr="005501EF">
              <w:rPr>
                <w:szCs w:val="22"/>
              </w:rPr>
              <w:t xml:space="preserve">For det tredje vil forslaget betyde både løbende administrative byrder og omstillingsbyrder for Energinet.dk. Omstillingsbyrderne består i, at Energinet.dk vil skulle foretage systemmæssige ændringer i it-systemer for at leve op til de nye krav om </w:t>
            </w:r>
            <w:proofErr w:type="spellStart"/>
            <w:r w:rsidRPr="005501EF">
              <w:rPr>
                <w:szCs w:val="22"/>
              </w:rPr>
              <w:t>DataHub’ens</w:t>
            </w:r>
            <w:proofErr w:type="spellEnd"/>
            <w:r w:rsidRPr="005501EF">
              <w:rPr>
                <w:szCs w:val="22"/>
              </w:rPr>
              <w:t xml:space="preserve"> funktionalitet.  De løbende administrative byrder består i, at Energinet.dk fremover vil skulle varetage en administrativ opgave i relation til registrering og udveksling af oplysninger mellem </w:t>
            </w:r>
            <w:proofErr w:type="spellStart"/>
            <w:r w:rsidRPr="005501EF">
              <w:rPr>
                <w:szCs w:val="22"/>
              </w:rPr>
              <w:t>elhandelsvirksomheder</w:t>
            </w:r>
            <w:proofErr w:type="spellEnd"/>
            <w:r w:rsidRPr="005501EF">
              <w:rPr>
                <w:szCs w:val="22"/>
              </w:rPr>
              <w:t xml:space="preserve"> og </w:t>
            </w:r>
            <w:proofErr w:type="spellStart"/>
            <w:r w:rsidRPr="005501EF">
              <w:rPr>
                <w:szCs w:val="22"/>
              </w:rPr>
              <w:t>netvirksomheder</w:t>
            </w:r>
            <w:proofErr w:type="spellEnd"/>
            <w:r w:rsidRPr="005501EF">
              <w:rPr>
                <w:szCs w:val="22"/>
              </w:rPr>
              <w:t xml:space="preserve"> i forhold til kontrol af særlige afgiftsforhold (§9, stk. 2-3). Det er på nuværende tidspunkt usikkert at foretage en kvantificering af det administrative arbejde forbundet hermed, da fx hyppigheden af tilvejebringelsen af oplysningerne vil blive fastsat i en kommende bekendtgørelse. TER vil derfor foretage den nærmere kvantificering af denne administrative byrde i forbindelse med høringen af bekendtgørelsen. </w:t>
            </w:r>
          </w:p>
          <w:p w:rsidR="00942E55" w:rsidRPr="005501EF" w:rsidRDefault="00942E55" w:rsidP="00942E55">
            <w:pPr>
              <w:pStyle w:val="Tabel-BrdtekstmedafstandptekstGaramond"/>
              <w:rPr>
                <w:szCs w:val="22"/>
              </w:rPr>
            </w:pPr>
          </w:p>
          <w:p w:rsidR="00A7777E" w:rsidRPr="005501EF" w:rsidRDefault="00942E55" w:rsidP="00A7777E">
            <w:pPr>
              <w:pStyle w:val="Tabel-BrdtekstmedafstandptekstGaramond"/>
              <w:rPr>
                <w:szCs w:val="22"/>
              </w:rPr>
            </w:pPr>
            <w:r w:rsidRPr="005501EF">
              <w:rPr>
                <w:szCs w:val="22"/>
              </w:rPr>
              <w:t xml:space="preserve">TER vurderer, at de administrative byrder ikke overstiger 10.000 timer årligt på samfundsniveau. De vil ikke blive kvantificeret </w:t>
            </w:r>
            <w:proofErr w:type="gramStart"/>
            <w:r w:rsidRPr="005501EF">
              <w:rPr>
                <w:szCs w:val="22"/>
              </w:rPr>
              <w:t>yderligere.”</w:t>
            </w:r>
            <w:proofErr w:type="gramEnd"/>
          </w:p>
          <w:p w:rsidR="00E1041E" w:rsidRDefault="00E1041E" w:rsidP="00717A4B">
            <w:pPr>
              <w:pStyle w:val="Tabel-BrdtekstmedafstandptekstGaramond"/>
            </w:pPr>
          </w:p>
          <w:p w:rsidR="00B75C00" w:rsidRDefault="00E1041E" w:rsidP="00E1041E">
            <w:pPr>
              <w:pStyle w:val="Tabel-BrdtekstmedafstandptekstGaramond"/>
            </w:pPr>
            <w:r w:rsidRPr="00E073AE">
              <w:t xml:space="preserve">Der </w:t>
            </w:r>
            <w:r w:rsidR="001C0016" w:rsidRPr="00E073AE">
              <w:t>kan blive</w:t>
            </w:r>
            <w:r w:rsidRPr="00E073AE">
              <w:t xml:space="preserve"> tale om begrænsede ændringer i praksis, som er nødvendige under engrosmodellen, hvor administrationen hviler på aftagenumrene for forbrugerne.</w:t>
            </w:r>
          </w:p>
          <w:p w:rsidR="00BC70E8" w:rsidRDefault="00BC70E8" w:rsidP="00E1041E">
            <w:pPr>
              <w:pStyle w:val="Tabel-BrdtekstmedafstandptekstGaramond"/>
            </w:pPr>
          </w:p>
          <w:p w:rsidR="0033748A" w:rsidRDefault="00BC70E8" w:rsidP="00E1041E">
            <w:pPr>
              <w:pStyle w:val="Tabel-BrdtekstmedafstandptekstGaramond"/>
            </w:pPr>
            <w:r>
              <w:t>De</w:t>
            </w:r>
            <w:r w:rsidR="002652AA">
              <w:t xml:space="preserve">t </w:t>
            </w:r>
            <w:r>
              <w:t>indarbejdes i forslaget.</w:t>
            </w:r>
          </w:p>
          <w:p w:rsidR="00FB5A5B" w:rsidRDefault="00FB5A5B" w:rsidP="00E1041E">
            <w:pPr>
              <w:pStyle w:val="Tabel-BrdtekstmedafstandptekstGaramond"/>
            </w:pPr>
          </w:p>
          <w:p w:rsidR="00FB5A5B" w:rsidRDefault="00FB5A5B" w:rsidP="00E1041E">
            <w:pPr>
              <w:pStyle w:val="Tabel-BrdtekstmedafstandptekstGaramond"/>
            </w:pPr>
          </w:p>
          <w:p w:rsidR="0033748A" w:rsidRDefault="0033748A" w:rsidP="00E1041E">
            <w:pPr>
              <w:pStyle w:val="Tabel-BrdtekstmedafstandptekstGaramond"/>
            </w:pPr>
          </w:p>
          <w:p w:rsidR="0033748A" w:rsidRDefault="0033748A" w:rsidP="00E1041E">
            <w:pPr>
              <w:pStyle w:val="Tabel-BrdtekstmedafstandptekstGaramond"/>
            </w:pPr>
          </w:p>
          <w:p w:rsidR="0033748A" w:rsidRDefault="0033748A" w:rsidP="00E1041E">
            <w:pPr>
              <w:pStyle w:val="Tabel-BrdtekstmedafstandptekstGaramond"/>
            </w:pPr>
          </w:p>
          <w:p w:rsidR="0033748A" w:rsidRDefault="0033748A" w:rsidP="00E1041E">
            <w:pPr>
              <w:pStyle w:val="Tabel-BrdtekstmedafstandptekstGaramond"/>
            </w:pPr>
          </w:p>
          <w:p w:rsidR="0033748A" w:rsidRDefault="0033748A" w:rsidP="00E1041E">
            <w:pPr>
              <w:pStyle w:val="Tabel-BrdtekstmedafstandptekstGaramond"/>
            </w:pPr>
          </w:p>
          <w:p w:rsidR="0033748A" w:rsidRDefault="0033748A" w:rsidP="000225E1">
            <w:pPr>
              <w:pStyle w:val="Tabel-BrdtekstmedafstandptekstGaramond"/>
            </w:pPr>
            <w:r w:rsidRPr="00390BCD">
              <w:t>Lovbemærkningerne vil blive udbygget.</w:t>
            </w:r>
            <w:r w:rsidR="000225E1" w:rsidRPr="00390BCD">
              <w:t xml:space="preserve"> Desuden indeholder forslaget hjemmel til, at skatteministeren kan fastsætte nærmere regler for </w:t>
            </w:r>
            <w:proofErr w:type="spellStart"/>
            <w:r w:rsidR="000225E1" w:rsidRPr="00390BCD">
              <w:t>elhandelsvirksomheders</w:t>
            </w:r>
            <w:proofErr w:type="spellEnd"/>
            <w:r w:rsidR="000225E1" w:rsidRPr="00390BCD">
              <w:t xml:space="preserve"> verifikation af særlige afgiftsforhold, herunder elvarmekunders forhold.</w:t>
            </w:r>
            <w:r w:rsidR="000225E1">
              <w:t xml:space="preserve"> </w:t>
            </w:r>
          </w:p>
          <w:p w:rsidR="009C1C3A" w:rsidRDefault="009C1C3A" w:rsidP="000225E1">
            <w:pPr>
              <w:pStyle w:val="Tabel-BrdtekstmedafstandptekstGaramond"/>
            </w:pPr>
          </w:p>
          <w:p w:rsidR="009C1C3A" w:rsidRDefault="009C1C3A" w:rsidP="00261644">
            <w:pPr>
              <w:pStyle w:val="Tabel-BrdtekstmedafstandptekstGaramond"/>
            </w:pPr>
            <w:r>
              <w:t xml:space="preserve">Der vil blive indarbejdet </w:t>
            </w:r>
            <w:r w:rsidR="00AF0AEB">
              <w:t>regler</w:t>
            </w:r>
            <w:r w:rsidR="00261644">
              <w:t xml:space="preserve"> i forslaget, som giver skatteministeren en bemyndigelse til at udstede regler om en </w:t>
            </w:r>
            <w:r>
              <w:t>overgangsordning</w:t>
            </w:r>
            <w:r w:rsidR="00261644">
              <w:t>.</w:t>
            </w:r>
          </w:p>
          <w:p w:rsidR="00B16D74" w:rsidRDefault="00B16D74" w:rsidP="00261644">
            <w:pPr>
              <w:pStyle w:val="Tabel-BrdtekstmedafstandptekstGaramond"/>
            </w:pPr>
          </w:p>
          <w:p w:rsidR="00B16D74" w:rsidRDefault="00B16D74" w:rsidP="00261644">
            <w:pPr>
              <w:pStyle w:val="Tabel-BrdtekstmedafstandptekstGaramond"/>
            </w:pPr>
          </w:p>
          <w:p w:rsidR="00B16D74" w:rsidRDefault="00B16D74" w:rsidP="00261644">
            <w:pPr>
              <w:pStyle w:val="Tabel-BrdtekstmedafstandptekstGaramond"/>
            </w:pPr>
          </w:p>
          <w:p w:rsidR="00B16D74" w:rsidRDefault="00B16D74" w:rsidP="00261644">
            <w:pPr>
              <w:pStyle w:val="Tabel-BrdtekstmedafstandptekstGaramond"/>
            </w:pPr>
          </w:p>
          <w:p w:rsidR="00B16D74" w:rsidRDefault="00B16D74" w:rsidP="00261644">
            <w:pPr>
              <w:pStyle w:val="Tabel-BrdtekstmedafstandptekstGaramond"/>
            </w:pPr>
            <w:r w:rsidRPr="00B16D74">
              <w:t>Risikou</w:t>
            </w:r>
            <w:r w:rsidR="00DA3D4A">
              <w:t>dsættelsen af elafgiften var er</w:t>
            </w:r>
            <w:r w:rsidRPr="00B16D74">
              <w:t xml:space="preserve">kendt ved beslutningen om at gennemføre engrosmodellen. Ændringen af ansvarsfordelingen mellem </w:t>
            </w:r>
            <w:proofErr w:type="spellStart"/>
            <w:r w:rsidRPr="00B16D74">
              <w:t>netvirksomhed</w:t>
            </w:r>
            <w:proofErr w:type="spellEnd"/>
            <w:r w:rsidRPr="00B16D74">
              <w:t xml:space="preserve"> og </w:t>
            </w:r>
            <w:proofErr w:type="spellStart"/>
            <w:r w:rsidRPr="00B16D74">
              <w:t>elhandelsvirksomhed</w:t>
            </w:r>
            <w:proofErr w:type="spellEnd"/>
            <w:r w:rsidRPr="00B16D74">
              <w:t xml:space="preserve"> ville kunne indebære en øget risiko for, at SKAT ikke modtog elafgifterne rettidigt, eksempelvis fordi en </w:t>
            </w:r>
            <w:proofErr w:type="spellStart"/>
            <w:r w:rsidRPr="00B16D74">
              <w:t>elhandels</w:t>
            </w:r>
            <w:proofErr w:type="spellEnd"/>
            <w:r w:rsidRPr="00B16D74">
              <w:t xml:space="preserve">-virksomhed går konkurs, eller fordi en </w:t>
            </w:r>
            <w:proofErr w:type="spellStart"/>
            <w:r w:rsidRPr="00B16D74">
              <w:t>elhandelsvirksomhed</w:t>
            </w:r>
            <w:proofErr w:type="spellEnd"/>
            <w:r w:rsidRPr="00B16D74">
              <w:t xml:space="preserve"> flytter til udlandet og efterlader en betydelig gæld for manglende afgiftsbetaling i Danmark. Denne risiko var forudsat håndteret i en forsikringsordning.  Det har imidlertid vist sig særdeles vanskeligt at implementere en forsikringsordning i praksis, der giver tilstrækkelig sikkerhed for korrekt indbetaling af elafgifter, hvorfor det er valgt en model, hvor </w:t>
            </w:r>
            <w:proofErr w:type="spellStart"/>
            <w:r w:rsidRPr="00B16D74">
              <w:t>netvirksomhederne</w:t>
            </w:r>
            <w:proofErr w:type="spellEnd"/>
            <w:r w:rsidRPr="00B16D74">
              <w:t xml:space="preserve"> fortsat står for indbetaling af elafgift til SKAT. Det giver samme sikkerhed for indbetaling af afgifter som under gældende regler.</w:t>
            </w:r>
          </w:p>
          <w:p w:rsidR="00B16D74" w:rsidRDefault="00B16D74" w:rsidP="00261644">
            <w:pPr>
              <w:pStyle w:val="Tabel-BrdtekstmedafstandptekstGaramond"/>
            </w:pPr>
          </w:p>
          <w:p w:rsidR="00B16D74" w:rsidRDefault="00B16D74" w:rsidP="00261644">
            <w:pPr>
              <w:pStyle w:val="Tabel-BrdtekstmedafstandptekstGaramond"/>
            </w:pPr>
            <w:r w:rsidRPr="00B16D74">
              <w:t xml:space="preserve">En begrænsning af </w:t>
            </w:r>
            <w:proofErr w:type="spellStart"/>
            <w:r w:rsidRPr="00B16D74">
              <w:t>værnsreglen</w:t>
            </w:r>
            <w:proofErr w:type="spellEnd"/>
            <w:r w:rsidRPr="00B16D74">
              <w:t xml:space="preserve"> vil medføre en risikoudsættelse af afgiftsprovenuet, hvilket vil gå imod formålet med </w:t>
            </w:r>
            <w:proofErr w:type="spellStart"/>
            <w:r w:rsidRPr="00B16D74">
              <w:t>værnsreglen</w:t>
            </w:r>
            <w:proofErr w:type="spellEnd"/>
            <w:r w:rsidRPr="00B16D74">
              <w:t>. Mulighed for at få godtgørelse før afgiften er betalt til SKAT</w:t>
            </w:r>
            <w:r w:rsidR="00C51C20">
              <w:t>,</w:t>
            </w:r>
            <w:r w:rsidRPr="00B16D74">
              <w:t xml:space="preserve"> kan medføre et yderligere afgiftstab for SKAT. Ligeledes må det formodes at medføre </w:t>
            </w:r>
            <w:r w:rsidR="00C51C20">
              <w:t>øget</w:t>
            </w:r>
            <w:r w:rsidRPr="00B16D74">
              <w:t xml:space="preserve"> administrati</w:t>
            </w:r>
            <w:r w:rsidR="00C51C20">
              <w:t>on</w:t>
            </w:r>
            <w:r>
              <w:t xml:space="preserve">, hvis </w:t>
            </w:r>
            <w:proofErr w:type="spellStart"/>
            <w:r>
              <w:t>værns</w:t>
            </w:r>
            <w:r w:rsidRPr="00B16D74">
              <w:t>reglen</w:t>
            </w:r>
            <w:proofErr w:type="spellEnd"/>
            <w:r w:rsidRPr="00B16D74">
              <w:t xml:space="preserve"> tilføjes yderligere betingelser.</w:t>
            </w:r>
          </w:p>
          <w:p w:rsidR="00B16D74" w:rsidRDefault="00B16D74" w:rsidP="00261644">
            <w:pPr>
              <w:pStyle w:val="Tabel-BrdtekstmedafstandptekstGaramond"/>
            </w:pPr>
          </w:p>
          <w:p w:rsidR="00B16D74" w:rsidRDefault="00B16D74" w:rsidP="00261644">
            <w:pPr>
              <w:pStyle w:val="Tabel-BrdtekstmedafstandptekstGaramond"/>
            </w:pPr>
            <w:r w:rsidRPr="00B16D74">
              <w:t>Det er korrekt, at de 50 mio. kr. svarer til den varige virkning af engangstabet på 1 mia. kr.</w:t>
            </w:r>
          </w:p>
        </w:tc>
      </w:tr>
      <w:tr w:rsidR="006B60F2" w:rsidRPr="00B5346F" w:rsidTr="00684D94">
        <w:tc>
          <w:tcPr>
            <w:tcW w:w="2309" w:type="dxa"/>
            <w:tcBorders>
              <w:bottom w:val="single" w:sz="4" w:space="0" w:color="D1C5C3" w:themeColor="accent3"/>
            </w:tcBorders>
            <w:shd w:val="clear" w:color="auto" w:fill="FBF9F9"/>
          </w:tcPr>
          <w:p w:rsidR="00CA4E31" w:rsidRPr="00CA4E31" w:rsidRDefault="00B538A7" w:rsidP="00BB0574">
            <w:pPr>
              <w:pStyle w:val="Tabel-BrdtekstmedafstandptekstGaramond"/>
              <w:ind w:left="0"/>
              <w:rPr>
                <w:i/>
              </w:rPr>
            </w:pPr>
            <w:r>
              <w:rPr>
                <w:i/>
              </w:rPr>
              <w:t>Dansk Erhverv</w:t>
            </w:r>
          </w:p>
        </w:tc>
        <w:tc>
          <w:tcPr>
            <w:tcW w:w="201" w:type="dxa"/>
            <w:shd w:val="clear" w:color="auto" w:fill="FFFFFF" w:themeFill="background1"/>
          </w:tcPr>
          <w:p w:rsidR="00CA4E31" w:rsidRPr="00B5346F" w:rsidRDefault="00CA4E31" w:rsidP="005A1F82"/>
        </w:tc>
        <w:tc>
          <w:tcPr>
            <w:tcW w:w="3505" w:type="dxa"/>
            <w:tcBorders>
              <w:bottom w:val="single" w:sz="4" w:space="0" w:color="D1C5C3" w:themeColor="accent3"/>
            </w:tcBorders>
            <w:shd w:val="clear" w:color="auto" w:fill="FBF9F9"/>
          </w:tcPr>
          <w:p w:rsidR="00CA4E31" w:rsidRDefault="00CA4E31" w:rsidP="005A1F82">
            <w:pPr>
              <w:pStyle w:val="Tabel-BrdtekstmedafstandptekstGaramond"/>
            </w:pPr>
            <w:r>
              <w:t xml:space="preserve">Vedrørende den foreslåede </w:t>
            </w:r>
            <w:proofErr w:type="spellStart"/>
            <w:r>
              <w:t>værnsregel</w:t>
            </w:r>
            <w:proofErr w:type="spellEnd"/>
            <w:r>
              <w:t xml:space="preserve"> mod </w:t>
            </w:r>
            <w:proofErr w:type="spellStart"/>
            <w:r>
              <w:t>forudfakturering</w:t>
            </w:r>
            <w:proofErr w:type="spellEnd"/>
            <w:r>
              <w:t xml:space="preserve"> af elafgifter påpeges, at eventuel manglende indbetaling af elafgifter fra </w:t>
            </w:r>
            <w:proofErr w:type="spellStart"/>
            <w:r>
              <w:t>netvirksomheder</w:t>
            </w:r>
            <w:proofErr w:type="spellEnd"/>
            <w:r>
              <w:t xml:space="preserve"> eller </w:t>
            </w:r>
            <w:proofErr w:type="spellStart"/>
            <w:r>
              <w:t>elhandelsvirksomheder</w:t>
            </w:r>
            <w:proofErr w:type="spellEnd"/>
            <w:r w:rsidR="00905C17">
              <w:t xml:space="preserve"> på ingen måde må påvirke de </w:t>
            </w:r>
            <w:proofErr w:type="spellStart"/>
            <w:r w:rsidR="00905C17">
              <w:t>el</w:t>
            </w:r>
            <w:r>
              <w:t>forbrugende</w:t>
            </w:r>
            <w:proofErr w:type="spellEnd"/>
            <w:r>
              <w:t xml:space="preserve"> virksomheders ret til at få godtgjort betalte elafgifter.</w:t>
            </w:r>
          </w:p>
        </w:tc>
        <w:tc>
          <w:tcPr>
            <w:tcW w:w="217" w:type="dxa"/>
            <w:shd w:val="clear" w:color="auto" w:fill="FFFFFF" w:themeFill="background1"/>
          </w:tcPr>
          <w:p w:rsidR="00CA4E31" w:rsidRPr="00B5346F" w:rsidRDefault="00CA4E31" w:rsidP="005A1F82"/>
        </w:tc>
        <w:tc>
          <w:tcPr>
            <w:tcW w:w="3407" w:type="dxa"/>
            <w:tcBorders>
              <w:bottom w:val="single" w:sz="4" w:space="0" w:color="14143C" w:themeColor="accent1"/>
            </w:tcBorders>
            <w:shd w:val="clear" w:color="auto" w:fill="D2CED8"/>
          </w:tcPr>
          <w:p w:rsidR="00691BEF" w:rsidRDefault="00691BEF" w:rsidP="00896B3C">
            <w:pPr>
              <w:pStyle w:val="Tabel-BrdtekstmedafstandptekstGaramond"/>
            </w:pPr>
            <w:r>
              <w:t xml:space="preserve">Eventuelle manglende betalinger af afgift mellem </w:t>
            </w:r>
            <w:proofErr w:type="spellStart"/>
            <w:r>
              <w:t>elhandelsvirksomheder</w:t>
            </w:r>
            <w:proofErr w:type="spellEnd"/>
            <w:r>
              <w:t xml:space="preserve"> og </w:t>
            </w:r>
            <w:proofErr w:type="spellStart"/>
            <w:r>
              <w:t>netvirksomheder</w:t>
            </w:r>
            <w:proofErr w:type="spellEnd"/>
            <w:r>
              <w:t xml:space="preserve"> eller mellem </w:t>
            </w:r>
            <w:proofErr w:type="spellStart"/>
            <w:r>
              <w:t>netvirksomheder</w:t>
            </w:r>
            <w:proofErr w:type="spellEnd"/>
            <w:r>
              <w:t xml:space="preserve"> og SKAT ka</w:t>
            </w:r>
            <w:r w:rsidR="00905C17">
              <w:t xml:space="preserve">n ikke i sig selv påvirke de </w:t>
            </w:r>
            <w:proofErr w:type="spellStart"/>
            <w:r w:rsidR="00905C17">
              <w:t>el</w:t>
            </w:r>
            <w:r>
              <w:t>forbrugende</w:t>
            </w:r>
            <w:proofErr w:type="spellEnd"/>
            <w:r>
              <w:t xml:space="preserve"> virksomheders ret til at få godtgjort betalte elafgifter. </w:t>
            </w:r>
          </w:p>
          <w:p w:rsidR="00CA4E31" w:rsidRDefault="00CA4E31" w:rsidP="005A1F82">
            <w:pPr>
              <w:pStyle w:val="Tabel-BrdtekstmedafstandptekstGaramond"/>
            </w:pPr>
          </w:p>
        </w:tc>
      </w:tr>
      <w:tr w:rsidR="006B60F2" w:rsidRPr="00B5346F" w:rsidTr="00684D94">
        <w:tc>
          <w:tcPr>
            <w:tcW w:w="2309" w:type="dxa"/>
            <w:tcBorders>
              <w:bottom w:val="single" w:sz="4" w:space="0" w:color="D1C5C3" w:themeColor="accent3"/>
            </w:tcBorders>
            <w:shd w:val="clear" w:color="auto" w:fill="FBF9F9"/>
          </w:tcPr>
          <w:p w:rsidR="00786FE9" w:rsidRPr="00786FE9" w:rsidRDefault="00B538A7" w:rsidP="00BB0574">
            <w:pPr>
              <w:pStyle w:val="Tabel-BrdtekstmedafstandptekstGaramond"/>
              <w:ind w:left="0"/>
              <w:rPr>
                <w:i/>
              </w:rPr>
            </w:pPr>
            <w:r>
              <w:rPr>
                <w:i/>
              </w:rPr>
              <w:t>De Frie Energiselskaber</w:t>
            </w:r>
          </w:p>
        </w:tc>
        <w:tc>
          <w:tcPr>
            <w:tcW w:w="201" w:type="dxa"/>
            <w:shd w:val="clear" w:color="auto" w:fill="FFFFFF" w:themeFill="background1"/>
          </w:tcPr>
          <w:p w:rsidR="00786FE9" w:rsidRPr="00B5346F" w:rsidRDefault="00786FE9" w:rsidP="005A1F82"/>
        </w:tc>
        <w:tc>
          <w:tcPr>
            <w:tcW w:w="3505" w:type="dxa"/>
            <w:tcBorders>
              <w:bottom w:val="single" w:sz="4" w:space="0" w:color="D1C5C3" w:themeColor="accent3"/>
            </w:tcBorders>
            <w:shd w:val="clear" w:color="auto" w:fill="FBF9F9"/>
          </w:tcPr>
          <w:p w:rsidR="00786FE9" w:rsidRDefault="00786FE9" w:rsidP="00896B3C">
            <w:pPr>
              <w:pStyle w:val="Tabel-BrdtekstmedafstandptekstGaramond"/>
            </w:pPr>
            <w:proofErr w:type="spellStart"/>
            <w:r>
              <w:t>Elhandelsvirksomheders</w:t>
            </w:r>
            <w:proofErr w:type="spellEnd"/>
            <w:r>
              <w:t xml:space="preserve"> muligheder for at fakturere momsvirksomheder reguleres og begrænses. Konsekvensen er et stift og rigidt system, som kan placere </w:t>
            </w:r>
            <w:proofErr w:type="spellStart"/>
            <w:r>
              <w:t>elhandleren</w:t>
            </w:r>
            <w:proofErr w:type="spellEnd"/>
            <w:r>
              <w:t xml:space="preserve"> i en likviditetsklemme. Hvis dette skal fungere i praksis, skal der stilles krav til </w:t>
            </w:r>
            <w:proofErr w:type="spellStart"/>
            <w:r>
              <w:t>netselskaberne</w:t>
            </w:r>
            <w:proofErr w:type="spellEnd"/>
            <w:r>
              <w:t xml:space="preserve"> og Energinet.dk om meget taktfaste arbejdsgange.</w:t>
            </w:r>
          </w:p>
          <w:p w:rsidR="00786FE9" w:rsidRDefault="00786FE9" w:rsidP="00896B3C">
            <w:pPr>
              <w:pStyle w:val="Tabel-BrdtekstmedafstandptekstGaramond"/>
            </w:pPr>
          </w:p>
          <w:p w:rsidR="00BD11E4" w:rsidRDefault="00DA3D4A" w:rsidP="00896B3C">
            <w:pPr>
              <w:pStyle w:val="Tabel-BrdtekstmedafstandptekstGaramond"/>
              <w:rPr>
                <w:highlight w:val="yellow"/>
              </w:rPr>
            </w:pPr>
            <w:r>
              <w:t>D</w:t>
            </w:r>
            <w:r w:rsidR="00B16D74" w:rsidRPr="00B16D74">
              <w:t>et vil medføre øgede omkos</w:t>
            </w:r>
            <w:r>
              <w:t>tninger</w:t>
            </w:r>
            <w:r w:rsidR="00BD11E4">
              <w:t>,</w:t>
            </w:r>
            <w:r>
              <w:t xml:space="preserve"> at </w:t>
            </w:r>
            <w:proofErr w:type="spellStart"/>
            <w:r>
              <w:t>elhandelsvirksom</w:t>
            </w:r>
            <w:r w:rsidR="00B16D74" w:rsidRPr="00B16D74">
              <w:t>heder</w:t>
            </w:r>
            <w:proofErr w:type="spellEnd"/>
            <w:r w:rsidR="00B16D74" w:rsidRPr="00B16D74">
              <w:t xml:space="preserve"> skal gå fra at fakturere 4 gange om året til 12 gange om året vedr. momsregistrerede virksomheder.</w:t>
            </w:r>
          </w:p>
          <w:p w:rsidR="00786FE9" w:rsidRDefault="00786FE9" w:rsidP="00896B3C">
            <w:pPr>
              <w:pStyle w:val="Tabel-BrdtekstmedafstandptekstGaramond"/>
            </w:pPr>
          </w:p>
          <w:p w:rsidR="00786FE9" w:rsidRDefault="00786FE9" w:rsidP="00896B3C">
            <w:pPr>
              <w:pStyle w:val="Tabel-BrdtekstmedafstandptekstGaramond"/>
            </w:pPr>
            <w:r>
              <w:t xml:space="preserve">Efter forslaget skal Energinet.dk kunne verificere særlige afgiftsforhold over for SKAT ud fra uafhængige kilder, mens registreringen af særlige afgiftsforhold skal være </w:t>
            </w:r>
            <w:proofErr w:type="spellStart"/>
            <w:r>
              <w:t>elhandlernes</w:t>
            </w:r>
            <w:proofErr w:type="spellEnd"/>
            <w:r>
              <w:t xml:space="preserve">. Det vil lette de administrative byrder, hvis Energinet.dk registrerer de data, som også oprindeligt kommer fra </w:t>
            </w:r>
            <w:proofErr w:type="spellStart"/>
            <w:r>
              <w:t>netselskaberne</w:t>
            </w:r>
            <w:proofErr w:type="spellEnd"/>
            <w:r>
              <w:t>.</w:t>
            </w:r>
          </w:p>
          <w:p w:rsidR="005845FE" w:rsidRDefault="005845FE" w:rsidP="00896B3C">
            <w:pPr>
              <w:pStyle w:val="Tabel-BrdtekstmedafstandptekstGaramond"/>
            </w:pPr>
          </w:p>
        </w:tc>
        <w:tc>
          <w:tcPr>
            <w:tcW w:w="217" w:type="dxa"/>
            <w:shd w:val="clear" w:color="auto" w:fill="FFFFFF" w:themeFill="background1"/>
          </w:tcPr>
          <w:p w:rsidR="00786FE9" w:rsidRPr="00B5346F" w:rsidRDefault="00786FE9" w:rsidP="00896B3C">
            <w:pPr>
              <w:pStyle w:val="Tabel-BrdtekstmedafstandptekstGaramond"/>
            </w:pPr>
          </w:p>
        </w:tc>
        <w:tc>
          <w:tcPr>
            <w:tcW w:w="3407" w:type="dxa"/>
            <w:tcBorders>
              <w:bottom w:val="single" w:sz="4" w:space="0" w:color="14143C" w:themeColor="accent1"/>
            </w:tcBorders>
            <w:shd w:val="clear" w:color="auto" w:fill="D2CED8"/>
          </w:tcPr>
          <w:p w:rsidR="00765106" w:rsidRDefault="00765106" w:rsidP="00896B3C">
            <w:pPr>
              <w:pStyle w:val="Tabel-BrdtekstmedafstandptekstGaramond"/>
            </w:pPr>
          </w:p>
          <w:p w:rsidR="00786FE9" w:rsidRDefault="00786FE9" w:rsidP="00896B3C">
            <w:pPr>
              <w:pStyle w:val="Tabel-BrdtekstmedafstandptekstGaramond"/>
            </w:pPr>
            <w:r>
              <w:t xml:space="preserve">Der vil blive foreslået regler med skærpede frister for fakturering fra </w:t>
            </w:r>
            <w:proofErr w:type="spellStart"/>
            <w:r>
              <w:t>netvirksomhederne</w:t>
            </w:r>
            <w:proofErr w:type="spellEnd"/>
            <w:r>
              <w:t xml:space="preserve"> til </w:t>
            </w:r>
            <w:proofErr w:type="spellStart"/>
            <w:r>
              <w:t>elhandels</w:t>
            </w:r>
            <w:r w:rsidR="00905C17">
              <w:t>virksomhederne</w:t>
            </w:r>
            <w:proofErr w:type="spellEnd"/>
            <w:r w:rsidR="00905C17">
              <w:t xml:space="preserve"> i klima-, energi- og b</w:t>
            </w:r>
            <w:r>
              <w:t>ygningsministerens lovgivning i forbindelse med indførelse engrosmodellen.</w:t>
            </w:r>
          </w:p>
          <w:p w:rsidR="00786FE9" w:rsidRDefault="00786FE9" w:rsidP="00896B3C">
            <w:pPr>
              <w:pStyle w:val="Tabel-BrdtekstmedafstandptekstGaramond"/>
            </w:pPr>
          </w:p>
          <w:p w:rsidR="00DA3D4A" w:rsidRDefault="00DA3D4A" w:rsidP="00896B3C">
            <w:pPr>
              <w:pStyle w:val="Tabel-BrdtekstmedafstandptekstGaramond"/>
            </w:pPr>
          </w:p>
          <w:p w:rsidR="00DA3D4A" w:rsidRDefault="00DA3D4A" w:rsidP="00896B3C">
            <w:pPr>
              <w:pStyle w:val="Tabel-BrdtekstmedafstandptekstGaramond"/>
            </w:pPr>
          </w:p>
          <w:p w:rsidR="00DA3D4A" w:rsidRDefault="00DA3D4A" w:rsidP="00896B3C">
            <w:pPr>
              <w:pStyle w:val="Tabel-BrdtekstmedafstandptekstGaramond"/>
            </w:pPr>
          </w:p>
          <w:p w:rsidR="00786FE9" w:rsidRDefault="00DA3D4A" w:rsidP="00896B3C">
            <w:pPr>
              <w:pStyle w:val="Tabel-BrdtekstmedafstandptekstGaramond"/>
            </w:pPr>
            <w:r w:rsidRPr="00DA3D4A">
              <w:t xml:space="preserve">Antallet af fakturaer mellem el-kunde og </w:t>
            </w:r>
            <w:proofErr w:type="spellStart"/>
            <w:r w:rsidRPr="00DA3D4A">
              <w:t>elhandelsvirksomhed</w:t>
            </w:r>
            <w:proofErr w:type="spellEnd"/>
            <w:r w:rsidRPr="00DA3D4A">
              <w:t xml:space="preserve"> er et internt kundeforhold, hvilket ikke reguleres i Skatteministeriets lovgivning.</w:t>
            </w:r>
          </w:p>
          <w:p w:rsidR="00DA3D4A" w:rsidRDefault="00DA3D4A" w:rsidP="00896B3C">
            <w:pPr>
              <w:pStyle w:val="Tabel-BrdtekstmedafstandptekstGaramond"/>
            </w:pPr>
          </w:p>
          <w:p w:rsidR="00786FE9" w:rsidRDefault="00786FE9" w:rsidP="00572769">
            <w:pPr>
              <w:pStyle w:val="Tabel-BrdtekstmedafstandptekstGaramond"/>
            </w:pPr>
            <w:r>
              <w:t>Der henvises til k</w:t>
            </w:r>
            <w:r w:rsidRPr="00DB59F2">
              <w:t xml:space="preserve">ommentaren til høringssvaret fra </w:t>
            </w:r>
            <w:r w:rsidR="00572769">
              <w:t>Dansk Energi.</w:t>
            </w:r>
          </w:p>
        </w:tc>
      </w:tr>
      <w:tr w:rsidR="006B60F2" w:rsidRPr="00B5346F" w:rsidTr="00684D94">
        <w:tc>
          <w:tcPr>
            <w:tcW w:w="2309" w:type="dxa"/>
            <w:tcBorders>
              <w:bottom w:val="single" w:sz="4" w:space="0" w:color="D1C5C3" w:themeColor="accent3"/>
            </w:tcBorders>
            <w:shd w:val="clear" w:color="auto" w:fill="FBF9F9"/>
          </w:tcPr>
          <w:p w:rsidR="007B0944" w:rsidRPr="007B0944" w:rsidRDefault="007B0944" w:rsidP="00BB0574">
            <w:pPr>
              <w:pStyle w:val="Tabel-BrdtekstmedafstandptekstGaramond"/>
              <w:ind w:left="0"/>
              <w:rPr>
                <w:i/>
              </w:rPr>
            </w:pPr>
            <w:r w:rsidRPr="007B0944">
              <w:rPr>
                <w:i/>
              </w:rPr>
              <w:t>Det Økologiske Råd</w:t>
            </w:r>
          </w:p>
        </w:tc>
        <w:tc>
          <w:tcPr>
            <w:tcW w:w="201" w:type="dxa"/>
            <w:shd w:val="clear" w:color="auto" w:fill="FFFFFF" w:themeFill="background1"/>
          </w:tcPr>
          <w:p w:rsidR="007B0944" w:rsidRPr="00B5346F" w:rsidRDefault="007B0944" w:rsidP="005A1F82"/>
        </w:tc>
        <w:tc>
          <w:tcPr>
            <w:tcW w:w="3505" w:type="dxa"/>
            <w:tcBorders>
              <w:bottom w:val="single" w:sz="4" w:space="0" w:color="D1C5C3" w:themeColor="accent3"/>
            </w:tcBorders>
            <w:shd w:val="clear" w:color="auto" w:fill="FBF9F9"/>
          </w:tcPr>
          <w:p w:rsidR="007B0944" w:rsidRDefault="007B0944" w:rsidP="00896B3C">
            <w:pPr>
              <w:pStyle w:val="Tabel-BrdtekstmedafstandptekstGaramond"/>
            </w:pPr>
            <w:r>
              <w:t>Der er stærkt brug for at fremme varmepumper som en effektiv opvarmningsform i såvel private boliger som i fjernvarmesystemet. Varmepumper kan fremmes gennem en lavere elafgift på el til varmepumper. Det foreslås, at den foreslåede § 6 i forslagets nr. 6 forberedes til at kunne skelne mellem almindelig elvarme og varmepumper.</w:t>
            </w:r>
          </w:p>
          <w:p w:rsidR="007B0944" w:rsidRDefault="007B0944" w:rsidP="00896B3C">
            <w:pPr>
              <w:pStyle w:val="Tabel-BrdtekstmedafstandptekstGaramond"/>
            </w:pPr>
          </w:p>
        </w:tc>
        <w:tc>
          <w:tcPr>
            <w:tcW w:w="217" w:type="dxa"/>
            <w:shd w:val="clear" w:color="auto" w:fill="FFFFFF" w:themeFill="background1"/>
          </w:tcPr>
          <w:p w:rsidR="007B0944" w:rsidRPr="00B5346F" w:rsidRDefault="007B0944" w:rsidP="00896B3C">
            <w:pPr>
              <w:pStyle w:val="Tabel-BrdtekstmedafstandptekstGaramond"/>
            </w:pPr>
          </w:p>
        </w:tc>
        <w:tc>
          <w:tcPr>
            <w:tcW w:w="3407" w:type="dxa"/>
            <w:tcBorders>
              <w:bottom w:val="single" w:sz="4" w:space="0" w:color="14143C" w:themeColor="accent1"/>
            </w:tcBorders>
            <w:shd w:val="clear" w:color="auto" w:fill="D2CED8"/>
          </w:tcPr>
          <w:p w:rsidR="00765106" w:rsidRDefault="00765106" w:rsidP="00896B3C">
            <w:pPr>
              <w:pStyle w:val="Tabel-BrdtekstmedafstandptekstGaramond"/>
            </w:pPr>
          </w:p>
          <w:p w:rsidR="007B0944" w:rsidRDefault="007B0944" w:rsidP="00B538A7">
            <w:pPr>
              <w:pStyle w:val="Tabel-BrdtekstmedafstandptekstGaramond"/>
            </w:pPr>
            <w:r>
              <w:t>Indførelse af en sær</w:t>
            </w:r>
            <w:r w:rsidR="00F843FE">
              <w:t xml:space="preserve">lig </w:t>
            </w:r>
            <w:r>
              <w:t xml:space="preserve">ordning for varmepumper falder </w:t>
            </w:r>
            <w:r w:rsidR="00B538A7">
              <w:t xml:space="preserve">uden </w:t>
            </w:r>
            <w:r>
              <w:t xml:space="preserve">for </w:t>
            </w:r>
            <w:r w:rsidR="00C77016">
              <w:t>lov</w:t>
            </w:r>
            <w:r>
              <w:t>forslagets rammer.</w:t>
            </w:r>
          </w:p>
        </w:tc>
      </w:tr>
      <w:tr w:rsidR="006B60F2" w:rsidRPr="00B5346F" w:rsidTr="00684D94">
        <w:tc>
          <w:tcPr>
            <w:tcW w:w="2309" w:type="dxa"/>
            <w:tcBorders>
              <w:bottom w:val="single" w:sz="4" w:space="0" w:color="D1C5C3" w:themeColor="accent3"/>
            </w:tcBorders>
            <w:shd w:val="clear" w:color="auto" w:fill="FBF9F9"/>
          </w:tcPr>
          <w:p w:rsidR="00F47B09" w:rsidRPr="00F47B09" w:rsidRDefault="00F47B09" w:rsidP="00BB0574">
            <w:pPr>
              <w:pStyle w:val="Tabel-BrdtekstmedafstandptekstGaramond"/>
              <w:ind w:left="0"/>
              <w:rPr>
                <w:i/>
              </w:rPr>
            </w:pPr>
            <w:r w:rsidRPr="00F47B09">
              <w:rPr>
                <w:i/>
              </w:rPr>
              <w:t>DI</w:t>
            </w:r>
          </w:p>
        </w:tc>
        <w:tc>
          <w:tcPr>
            <w:tcW w:w="201" w:type="dxa"/>
            <w:shd w:val="clear" w:color="auto" w:fill="FFFFFF" w:themeFill="background1"/>
          </w:tcPr>
          <w:p w:rsidR="00F47B09" w:rsidRPr="00B5346F" w:rsidRDefault="00F47B09" w:rsidP="005A1F82"/>
        </w:tc>
        <w:tc>
          <w:tcPr>
            <w:tcW w:w="3505" w:type="dxa"/>
            <w:tcBorders>
              <w:bottom w:val="single" w:sz="4" w:space="0" w:color="D1C5C3" w:themeColor="accent3"/>
            </w:tcBorders>
            <w:shd w:val="clear" w:color="auto" w:fill="FBF9F9"/>
          </w:tcPr>
          <w:p w:rsidR="00F47B09" w:rsidRDefault="00525CEA" w:rsidP="005A1F82">
            <w:pPr>
              <w:pStyle w:val="Tabel-BrdtekstmedafstandptekstGaramond"/>
            </w:pPr>
            <w:r>
              <w:t>Finder det beklageligt at engrosmodellen endnu en gang udskydes.</w:t>
            </w:r>
          </w:p>
        </w:tc>
        <w:tc>
          <w:tcPr>
            <w:tcW w:w="217" w:type="dxa"/>
            <w:shd w:val="clear" w:color="auto" w:fill="FFFFFF" w:themeFill="background1"/>
          </w:tcPr>
          <w:p w:rsidR="00F47B09" w:rsidRPr="00B5346F" w:rsidRDefault="00F47B09" w:rsidP="005A1F82"/>
        </w:tc>
        <w:tc>
          <w:tcPr>
            <w:tcW w:w="3407" w:type="dxa"/>
            <w:tcBorders>
              <w:bottom w:val="single" w:sz="4" w:space="0" w:color="14143C" w:themeColor="accent1"/>
            </w:tcBorders>
            <w:shd w:val="clear" w:color="auto" w:fill="D2CED8"/>
          </w:tcPr>
          <w:p w:rsidR="00F47B09" w:rsidRDefault="00F47B09" w:rsidP="005A1F82">
            <w:pPr>
              <w:pStyle w:val="Tabel-BrdtekstmedafstandptekstGaramond"/>
            </w:pPr>
          </w:p>
        </w:tc>
      </w:tr>
      <w:tr w:rsidR="006B60F2" w:rsidRPr="00B5346F" w:rsidTr="00684D94">
        <w:tc>
          <w:tcPr>
            <w:tcW w:w="2309" w:type="dxa"/>
            <w:tcBorders>
              <w:bottom w:val="single" w:sz="4" w:space="0" w:color="D1C5C3" w:themeColor="accent3"/>
            </w:tcBorders>
            <w:shd w:val="clear" w:color="auto" w:fill="FBF9F9"/>
          </w:tcPr>
          <w:p w:rsidR="00F47B09" w:rsidRDefault="00525CEA" w:rsidP="00BB0574">
            <w:pPr>
              <w:pStyle w:val="Tabel-BrdtekstmedafstandptekstGaramond"/>
              <w:ind w:left="0"/>
              <w:rPr>
                <w:i/>
              </w:rPr>
            </w:pPr>
            <w:r>
              <w:t>DONG Energy</w:t>
            </w:r>
          </w:p>
        </w:tc>
        <w:tc>
          <w:tcPr>
            <w:tcW w:w="201" w:type="dxa"/>
            <w:shd w:val="clear" w:color="auto" w:fill="FFFFFF" w:themeFill="background1"/>
          </w:tcPr>
          <w:p w:rsidR="00F47B09" w:rsidRPr="00B5346F" w:rsidRDefault="00F47B09" w:rsidP="005A1F82"/>
        </w:tc>
        <w:tc>
          <w:tcPr>
            <w:tcW w:w="3505" w:type="dxa"/>
            <w:tcBorders>
              <w:bottom w:val="single" w:sz="4" w:space="0" w:color="D1C5C3" w:themeColor="accent3"/>
            </w:tcBorders>
            <w:shd w:val="clear" w:color="auto" w:fill="FBF9F9"/>
          </w:tcPr>
          <w:p w:rsidR="001D22E9" w:rsidRDefault="00525CEA" w:rsidP="00896B3C">
            <w:pPr>
              <w:pStyle w:val="Tabel-BrdtekstmedafstandptekstGaramond"/>
            </w:pPr>
            <w:r>
              <w:t xml:space="preserve">DONG Energy </w:t>
            </w:r>
            <w:r w:rsidR="0091390B">
              <w:t xml:space="preserve">fremkommer med nogle forslag, </w:t>
            </w:r>
            <w:r w:rsidR="001D22E9">
              <w:t xml:space="preserve">som kan begrænse problemerne ved implementeringen af </w:t>
            </w:r>
            <w:proofErr w:type="spellStart"/>
            <w:r w:rsidR="001D22E9">
              <w:t>værnsreglen</w:t>
            </w:r>
            <w:proofErr w:type="spellEnd"/>
            <w:r w:rsidR="001D22E9">
              <w:t xml:space="preserve"> mod </w:t>
            </w:r>
            <w:proofErr w:type="spellStart"/>
            <w:r w:rsidR="001D22E9">
              <w:t>forudfakturering</w:t>
            </w:r>
            <w:proofErr w:type="spellEnd"/>
            <w:r w:rsidR="00E61EDC">
              <w:t>:</w:t>
            </w:r>
          </w:p>
          <w:p w:rsidR="00E61EDC" w:rsidRDefault="00E61EDC" w:rsidP="00896B3C">
            <w:pPr>
              <w:pStyle w:val="Tabel-BrdtekstmedafstandptekstGaramond"/>
            </w:pPr>
          </w:p>
          <w:p w:rsidR="00E61EDC" w:rsidRDefault="00E61EDC" w:rsidP="00E61EDC">
            <w:pPr>
              <w:pStyle w:val="Tabel-BrdtekstmedafstandptekstGaramond"/>
              <w:numPr>
                <w:ilvl w:val="0"/>
                <w:numId w:val="13"/>
              </w:numPr>
            </w:pPr>
            <w:proofErr w:type="spellStart"/>
            <w:r>
              <w:t>Netselskabet</w:t>
            </w:r>
            <w:proofErr w:type="spellEnd"/>
            <w:r>
              <w:t xml:space="preserve"> forpligtes til at udstede en faktura senest 4 hverdage efter at Energinet.dk har dannet afregningsgrundlaget i datahubben.</w:t>
            </w:r>
          </w:p>
          <w:p w:rsidR="00441A9C" w:rsidRDefault="00441A9C" w:rsidP="00441A9C">
            <w:pPr>
              <w:pStyle w:val="Tabel-BrdtekstmedafstandptekstGaramond"/>
            </w:pPr>
          </w:p>
          <w:p w:rsidR="00441A9C" w:rsidRDefault="00441A9C" w:rsidP="00441A9C">
            <w:pPr>
              <w:pStyle w:val="Tabel-BrdtekstmedafstandptekstGaramond"/>
            </w:pPr>
          </w:p>
          <w:p w:rsidR="00441A9C" w:rsidRDefault="00441A9C" w:rsidP="00441A9C">
            <w:pPr>
              <w:pStyle w:val="Tabel-BrdtekstmedafstandptekstGaramond"/>
            </w:pPr>
          </w:p>
          <w:p w:rsidR="00441A9C" w:rsidRDefault="00441A9C" w:rsidP="00441A9C">
            <w:pPr>
              <w:pStyle w:val="Tabel-BrdtekstmedafstandptekstGaramond"/>
            </w:pPr>
          </w:p>
          <w:p w:rsidR="00441A9C" w:rsidRDefault="00441A9C" w:rsidP="00441A9C">
            <w:pPr>
              <w:pStyle w:val="Tabel-BrdtekstmedafstandptekstGaramond"/>
              <w:ind w:left="587"/>
            </w:pPr>
          </w:p>
          <w:p w:rsidR="00441A9C" w:rsidRDefault="00E61EDC" w:rsidP="00441A9C">
            <w:pPr>
              <w:pStyle w:val="Tabel-BrdtekstmedafstandptekstGaramond"/>
              <w:numPr>
                <w:ilvl w:val="0"/>
                <w:numId w:val="13"/>
              </w:numPr>
            </w:pPr>
            <w:proofErr w:type="spellStart"/>
            <w:r>
              <w:t>Elleverandøren</w:t>
            </w:r>
            <w:proofErr w:type="spellEnd"/>
            <w:r>
              <w:t xml:space="preserve"> kan anvende afregningsgrundlaget i datahubben til afregning af kunderne, efter at </w:t>
            </w:r>
            <w:proofErr w:type="spellStart"/>
            <w:r>
              <w:t>netselskabet</w:t>
            </w:r>
            <w:proofErr w:type="spellEnd"/>
            <w:r>
              <w:t xml:space="preserve"> har sendt sin faktura til </w:t>
            </w:r>
            <w:proofErr w:type="spellStart"/>
            <w:r>
              <w:t>elleverandøren</w:t>
            </w:r>
            <w:proofErr w:type="spellEnd"/>
            <w:r>
              <w:t xml:space="preserve">. </w:t>
            </w:r>
          </w:p>
          <w:p w:rsidR="00441A9C" w:rsidRDefault="00441A9C" w:rsidP="00441A9C">
            <w:pPr>
              <w:pStyle w:val="Tabel-BrdtekstmedafstandptekstGaramond"/>
              <w:ind w:left="587"/>
            </w:pPr>
          </w:p>
          <w:p w:rsidR="00E61EDC" w:rsidRDefault="00E61EDC" w:rsidP="00896B3C">
            <w:pPr>
              <w:pStyle w:val="Tabel-BrdtekstmedafstandptekstGaramond"/>
              <w:numPr>
                <w:ilvl w:val="0"/>
                <w:numId w:val="13"/>
              </w:numPr>
            </w:pPr>
            <w:r>
              <w:t xml:space="preserve">Faktureringsbekendtgørelsen indrettes således, at </w:t>
            </w:r>
            <w:proofErr w:type="spellStart"/>
            <w:r>
              <w:t>elleverandøren</w:t>
            </w:r>
            <w:proofErr w:type="spellEnd"/>
            <w:r>
              <w:t xml:space="preserve"> har adgang til at opkræve forudbetaling af sine kunder, blot må denne forudbetaling ikke indeholde specifikation af afgifterne.</w:t>
            </w:r>
          </w:p>
          <w:p w:rsidR="001D22E9" w:rsidRDefault="001D22E9" w:rsidP="00896B3C">
            <w:pPr>
              <w:pStyle w:val="Tabel-BrdtekstmedafstandptekstGaramond"/>
            </w:pPr>
          </w:p>
          <w:p w:rsidR="00F47B09" w:rsidRDefault="0046076F" w:rsidP="005A1F82">
            <w:pPr>
              <w:pStyle w:val="Tabel-BrdtekstmedafstandptekstGaramond"/>
            </w:pPr>
            <w:r>
              <w:t xml:space="preserve">For så vidt angår afregning af mindre erhvervskunder under 100.000 </w:t>
            </w:r>
            <w:proofErr w:type="spellStart"/>
            <w:r>
              <w:t>kwh</w:t>
            </w:r>
            <w:proofErr w:type="spellEnd"/>
            <w:r>
              <w:t xml:space="preserve"> (skabelonkunder) foreslås:</w:t>
            </w:r>
          </w:p>
          <w:p w:rsidR="0046076F" w:rsidRDefault="0046076F" w:rsidP="005A1F82">
            <w:pPr>
              <w:pStyle w:val="Tabel-BrdtekstmedafstandptekstGaramond"/>
            </w:pPr>
          </w:p>
          <w:p w:rsidR="0046076F" w:rsidRDefault="0046076F" w:rsidP="0046076F">
            <w:pPr>
              <w:pStyle w:val="Tabel-BrdtekstmedafstandptekstGaramond"/>
              <w:numPr>
                <w:ilvl w:val="0"/>
                <w:numId w:val="14"/>
              </w:numPr>
            </w:pPr>
            <w:proofErr w:type="spellStart"/>
            <w:r>
              <w:t>Værnsreglen</w:t>
            </w:r>
            <w:proofErr w:type="spellEnd"/>
            <w:r>
              <w:t xml:space="preserve"> skal ikke gælde for mindre erhvervsdrivende under 100.000 kWh.</w:t>
            </w:r>
          </w:p>
          <w:p w:rsidR="009509B4" w:rsidRDefault="0046076F" w:rsidP="009509B4">
            <w:pPr>
              <w:pStyle w:val="Tabel-BrdtekstmedafstandptekstGaramond"/>
              <w:numPr>
                <w:ilvl w:val="0"/>
                <w:numId w:val="14"/>
              </w:numPr>
            </w:pPr>
            <w:r>
              <w:t xml:space="preserve">Alternativt skal </w:t>
            </w:r>
            <w:proofErr w:type="spellStart"/>
            <w:r>
              <w:t>værnsreglen</w:t>
            </w:r>
            <w:proofErr w:type="spellEnd"/>
            <w:r>
              <w:t xml:space="preserve"> tillade, at leverandørerne </w:t>
            </w:r>
            <w:proofErr w:type="gramStart"/>
            <w:r>
              <w:t>overfor</w:t>
            </w:r>
            <w:proofErr w:type="gramEnd"/>
            <w:r>
              <w:t xml:space="preserve"> erhvervskunder kan bruge de korrekte måledata, som fremgår af datahubben på det pågæl</w:t>
            </w:r>
            <w:r w:rsidR="00410177">
              <w:t>dende tidspunkt</w:t>
            </w:r>
            <w:r>
              <w:t>, ved periodeafregninger eller ved leverandørskift og flytninger.</w:t>
            </w:r>
          </w:p>
          <w:p w:rsidR="009509B4" w:rsidRDefault="009509B4" w:rsidP="009509B4">
            <w:pPr>
              <w:pStyle w:val="Tabel-BrdtekstmedafstandptekstGaramond"/>
              <w:ind w:left="947"/>
            </w:pPr>
          </w:p>
          <w:p w:rsidR="007C1F28" w:rsidRDefault="00410177" w:rsidP="007C1F28">
            <w:pPr>
              <w:pStyle w:val="Tabel-BrdtekstmedafstandptekstGaramond"/>
            </w:pPr>
            <w:r>
              <w:t>Det må være tilstrækkeligt, at kundens CVR- eller SE-nummer fremgår af købsaftalen. Det er således ik</w:t>
            </w:r>
            <w:r w:rsidR="00154CA8">
              <w:t>k</w:t>
            </w:r>
            <w:r>
              <w:t>e nødvendigt, at kundens momsregistreringsstatus fremgår.</w:t>
            </w:r>
          </w:p>
          <w:p w:rsidR="00B748FE" w:rsidRDefault="00B748FE" w:rsidP="007C1F28">
            <w:pPr>
              <w:pStyle w:val="Tabel-BrdtekstmedafstandptekstGaramond"/>
            </w:pPr>
          </w:p>
          <w:p w:rsidR="00B748FE" w:rsidRDefault="00B748FE" w:rsidP="007C1F28">
            <w:pPr>
              <w:pStyle w:val="Tabel-BrdtekstmedafstandptekstGaramond"/>
            </w:pPr>
            <w:r>
              <w:t xml:space="preserve">DONG Energy hilser forslaget til håndtering af elvarmekunder velkommen, idet den beskrevne metode vurderes at være mere stringent og nemmere at administrere. Der sker dog mindre ændringer i forhold til den gældende praksis, hvilket bør fremgå af forslaget. </w:t>
            </w:r>
          </w:p>
          <w:p w:rsidR="00B748FE" w:rsidRDefault="00B748FE" w:rsidP="007C1F28">
            <w:pPr>
              <w:pStyle w:val="Tabel-BrdtekstmedafstandptekstGaramond"/>
            </w:pPr>
          </w:p>
          <w:p w:rsidR="004D0F30" w:rsidRDefault="00B748FE" w:rsidP="007C1F28">
            <w:pPr>
              <w:pStyle w:val="Tabel-BrdtekstmedafstandptekstGaramond"/>
            </w:pPr>
            <w:r>
              <w:t xml:space="preserve">Det foreslås, at ændringerne </w:t>
            </w:r>
            <w:r w:rsidR="00FD43A4">
              <w:t>for elvarmekunder</w:t>
            </w:r>
            <w:r>
              <w:t xml:space="preserve"> træder i kraft hurtigst muligt.</w:t>
            </w:r>
          </w:p>
          <w:p w:rsidR="004D0F30" w:rsidRDefault="004D0F30" w:rsidP="007C1F28">
            <w:pPr>
              <w:pStyle w:val="Tabel-BrdtekstmedafstandptekstGaramond"/>
            </w:pPr>
          </w:p>
          <w:p w:rsidR="004D0F30" w:rsidRDefault="004D0F30" w:rsidP="007C1F28">
            <w:pPr>
              <w:pStyle w:val="Tabel-BrdtekstmedafstandptekstGaramond"/>
            </w:pPr>
          </w:p>
          <w:p w:rsidR="009509B4" w:rsidRDefault="004D0F30" w:rsidP="00182E42">
            <w:pPr>
              <w:pStyle w:val="Tabel-BrdtekstmedafstandptekstGaramond"/>
            </w:pPr>
            <w:r>
              <w:t xml:space="preserve">Ved tyveri af elektricitet kan </w:t>
            </w:r>
            <w:proofErr w:type="spellStart"/>
            <w:r>
              <w:t>netselskaberne</w:t>
            </w:r>
            <w:proofErr w:type="spellEnd"/>
            <w:r>
              <w:t xml:space="preserve"> opkræve sit tilgodehavende direkte hos kunden. Det skal sikres, at </w:t>
            </w:r>
            <w:proofErr w:type="spellStart"/>
            <w:r>
              <w:t>netselskaberne</w:t>
            </w:r>
            <w:proofErr w:type="spellEnd"/>
            <w:r>
              <w:t xml:space="preserve"> har lov til at opkræve afgifter direkte hos en kunde, hvor det ikke er muligt at lade opkrævningen ske via en leverandør.</w:t>
            </w:r>
          </w:p>
        </w:tc>
        <w:tc>
          <w:tcPr>
            <w:tcW w:w="217" w:type="dxa"/>
            <w:shd w:val="clear" w:color="auto" w:fill="FFFFFF" w:themeFill="background1"/>
          </w:tcPr>
          <w:p w:rsidR="00F47B09" w:rsidRPr="00B5346F" w:rsidRDefault="00F47B09" w:rsidP="005A1F82"/>
        </w:tc>
        <w:tc>
          <w:tcPr>
            <w:tcW w:w="3407" w:type="dxa"/>
            <w:tcBorders>
              <w:bottom w:val="single" w:sz="4" w:space="0" w:color="14143C" w:themeColor="accent1"/>
            </w:tcBorders>
            <w:shd w:val="clear" w:color="auto" w:fill="D2CED8"/>
          </w:tcPr>
          <w:p w:rsidR="00E61EDC" w:rsidRDefault="00E61EDC" w:rsidP="005A1F82">
            <w:pPr>
              <w:pStyle w:val="Tabel-BrdtekstmedafstandptekstGaramond"/>
            </w:pPr>
          </w:p>
          <w:p w:rsidR="00E61EDC" w:rsidRDefault="00E61EDC" w:rsidP="005A1F82">
            <w:pPr>
              <w:pStyle w:val="Tabel-BrdtekstmedafstandptekstGaramond"/>
            </w:pPr>
          </w:p>
          <w:p w:rsidR="00E61EDC" w:rsidRDefault="00E61EDC" w:rsidP="005A1F82">
            <w:pPr>
              <w:pStyle w:val="Tabel-BrdtekstmedafstandptekstGaramond"/>
            </w:pPr>
          </w:p>
          <w:p w:rsidR="00E61EDC" w:rsidRDefault="00E61EDC" w:rsidP="005A1F82">
            <w:pPr>
              <w:pStyle w:val="Tabel-BrdtekstmedafstandptekstGaramond"/>
            </w:pPr>
          </w:p>
          <w:p w:rsidR="00441A9C" w:rsidRDefault="00441A9C" w:rsidP="005A1F82">
            <w:pPr>
              <w:pStyle w:val="Tabel-BrdtekstmedafstandptekstGaramond"/>
            </w:pPr>
          </w:p>
          <w:p w:rsidR="00441A9C" w:rsidRDefault="00441A9C" w:rsidP="005A1F82">
            <w:pPr>
              <w:pStyle w:val="Tabel-BrdtekstmedafstandptekstGaramond"/>
            </w:pPr>
          </w:p>
          <w:p w:rsidR="00E61EDC" w:rsidRDefault="00FB0093" w:rsidP="005A1F82">
            <w:pPr>
              <w:pStyle w:val="Tabel-BrdtekstmedafstandptekstGaramond"/>
            </w:pPr>
            <w:r>
              <w:t xml:space="preserve">Der vil blive foreslået regler med skærpede frister for fakturering fra </w:t>
            </w:r>
            <w:proofErr w:type="spellStart"/>
            <w:r>
              <w:t>netvirksomhederne</w:t>
            </w:r>
            <w:proofErr w:type="spellEnd"/>
            <w:r>
              <w:t xml:space="preserve"> til </w:t>
            </w:r>
            <w:proofErr w:type="spellStart"/>
            <w:r>
              <w:t>elhandels</w:t>
            </w:r>
            <w:r w:rsidR="00B14DBE">
              <w:t>virksomhederne</w:t>
            </w:r>
            <w:proofErr w:type="spellEnd"/>
            <w:r w:rsidR="00B14DBE">
              <w:t xml:space="preserve"> i </w:t>
            </w:r>
            <w:r w:rsidR="00B538A7">
              <w:t>K</w:t>
            </w:r>
            <w:r w:rsidR="00B14DBE">
              <w:t xml:space="preserve">lima-, energi- og </w:t>
            </w:r>
            <w:proofErr w:type="gramStart"/>
            <w:r w:rsidR="00B14DBE">
              <w:t>b</w:t>
            </w:r>
            <w:r>
              <w:t>ygningsminister</w:t>
            </w:r>
            <w:r w:rsidR="00B538A7">
              <w:t xml:space="preserve">iets </w:t>
            </w:r>
            <w:r>
              <w:t xml:space="preserve"> lovgivning</w:t>
            </w:r>
            <w:proofErr w:type="gramEnd"/>
            <w:r>
              <w:t xml:space="preserve"> i forbindelse med indførelse</w:t>
            </w:r>
            <w:r w:rsidR="00B538A7">
              <w:t xml:space="preserve"> af</w:t>
            </w:r>
            <w:r>
              <w:t xml:space="preserve"> engrosmodellen. En frist på 4 dage anses dog for restriktiv for </w:t>
            </w:r>
            <w:proofErr w:type="spellStart"/>
            <w:r>
              <w:t>netvirksomhederne</w:t>
            </w:r>
            <w:proofErr w:type="spellEnd"/>
            <w:r>
              <w:t>.</w:t>
            </w:r>
          </w:p>
          <w:p w:rsidR="00E61EDC" w:rsidRDefault="00E61EDC" w:rsidP="005A1F82">
            <w:pPr>
              <w:pStyle w:val="Tabel-BrdtekstmedafstandptekstGaramond"/>
            </w:pPr>
          </w:p>
          <w:p w:rsidR="00E61EDC" w:rsidRDefault="00E61EDC" w:rsidP="00E61EDC">
            <w:pPr>
              <w:pStyle w:val="Tabel-BrdtekstmedafstandptekstGaramond"/>
            </w:pPr>
            <w:r>
              <w:t>Der henvises til kommentarerne til Dansk Energi.</w:t>
            </w:r>
          </w:p>
          <w:p w:rsidR="00441A9C" w:rsidRDefault="00441A9C" w:rsidP="00E61EDC">
            <w:pPr>
              <w:pStyle w:val="Tabel-BrdtekstmedafstandptekstGaramond"/>
            </w:pPr>
          </w:p>
          <w:p w:rsidR="00E61EDC" w:rsidRDefault="00E61EDC" w:rsidP="00E61EDC">
            <w:pPr>
              <w:pStyle w:val="Tabel-BrdtekstmedafstandptekstGaramond"/>
            </w:pPr>
          </w:p>
          <w:p w:rsidR="00E61EDC" w:rsidRDefault="00E61EDC" w:rsidP="00E61EDC">
            <w:pPr>
              <w:pStyle w:val="Tabel-BrdtekstmedafstandptekstGaramond"/>
            </w:pPr>
          </w:p>
          <w:p w:rsidR="00E61EDC" w:rsidRDefault="00E61EDC" w:rsidP="00E61EDC">
            <w:pPr>
              <w:pStyle w:val="Tabel-BrdtekstmedafstandptekstGaramond"/>
            </w:pPr>
          </w:p>
          <w:p w:rsidR="00E61EDC" w:rsidRDefault="00E61EDC" w:rsidP="00E61EDC">
            <w:pPr>
              <w:pStyle w:val="Tabel-BrdtekstmedafstandptekstGaramond"/>
            </w:pPr>
          </w:p>
          <w:p w:rsidR="0046076F" w:rsidRDefault="00FB0093" w:rsidP="00E61EDC">
            <w:pPr>
              <w:pStyle w:val="Tabel-BrdtekstmedafstandptekstGaramond"/>
            </w:pPr>
            <w:r w:rsidRPr="00441A9C">
              <w:t xml:space="preserve">Det forudsættes, at Energitilsynet tilretter faktureringsbekendtgørelsen, så denne ikke er til hinder for, at </w:t>
            </w:r>
            <w:proofErr w:type="spellStart"/>
            <w:r w:rsidRPr="00441A9C">
              <w:t>elhandelsvirksomhederne</w:t>
            </w:r>
            <w:proofErr w:type="spellEnd"/>
            <w:r w:rsidRPr="00441A9C">
              <w:t xml:space="preserve"> kan fakturere deres kunder forud uden samtidigt at </w:t>
            </w:r>
            <w:proofErr w:type="spellStart"/>
            <w:r w:rsidRPr="00441A9C">
              <w:t>forudfakturere</w:t>
            </w:r>
            <w:proofErr w:type="spellEnd"/>
            <w:r w:rsidRPr="00441A9C">
              <w:t xml:space="preserve"> elafgift. </w:t>
            </w: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DA3D4A" w:rsidP="00E61EDC">
            <w:pPr>
              <w:pStyle w:val="Tabel-BrdtekstmedafstandptekstGaramond"/>
            </w:pPr>
            <w:r w:rsidRPr="00DA3D4A">
              <w:t>Der henvises til kommentarerne til Dansk Energi.</w:t>
            </w:r>
          </w:p>
          <w:p w:rsidR="0046076F" w:rsidRDefault="0046076F" w:rsidP="00E61EDC">
            <w:pPr>
              <w:pStyle w:val="Tabel-BrdtekstmedafstandptekstGaramond"/>
            </w:pPr>
          </w:p>
          <w:p w:rsidR="0046076F" w:rsidRDefault="0046076F" w:rsidP="0046076F">
            <w:pPr>
              <w:pStyle w:val="Tabel-BrdtekstmedafstandptekstGaramond"/>
            </w:pPr>
            <w:r>
              <w:t>Der henvises til kommentarerne til Dansk Energi.</w:t>
            </w: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46076F" w:rsidRDefault="0046076F" w:rsidP="00E61EDC">
            <w:pPr>
              <w:pStyle w:val="Tabel-BrdtekstmedafstandptekstGaramond"/>
            </w:pPr>
          </w:p>
          <w:p w:rsidR="00154CA8" w:rsidRDefault="00154CA8" w:rsidP="00154CA8">
            <w:pPr>
              <w:pStyle w:val="Tabel-BrdtekstmedafstandptekstGaramond"/>
            </w:pPr>
            <w:r>
              <w:t>Der henvises til kommentarerne til Dansk Energi.</w:t>
            </w:r>
          </w:p>
          <w:p w:rsidR="00B748FE" w:rsidRDefault="00B748FE" w:rsidP="00154CA8">
            <w:pPr>
              <w:pStyle w:val="Tabel-BrdtekstmedafstandptekstGaramond"/>
            </w:pPr>
          </w:p>
          <w:p w:rsidR="00B748FE" w:rsidRDefault="00B748FE" w:rsidP="00154CA8">
            <w:pPr>
              <w:pStyle w:val="Tabel-BrdtekstmedafstandptekstGaramond"/>
            </w:pPr>
          </w:p>
          <w:p w:rsidR="00B748FE" w:rsidRDefault="00B748FE" w:rsidP="00154CA8">
            <w:pPr>
              <w:pStyle w:val="Tabel-BrdtekstmedafstandptekstGaramond"/>
            </w:pPr>
          </w:p>
          <w:p w:rsidR="00B748FE" w:rsidRDefault="00B748FE" w:rsidP="00154CA8">
            <w:pPr>
              <w:pStyle w:val="Tabel-BrdtekstmedafstandptekstGaramond"/>
            </w:pPr>
          </w:p>
          <w:p w:rsidR="00B748FE" w:rsidRDefault="00B748FE" w:rsidP="00B748FE">
            <w:pPr>
              <w:pStyle w:val="Tabel-BrdtekstmedafstandptekstGaramond"/>
            </w:pPr>
            <w:r w:rsidRPr="000D1B30">
              <w:t>Der henvises til kommentarerne til Dansk Energi.</w:t>
            </w:r>
          </w:p>
          <w:p w:rsidR="00B748FE" w:rsidRDefault="00B748FE" w:rsidP="00B748FE">
            <w:pPr>
              <w:pStyle w:val="Tabel-BrdtekstmedafstandptekstGaramond"/>
            </w:pPr>
          </w:p>
          <w:p w:rsidR="00B748FE" w:rsidRDefault="00B748FE" w:rsidP="00B748FE">
            <w:pPr>
              <w:pStyle w:val="Tabel-BrdtekstmedafstandptekstGaramond"/>
            </w:pPr>
          </w:p>
          <w:p w:rsidR="00B748FE" w:rsidRDefault="00B748FE" w:rsidP="00B748FE">
            <w:pPr>
              <w:pStyle w:val="Tabel-BrdtekstmedafstandptekstGaramond"/>
            </w:pPr>
          </w:p>
          <w:p w:rsidR="00B748FE" w:rsidRDefault="00B748FE" w:rsidP="00B748FE">
            <w:pPr>
              <w:pStyle w:val="Tabel-BrdtekstmedafstandptekstGaramond"/>
            </w:pPr>
          </w:p>
          <w:p w:rsidR="00B748FE" w:rsidRDefault="00B748FE" w:rsidP="00B748FE">
            <w:pPr>
              <w:pStyle w:val="Tabel-BrdtekstmedafstandptekstGaramond"/>
            </w:pPr>
          </w:p>
          <w:p w:rsidR="00B748FE" w:rsidRDefault="00B748FE" w:rsidP="00B748FE">
            <w:pPr>
              <w:pStyle w:val="Tabel-BrdtekstmedafstandptekstGaramond"/>
            </w:pPr>
          </w:p>
          <w:p w:rsidR="00B748FE" w:rsidRDefault="00B748FE" w:rsidP="00B748FE">
            <w:pPr>
              <w:pStyle w:val="Tabel-BrdtekstmedafstandptekstGaramond"/>
            </w:pPr>
          </w:p>
          <w:p w:rsidR="004D0F30" w:rsidRDefault="00B748FE" w:rsidP="00FD43A4">
            <w:pPr>
              <w:pStyle w:val="Tabel-BrdtekstmedafstandptekstGaramond"/>
            </w:pPr>
            <w:r>
              <w:t>Ændringerne er et led i tilpasningerne til engrosmodellen. De bør derfor sættes i kraft samtidig med denne.</w:t>
            </w:r>
          </w:p>
          <w:p w:rsidR="004D0F30" w:rsidRDefault="004D0F30" w:rsidP="00FD43A4">
            <w:pPr>
              <w:pStyle w:val="Tabel-BrdtekstmedafstandptekstGaramond"/>
            </w:pPr>
          </w:p>
          <w:p w:rsidR="004D0F30" w:rsidRDefault="004D0F30" w:rsidP="004D0F30">
            <w:pPr>
              <w:pStyle w:val="Tabel-BrdtekstmedafstandptekstGaramond"/>
            </w:pPr>
            <w:r w:rsidRPr="000D1B30">
              <w:t>Der henvises til kommentarerne til Dansk Energi.</w:t>
            </w:r>
          </w:p>
          <w:p w:rsidR="004D0F30" w:rsidRDefault="004D0F30" w:rsidP="00FD43A4">
            <w:pPr>
              <w:pStyle w:val="Tabel-BrdtekstmedafstandptekstGaramond"/>
            </w:pPr>
          </w:p>
        </w:tc>
      </w:tr>
      <w:tr w:rsidR="006B60F2" w:rsidRPr="00B5346F" w:rsidTr="00684D94">
        <w:tc>
          <w:tcPr>
            <w:tcW w:w="2309" w:type="dxa"/>
            <w:tcBorders>
              <w:bottom w:val="single" w:sz="4" w:space="0" w:color="D1C5C3" w:themeColor="accent3"/>
            </w:tcBorders>
            <w:shd w:val="clear" w:color="auto" w:fill="FBF9F9"/>
          </w:tcPr>
          <w:p w:rsidR="00786FE9" w:rsidRDefault="00786FE9" w:rsidP="00BB0574">
            <w:pPr>
              <w:pStyle w:val="Tabel-BrdtekstmedafstandptekstGaramond"/>
              <w:ind w:left="0"/>
              <w:rPr>
                <w:i/>
              </w:rPr>
            </w:pPr>
            <w:r>
              <w:rPr>
                <w:i/>
              </w:rPr>
              <w:t>Energinet.dk</w:t>
            </w:r>
          </w:p>
        </w:tc>
        <w:tc>
          <w:tcPr>
            <w:tcW w:w="201" w:type="dxa"/>
            <w:shd w:val="clear" w:color="auto" w:fill="FFFFFF" w:themeFill="background1"/>
          </w:tcPr>
          <w:p w:rsidR="00786FE9" w:rsidRPr="00B5346F" w:rsidRDefault="00786FE9" w:rsidP="005A1F82"/>
        </w:tc>
        <w:tc>
          <w:tcPr>
            <w:tcW w:w="3505" w:type="dxa"/>
            <w:tcBorders>
              <w:bottom w:val="single" w:sz="4" w:space="0" w:color="D1C5C3" w:themeColor="accent3"/>
            </w:tcBorders>
            <w:shd w:val="clear" w:color="auto" w:fill="FBF9F9"/>
          </w:tcPr>
          <w:p w:rsidR="00786FE9" w:rsidRDefault="00786FE9" w:rsidP="005A1F82">
            <w:pPr>
              <w:pStyle w:val="Tabel-BrdtekstmedafstandptekstGaramond"/>
            </w:pPr>
            <w:r>
              <w:t xml:space="preserve">Det er helt naturligt, at </w:t>
            </w:r>
            <w:proofErr w:type="spellStart"/>
            <w:r>
              <w:t>DataHub</w:t>
            </w:r>
            <w:proofErr w:type="spellEnd"/>
            <w:r>
              <w:t xml:space="preserve"> foreslås anvendt også for elafgifterne, da </w:t>
            </w:r>
            <w:proofErr w:type="spellStart"/>
            <w:r>
              <w:t>DataHub</w:t>
            </w:r>
            <w:proofErr w:type="spellEnd"/>
            <w:r>
              <w:t xml:space="preserve"> er etableret til kommunikation og udveksling af datagrundlag mellem aktørerne på elmarkedet.</w:t>
            </w:r>
          </w:p>
          <w:p w:rsidR="00786FE9" w:rsidRDefault="00786FE9" w:rsidP="005A1F82">
            <w:pPr>
              <w:pStyle w:val="Tabel-BrdtekstmedafstandptekstGaramond"/>
            </w:pPr>
          </w:p>
          <w:p w:rsidR="00786FE9" w:rsidRDefault="00786FE9" w:rsidP="005A1F82">
            <w:pPr>
              <w:pStyle w:val="Tabel-BrdtekstmedafstandptekstGaramond"/>
            </w:pPr>
            <w:r>
              <w:t>Høringsforslaget indeholder dog nogle kontrolforpligtelser for Energinet.dk i forhold til afgiftsgrundlaget og afgiftsopkrævningen, som Energinet.dk ikke ser sig i stand til at opfylde i den form og det omfang, som fremgår af forslaget.</w:t>
            </w:r>
          </w:p>
          <w:p w:rsidR="00786FE9" w:rsidRDefault="00786FE9" w:rsidP="005A1F82">
            <w:pPr>
              <w:pStyle w:val="Tabel-BrdtekstmedafstandptekstGaramond"/>
            </w:pPr>
          </w:p>
          <w:p w:rsidR="00786FE9" w:rsidRDefault="00786FE9" w:rsidP="005A1F82">
            <w:pPr>
              <w:pStyle w:val="Tabel-BrdtekstmedafstandptekstGaramond"/>
            </w:pPr>
            <w:r>
              <w:t>Forslaget lægger op til, at Energinet.dk skal udføre løbende samkøring med uafhængige kilder i form af f.eks. BBR. Dette betragtes som en myndighedsopgave inden</w:t>
            </w:r>
            <w:r w:rsidR="0020487A">
              <w:t xml:space="preserve"> </w:t>
            </w:r>
            <w:r>
              <w:t xml:space="preserve">for </w:t>
            </w:r>
            <w:proofErr w:type="spellStart"/>
            <w:r>
              <w:t>SKATs</w:t>
            </w:r>
            <w:proofErr w:type="spellEnd"/>
            <w:r>
              <w:t xml:space="preserve"> ministerielle ressortområde. Det anses ikke for at være en naturlig opgave for Energinet.dk at udføre kontrolopgaver vedrørende afgiftsforhold. Energinet.dk vurderer umiddelbart, at der med forslaget på nuværende tidspunkt ikke er tilstrækkelig hjemmel hertil.</w:t>
            </w:r>
          </w:p>
          <w:p w:rsidR="00786FE9" w:rsidRDefault="00786FE9" w:rsidP="005A1F82">
            <w:pPr>
              <w:pStyle w:val="Tabel-BrdtekstmedafstandptekstGaramond"/>
            </w:pPr>
          </w:p>
          <w:p w:rsidR="00786FE9" w:rsidRDefault="00786FE9" w:rsidP="005A1F82">
            <w:pPr>
              <w:pStyle w:val="Tabel-BrdtekstmedafstandptekstGaramond"/>
            </w:pPr>
            <w:r>
              <w:t xml:space="preserve">Der foreslås en ændret formulering af § 9, stk. 2, hvorefter </w:t>
            </w:r>
            <w:r w:rsidR="00FC1531">
              <w:t xml:space="preserve">Energinet.dk på forlangende </w:t>
            </w:r>
            <w:proofErr w:type="gramStart"/>
            <w:r w:rsidR="00FC1531">
              <w:t>overfor</w:t>
            </w:r>
            <w:proofErr w:type="gramEnd"/>
            <w:r w:rsidR="00FC1531">
              <w:t xml:space="preserve"> SKAT skal kunne fremvise et grundlag for kontrol af, hvorvidt </w:t>
            </w:r>
            <w:r>
              <w:t xml:space="preserve">oplysninger om særlige afgiftsforhold i datahubben </w:t>
            </w:r>
            <w:r w:rsidR="00FC1531">
              <w:t xml:space="preserve">stemmer overens </w:t>
            </w:r>
            <w:r>
              <w:t>med oplysninger ifølge uafhængige kilder</w:t>
            </w:r>
            <w:r w:rsidR="00FC1531">
              <w:t>.</w:t>
            </w:r>
          </w:p>
          <w:p w:rsidR="00786FE9" w:rsidRDefault="00786FE9" w:rsidP="005A1F82">
            <w:pPr>
              <w:pStyle w:val="Tabel-BrdtekstmedafstandptekstGaramond"/>
            </w:pPr>
          </w:p>
          <w:p w:rsidR="007F7603" w:rsidRDefault="00786FE9" w:rsidP="005A1F82">
            <w:pPr>
              <w:pStyle w:val="Tabel-BrdtekstmedafstandptekstGaramond"/>
            </w:pPr>
            <w:r>
              <w:t xml:space="preserve">Det ønskes præciseret i forslaget, at Energinet.dk i tilfælde af fejl, skal være behjælpelig med kontaktoplysninger mellem </w:t>
            </w:r>
            <w:proofErr w:type="spellStart"/>
            <w:r>
              <w:t>elhandelsvirksomheden</w:t>
            </w:r>
            <w:proofErr w:type="spellEnd"/>
            <w:r>
              <w:t xml:space="preserve"> og </w:t>
            </w:r>
            <w:proofErr w:type="spellStart"/>
            <w:r>
              <w:t>netvirksomheden</w:t>
            </w:r>
            <w:proofErr w:type="spellEnd"/>
            <w:r>
              <w:t>, som herefter bilateralt skal afklare forholdene. Det bør desuden fremgå, at Energinet.dk ikke kan pålægges ansvar for eventuelle fejlagtige registreringer om særlige afgiftsforhold.</w:t>
            </w:r>
          </w:p>
          <w:p w:rsidR="00786FE9" w:rsidRDefault="00786FE9" w:rsidP="005A1F82">
            <w:pPr>
              <w:pStyle w:val="Tabel-BrdtekstmedafstandptekstGaramond"/>
            </w:pPr>
          </w:p>
          <w:p w:rsidR="00786FE9" w:rsidRDefault="00CB0796" w:rsidP="005A1F82">
            <w:pPr>
              <w:pStyle w:val="Tabel-BrdtekstmedafstandptekstGaramond"/>
            </w:pPr>
            <w:r w:rsidRPr="00CB0796">
              <w:t>Efter lovteksten i § 6, stk. 3, nr. 2, er der et 1:1 forhold mel</w:t>
            </w:r>
            <w:r w:rsidR="00DF38E2">
              <w:t>l</w:t>
            </w:r>
            <w:r w:rsidRPr="00CB0796">
              <w:t xml:space="preserve">em aftagenummer og boligenheden registreret med elvarme i BBR. Efter </w:t>
            </w:r>
            <w:proofErr w:type="spellStart"/>
            <w:r w:rsidRPr="00CB0796">
              <w:t>Energinet.dks</w:t>
            </w:r>
            <w:proofErr w:type="spellEnd"/>
            <w:r w:rsidRPr="00CB0796">
              <w:t xml:space="preserve"> forståelse træffes kommunens afgørelser om elvarme ikke pr. aftagenummer, men i stedet pr. boligenhed.</w:t>
            </w:r>
            <w:r w:rsidR="00926897">
              <w:t xml:space="preserve"> Det anføres, at forslagets § 6, stk. 3, nr. 2, betyder, at aftagenummeret grundet den fysiske installation ikke kan levere strøm til flere boligenheder.</w:t>
            </w:r>
          </w:p>
          <w:p w:rsidR="00786FE9" w:rsidRDefault="00786FE9" w:rsidP="005A1F82">
            <w:pPr>
              <w:pStyle w:val="Tabel-BrdtekstmedafstandptekstGaramond"/>
            </w:pPr>
          </w:p>
          <w:p w:rsidR="00786FE9" w:rsidRDefault="00786FE9" w:rsidP="005A1F82">
            <w:pPr>
              <w:pStyle w:val="Tabel-BrdtekstmedafstandptekstGaramond"/>
            </w:pPr>
            <w:r>
              <w:t>§ 6, stk. 4, nævner en opgørelse i kal</w:t>
            </w:r>
            <w:r w:rsidR="003D2156">
              <w:t xml:space="preserve">endermåneder i forbindelse med </w:t>
            </w:r>
            <w:r>
              <w:t>l</w:t>
            </w:r>
            <w:r w:rsidR="003D2156">
              <w:t>e</w:t>
            </w:r>
            <w:r>
              <w:t>verandørskifte, men et skift kan ske på en vilkårlig dato. Det anbefales, at kalendermåneder ændres til dage.</w:t>
            </w:r>
          </w:p>
          <w:p w:rsidR="00786FE9" w:rsidRDefault="00786FE9" w:rsidP="005A1F82">
            <w:pPr>
              <w:pStyle w:val="Tabel-BrdtekstmedafstandptekstGaramond"/>
            </w:pPr>
          </w:p>
          <w:p w:rsidR="00786FE9" w:rsidRDefault="00786FE9" w:rsidP="00077673">
            <w:pPr>
              <w:pStyle w:val="Tabel-BrdtekstmedafstandptekstGaramond"/>
            </w:pPr>
            <w:r>
              <w:t xml:space="preserve">De foreslåede ændringer vil efter et overordnet estimat medføre engangsomkostninger på ca. 5 mio. kr. og årlige driftsudgifter svarende til ca. 11 årsværk. </w:t>
            </w:r>
            <w:r w:rsidR="008848EF">
              <w:t xml:space="preserve">Dette </w:t>
            </w:r>
            <w:r w:rsidR="00087BC5">
              <w:t>skøn er behæftet med stor usikkerhed, og størrelsen af disse udgifter vil afhænge af den opgave og den implementering, der pålægges Energinet.dk.</w:t>
            </w:r>
          </w:p>
          <w:p w:rsidR="00786FE9" w:rsidRDefault="00786FE9" w:rsidP="00077673">
            <w:pPr>
              <w:pStyle w:val="Tabel-BrdtekstmedafstandptekstGaramond"/>
            </w:pPr>
          </w:p>
          <w:p w:rsidR="00786FE9" w:rsidRDefault="00786FE9" w:rsidP="00077673">
            <w:pPr>
              <w:pStyle w:val="Tabel-BrdtekstmedafstandptekstGaramond"/>
            </w:pPr>
            <w:r>
              <w:t xml:space="preserve">Det vurderes, at de opgaver, som de registrerede </w:t>
            </w:r>
            <w:proofErr w:type="spellStart"/>
            <w:r>
              <w:t>netvirksomheder</w:t>
            </w:r>
            <w:proofErr w:type="spellEnd"/>
            <w:r>
              <w:t xml:space="preserve"> varetager i dag</w:t>
            </w:r>
            <w:r w:rsidR="00B538A7">
              <w:t>,</w:t>
            </w:r>
            <w:r>
              <w:t xml:space="preserve"> fremadrettet overdrages til </w:t>
            </w:r>
            <w:proofErr w:type="spellStart"/>
            <w:r>
              <w:t>elhandelsvirksomhederne</w:t>
            </w:r>
            <w:proofErr w:type="spellEnd"/>
            <w:r>
              <w:t>, mens de opgaver, der pålægges Energinet.dk, vurderes at være et tillæg til de eksisterende led i verificeringen.</w:t>
            </w:r>
          </w:p>
          <w:p w:rsidR="00786FE9" w:rsidRDefault="00786FE9" w:rsidP="00077673">
            <w:pPr>
              <w:pStyle w:val="Tabel-BrdtekstmedafstandptekstGaramond"/>
            </w:pPr>
          </w:p>
          <w:p w:rsidR="00786FE9" w:rsidRDefault="00786FE9" w:rsidP="004F4DFE">
            <w:pPr>
              <w:pStyle w:val="Tabel-BrdtekstmedafstandptekstGaramond"/>
            </w:pPr>
            <w:r>
              <w:t xml:space="preserve">Definitionen af en </w:t>
            </w:r>
            <w:proofErr w:type="spellStart"/>
            <w:r>
              <w:t>elhandelsvirksomhed</w:t>
            </w:r>
            <w:proofErr w:type="spellEnd"/>
            <w:r>
              <w:t xml:space="preserve"> bør være samstemmende med definitionen i lov om elforsyning. </w:t>
            </w:r>
          </w:p>
          <w:p w:rsidR="00786FE9" w:rsidRDefault="00786FE9" w:rsidP="004F4DFE">
            <w:pPr>
              <w:pStyle w:val="Tabel-BrdtekstmedafstandptekstGaramond"/>
            </w:pPr>
          </w:p>
          <w:p w:rsidR="00786FE9" w:rsidRDefault="00786FE9" w:rsidP="004F4DFE">
            <w:pPr>
              <w:pStyle w:val="Tabel-BrdtekstmedafstandptekstGaramond"/>
            </w:pPr>
          </w:p>
          <w:p w:rsidR="00786FE9" w:rsidRDefault="00786FE9" w:rsidP="004F4DFE">
            <w:pPr>
              <w:pStyle w:val="Tabel-BrdtekstmedafstandptekstGaramond"/>
            </w:pPr>
          </w:p>
          <w:p w:rsidR="00786FE9" w:rsidRDefault="00786FE9" w:rsidP="004F4DFE">
            <w:pPr>
              <w:pStyle w:val="Tabel-BrdtekstmedafstandptekstGaramond"/>
            </w:pPr>
            <w:r>
              <w:t xml:space="preserve">Det foreslås, at datahubben defineres i overensstemmelse med </w:t>
            </w:r>
            <w:proofErr w:type="spellStart"/>
            <w:r>
              <w:t>Energinet.dk’s</w:t>
            </w:r>
            <w:proofErr w:type="spellEnd"/>
            <w:r>
              <w:t xml:space="preserve"> markedsforskrifter, hvoraf fremgår denne definition: ”En it-platform der ejes og drives af Energinet.dk. </w:t>
            </w:r>
            <w:proofErr w:type="spellStart"/>
            <w:r>
              <w:t>DataHub</w:t>
            </w:r>
            <w:proofErr w:type="spellEnd"/>
            <w:r>
              <w:t xml:space="preserve"> håndterer måledata, stamdata, nødvendige transaktioner</w:t>
            </w:r>
            <w:r w:rsidR="00166D5C">
              <w:t>,</w:t>
            </w:r>
            <w:r>
              <w:t xml:space="preserve"> samt kommunikationen mellem alle </w:t>
            </w:r>
            <w:proofErr w:type="spellStart"/>
            <w:r>
              <w:t>elmarkedets</w:t>
            </w:r>
            <w:proofErr w:type="spellEnd"/>
            <w:r>
              <w:t xml:space="preserve"> aktører i </w:t>
            </w:r>
            <w:proofErr w:type="gramStart"/>
            <w:r>
              <w:t>Danmark.”</w:t>
            </w:r>
            <w:proofErr w:type="gramEnd"/>
          </w:p>
          <w:p w:rsidR="00786FE9" w:rsidRDefault="00786FE9" w:rsidP="00077673">
            <w:pPr>
              <w:pStyle w:val="Tabel-BrdtekstmedafstandptekstGaramond"/>
            </w:pPr>
          </w:p>
          <w:p w:rsidR="00786FE9" w:rsidRDefault="00786FE9" w:rsidP="00077673">
            <w:pPr>
              <w:pStyle w:val="Tabel-BrdtekstmedafstandptekstGaramond"/>
            </w:pPr>
            <w:r>
              <w:t xml:space="preserve">I lovbemærkningerne til § 7, stk. 3, 1. pkt., nævnes udtrykket aftagenummeret, hvilket må være en fejl. </w:t>
            </w:r>
          </w:p>
          <w:p w:rsidR="00786FE9" w:rsidRDefault="00786FE9" w:rsidP="00077673">
            <w:pPr>
              <w:pStyle w:val="Tabel-BrdtekstmedafstandptekstGaramond"/>
            </w:pPr>
          </w:p>
          <w:p w:rsidR="00786FE9" w:rsidRDefault="00786FE9" w:rsidP="00077673">
            <w:pPr>
              <w:pStyle w:val="Tabel-BrdtekstmedafstandptekstGaramond"/>
            </w:pPr>
            <w:r>
              <w:t xml:space="preserve">Ifølge </w:t>
            </w:r>
            <w:proofErr w:type="spellStart"/>
            <w:r>
              <w:t>Energinet.dk’s</w:t>
            </w:r>
            <w:proofErr w:type="spellEnd"/>
            <w:r>
              <w:t xml:space="preserve"> forskrifter kan der på et aftagenummer være registreret enten en juridisk person med ét CVR-nr. eller max to fysiske personer. Dette afsnit i lovbemærkningerne er ikke i overensstemmelse med forskrifterne:</w:t>
            </w:r>
          </w:p>
          <w:p w:rsidR="00786FE9" w:rsidRDefault="00786FE9" w:rsidP="00077673">
            <w:pPr>
              <w:pStyle w:val="Tabel-BrdtekstmedafstandptekstGaramond"/>
            </w:pPr>
            <w:r>
              <w:t xml:space="preserve">”Det er således muligt, at et aftagenummer vedrører både </w:t>
            </w:r>
            <w:proofErr w:type="spellStart"/>
            <w:r>
              <w:t>elforbrugere</w:t>
            </w:r>
            <w:proofErr w:type="spellEnd"/>
            <w:r>
              <w:t xml:space="preserve"> omfattet af afgiftsfritagelsen for VE-anlæg og </w:t>
            </w:r>
            <w:proofErr w:type="spellStart"/>
            <w:r>
              <w:t>elforbrugere</w:t>
            </w:r>
            <w:proofErr w:type="spellEnd"/>
            <w:r>
              <w:t xml:space="preserve">, som ikke er omfattet af denne fritagelse. </w:t>
            </w:r>
          </w:p>
          <w:p w:rsidR="00786FE9" w:rsidRDefault="00786FE9" w:rsidP="00077673">
            <w:pPr>
              <w:pStyle w:val="Tabel-BrdtekstmedafstandptekstGaramond"/>
            </w:pPr>
          </w:p>
          <w:p w:rsidR="00786FE9" w:rsidRDefault="00786FE9" w:rsidP="00077673">
            <w:pPr>
              <w:pStyle w:val="Tabel-BrdtekstmedafstandptekstGaramond"/>
            </w:pPr>
            <w:r>
              <w:t xml:space="preserve">Udtrykket </w:t>
            </w:r>
            <w:r w:rsidR="00166D5C">
              <w:t>”</w:t>
            </w:r>
            <w:proofErr w:type="spellStart"/>
            <w:r>
              <w:t>elkunder</w:t>
            </w:r>
            <w:proofErr w:type="spellEnd"/>
            <w:r w:rsidR="00166D5C">
              <w:t>”</w:t>
            </w:r>
            <w:r>
              <w:t xml:space="preserve"> anvendes uklart i forslaget (side 8), hvor der bl.a. står, at </w:t>
            </w:r>
            <w:proofErr w:type="spellStart"/>
            <w:r>
              <w:t>netvirksomheder</w:t>
            </w:r>
            <w:proofErr w:type="spellEnd"/>
            <w:r>
              <w:t xml:space="preserve"> fakturerer særligt nedsatte afgifter for udlevering af el til visse </w:t>
            </w:r>
            <w:proofErr w:type="spellStart"/>
            <w:r>
              <w:t>elkunder</w:t>
            </w:r>
            <w:proofErr w:type="spellEnd"/>
            <w:r>
              <w:t xml:space="preserve">. Ved en </w:t>
            </w:r>
            <w:proofErr w:type="spellStart"/>
            <w:r>
              <w:t>elkunde</w:t>
            </w:r>
            <w:proofErr w:type="spellEnd"/>
            <w:r>
              <w:t xml:space="preserve"> forstås normalt slutkunden.</w:t>
            </w:r>
          </w:p>
          <w:p w:rsidR="00786FE9" w:rsidRDefault="00786FE9" w:rsidP="009948DD">
            <w:pPr>
              <w:pStyle w:val="Tabel-BrdtekstmedafstandptekstGaramond"/>
              <w:ind w:left="0"/>
            </w:pPr>
          </w:p>
          <w:p w:rsidR="00786FE9" w:rsidRDefault="00786FE9" w:rsidP="00077673">
            <w:pPr>
              <w:pStyle w:val="Tabel-BrdtekstmedafstandptekstGaramond"/>
            </w:pPr>
          </w:p>
          <w:p w:rsidR="00786FE9" w:rsidRDefault="00786FE9" w:rsidP="00077673">
            <w:pPr>
              <w:pStyle w:val="Tabel-BrdtekstmedafstandptekstGaramond"/>
            </w:pPr>
            <w:r>
              <w:t xml:space="preserve">Det ønskes præciseret, at det er </w:t>
            </w:r>
            <w:proofErr w:type="gramStart"/>
            <w:r>
              <w:t>overfor</w:t>
            </w:r>
            <w:proofErr w:type="gramEnd"/>
            <w:r>
              <w:t xml:space="preserve"> SKAT, at </w:t>
            </w:r>
            <w:proofErr w:type="spellStart"/>
            <w:r>
              <w:t>elhandelsvirksomheden</w:t>
            </w:r>
            <w:proofErr w:type="spellEnd"/>
            <w:r>
              <w:t xml:space="preserve"> skal kunne verificere særlige afgiftsforhold.</w:t>
            </w:r>
          </w:p>
          <w:p w:rsidR="00786FE9" w:rsidRDefault="00786FE9" w:rsidP="00077673">
            <w:pPr>
              <w:pStyle w:val="Tabel-BrdtekstmedafstandptekstGaramond"/>
            </w:pPr>
          </w:p>
          <w:p w:rsidR="00786FE9" w:rsidRDefault="00786FE9" w:rsidP="000B58DB">
            <w:pPr>
              <w:pStyle w:val="Tabel-BrdtekstmedafstandptekstGaramond"/>
            </w:pPr>
            <w:r>
              <w:t>Energinet.dk gør opmærksom på, at datahubben ikke kan forpligtes, som det nævnes i forslaget, da datahubben ikke er en juridisk person.</w:t>
            </w:r>
          </w:p>
        </w:tc>
        <w:tc>
          <w:tcPr>
            <w:tcW w:w="217" w:type="dxa"/>
            <w:shd w:val="clear" w:color="auto" w:fill="FFFFFF" w:themeFill="background1"/>
          </w:tcPr>
          <w:p w:rsidR="00786FE9" w:rsidRPr="00B5346F" w:rsidRDefault="00786FE9" w:rsidP="005A1F82"/>
        </w:tc>
        <w:tc>
          <w:tcPr>
            <w:tcW w:w="3407" w:type="dxa"/>
            <w:tcBorders>
              <w:bottom w:val="single" w:sz="4" w:space="0" w:color="14143C" w:themeColor="accent1"/>
            </w:tcBorders>
            <w:shd w:val="clear" w:color="auto" w:fill="D2CED8"/>
          </w:tcPr>
          <w:p w:rsidR="00786FE9" w:rsidRDefault="00B538A7" w:rsidP="005A1F82">
            <w:pPr>
              <w:pStyle w:val="Tabel-BrdtekstmedafstandptekstGaramond"/>
            </w:pPr>
            <w:r>
              <w:t>Dette er korrekt</w:t>
            </w:r>
            <w:r w:rsidR="00BE5484">
              <w:t>,</w:t>
            </w:r>
            <w:r>
              <w:t xml:space="preserve"> og </w:t>
            </w:r>
            <w:r w:rsidR="00BE5484">
              <w:t xml:space="preserve">det </w:t>
            </w:r>
            <w:r w:rsidR="00731E51">
              <w:t xml:space="preserve">er </w:t>
            </w:r>
            <w:r>
              <w:t xml:space="preserve">således </w:t>
            </w:r>
            <w:r w:rsidR="003C0918">
              <w:t xml:space="preserve">også udgangspunktet for </w:t>
            </w:r>
            <w:r w:rsidR="00553EB9">
              <w:t>lov</w:t>
            </w:r>
            <w:r w:rsidR="00786FE9">
              <w:t>forslaget.</w:t>
            </w:r>
          </w:p>
          <w:p w:rsidR="00786FE9" w:rsidRDefault="00786FE9" w:rsidP="005A1F82">
            <w:pPr>
              <w:pStyle w:val="Tabel-BrdtekstmedafstandptekstGaramond"/>
            </w:pPr>
          </w:p>
          <w:p w:rsidR="00786FE9" w:rsidRDefault="00786FE9" w:rsidP="005A1F82">
            <w:pPr>
              <w:pStyle w:val="Tabel-BrdtekstmedafstandptekstGaramond"/>
            </w:pPr>
          </w:p>
          <w:p w:rsidR="00786FE9" w:rsidRDefault="00786FE9" w:rsidP="005A1F82">
            <w:pPr>
              <w:pStyle w:val="Tabel-BrdtekstmedafstandptekstGaramond"/>
            </w:pPr>
          </w:p>
          <w:p w:rsidR="00786FE9" w:rsidRDefault="00786FE9" w:rsidP="005A1F82">
            <w:pPr>
              <w:pStyle w:val="Tabel-BrdtekstmedafstandptekstGaramond"/>
            </w:pPr>
          </w:p>
          <w:p w:rsidR="00786FE9" w:rsidRDefault="00786FE9" w:rsidP="00AD4231">
            <w:pPr>
              <w:pStyle w:val="Tabel-BrdtekstmedafstandptekstGaramond"/>
            </w:pPr>
            <w:r>
              <w:t>Energinet.dk tillægges ikke en myndighedskontrol med elafgifterne. Energinet.dk skal</w:t>
            </w:r>
            <w:r w:rsidR="003C0918">
              <w:t xml:space="preserve"> medvirke til</w:t>
            </w:r>
            <w:r w:rsidR="00B538A7">
              <w:t xml:space="preserve"> at</w:t>
            </w:r>
            <w:r>
              <w:t xml:space="preserve"> tilveje</w:t>
            </w:r>
            <w:r w:rsidR="003C0918">
              <w:t xml:space="preserve">bringe </w:t>
            </w:r>
            <w:r>
              <w:t>grundlag</w:t>
            </w:r>
            <w:r w:rsidR="003C0918">
              <w:t>et</w:t>
            </w:r>
            <w:r>
              <w:t xml:space="preserve"> for </w:t>
            </w:r>
            <w:proofErr w:type="spellStart"/>
            <w:r>
              <w:t>SKATs</w:t>
            </w:r>
            <w:proofErr w:type="spellEnd"/>
            <w:r>
              <w:t xml:space="preserve"> kontrol</w:t>
            </w:r>
            <w:r w:rsidR="00FC1531">
              <w:t xml:space="preserve"> af elafgifterne</w:t>
            </w:r>
            <w:r>
              <w:t xml:space="preserve">. </w:t>
            </w:r>
          </w:p>
          <w:p w:rsidR="00786FE9" w:rsidRDefault="00786FE9" w:rsidP="00AD4231">
            <w:pPr>
              <w:pStyle w:val="Tabel-BrdtekstmedafstandptekstGaramond"/>
            </w:pPr>
          </w:p>
          <w:p w:rsidR="00786FE9" w:rsidRDefault="00786FE9" w:rsidP="00AD4231">
            <w:pPr>
              <w:pStyle w:val="Tabel-BrdtekstmedafstandptekstGaramond"/>
            </w:pPr>
          </w:p>
          <w:p w:rsidR="00786FE9" w:rsidRDefault="00786FE9" w:rsidP="005A1F82">
            <w:pPr>
              <w:pStyle w:val="Tabel-BrdtekstmedafstandptekstGaramond"/>
            </w:pPr>
          </w:p>
          <w:p w:rsidR="00786FE9" w:rsidRDefault="00786FE9" w:rsidP="005A1F82">
            <w:pPr>
              <w:pStyle w:val="Tabel-BrdtekstmedafstandptekstGaramond"/>
            </w:pPr>
          </w:p>
          <w:p w:rsidR="00166D5C" w:rsidRDefault="00786FE9" w:rsidP="00166D5C">
            <w:pPr>
              <w:pStyle w:val="Tabel-BrdtekstmedafstandptekstGaramond"/>
            </w:pPr>
            <w:r>
              <w:t>Med forslaget er det ikke taget stilling til</w:t>
            </w:r>
            <w:r w:rsidR="00166D5C">
              <w:t>,</w:t>
            </w:r>
            <w:r>
              <w:t xml:space="preserve"> om samkøringer eller lignende skal ske løbende eller med visse mellemrum. Der vil om nødvendigt blive fastsat nærmere regler herom i en bekendtgørelse. Skatteministeriet er i dialog med Energinet.dk og Energistyrelsen om indholdet af en bekendtgørelse på området. Et udkast til bekendtgørelsen sendes i høring</w:t>
            </w:r>
            <w:r w:rsidR="00166D5C">
              <w:t xml:space="preserve"> snarest muligt</w:t>
            </w:r>
            <w:r>
              <w:t>.</w:t>
            </w:r>
          </w:p>
          <w:p w:rsidR="00166D5C" w:rsidRDefault="00166D5C" w:rsidP="00166D5C">
            <w:pPr>
              <w:pStyle w:val="Tabel-BrdtekstmedafstandptekstGaramond"/>
            </w:pPr>
          </w:p>
          <w:p w:rsidR="00166D5C" w:rsidRDefault="00166D5C" w:rsidP="00166D5C">
            <w:pPr>
              <w:pStyle w:val="Tabel-BrdtekstmedafstandptekstGaramond"/>
            </w:pPr>
          </w:p>
          <w:p w:rsidR="00785EBA" w:rsidRDefault="00D84A2B" w:rsidP="00166D5C">
            <w:pPr>
              <w:pStyle w:val="Tabel-BrdtekstmedafstandptekstGaramond"/>
            </w:pPr>
            <w:r>
              <w:t>D</w:t>
            </w:r>
            <w:r w:rsidR="00785EBA">
              <w:t xml:space="preserve">et </w:t>
            </w:r>
            <w:r>
              <w:t>må</w:t>
            </w:r>
            <w:r w:rsidR="00785EBA">
              <w:t xml:space="preserve"> forstås således, at SKAT skal foretage </w:t>
            </w:r>
            <w:r w:rsidR="00425FE9">
              <w:t xml:space="preserve">omfattende </w:t>
            </w:r>
            <w:r w:rsidR="00785EBA">
              <w:t>samkøring af registre. De</w:t>
            </w:r>
            <w:r w:rsidR="00BB4994">
              <w:t xml:space="preserve">nne opgave med verifikation </w:t>
            </w:r>
            <w:r w:rsidR="00166D5C">
              <w:t xml:space="preserve">af data </w:t>
            </w:r>
            <w:r w:rsidR="00BB4994">
              <w:t>hører</w:t>
            </w:r>
            <w:r w:rsidR="00785EBA">
              <w:t xml:space="preserve"> natur</w:t>
            </w:r>
            <w:r w:rsidR="00BB4994">
              <w:t xml:space="preserve">ligt </w:t>
            </w:r>
            <w:r w:rsidR="00785EBA">
              <w:t>hjemme i Energi</w:t>
            </w:r>
            <w:r w:rsidR="00F01990">
              <w:t>net.dk.</w:t>
            </w:r>
          </w:p>
          <w:p w:rsidR="00197440" w:rsidRDefault="00197440" w:rsidP="00170669">
            <w:pPr>
              <w:pStyle w:val="Tabel-BrdtekstmedafstandptekstGaramond"/>
            </w:pPr>
          </w:p>
          <w:p w:rsidR="00785EBA" w:rsidRDefault="00785EBA" w:rsidP="00170669">
            <w:pPr>
              <w:pStyle w:val="Tabel-BrdtekstmedafstandptekstGaramond"/>
            </w:pPr>
          </w:p>
          <w:p w:rsidR="00785EBA" w:rsidRDefault="00785EBA" w:rsidP="00170669">
            <w:pPr>
              <w:pStyle w:val="Tabel-BrdtekstmedafstandptekstGaramond"/>
            </w:pPr>
          </w:p>
          <w:p w:rsidR="00785EBA" w:rsidRDefault="00785EBA" w:rsidP="00170669">
            <w:pPr>
              <w:pStyle w:val="Tabel-BrdtekstmedafstandptekstGaramond"/>
            </w:pPr>
          </w:p>
          <w:p w:rsidR="00785EBA" w:rsidRDefault="00785EBA" w:rsidP="00170669">
            <w:pPr>
              <w:pStyle w:val="Tabel-BrdtekstmedafstandptekstGaramond"/>
            </w:pPr>
          </w:p>
          <w:p w:rsidR="00786FE9" w:rsidRDefault="00197440" w:rsidP="003E451F">
            <w:pPr>
              <w:pStyle w:val="Tabel-BrdtekstmedafstandptekstGaramond"/>
            </w:pPr>
            <w:r>
              <w:t xml:space="preserve">Det vil blive </w:t>
            </w:r>
            <w:r w:rsidR="00651AD5">
              <w:t>indarbejdet</w:t>
            </w:r>
            <w:r>
              <w:t xml:space="preserve"> i forslaget</w:t>
            </w:r>
            <w:r w:rsidR="00A521FC">
              <w:t xml:space="preserve"> tillige med regler om, hvem der har ansvar for at indmelde fejl og ophæve indmeldte fejl for et aftagenummer</w:t>
            </w:r>
            <w:r w:rsidR="004D78FA">
              <w:t xml:space="preserve"> i datahubben</w:t>
            </w:r>
            <w:r w:rsidR="00A521FC">
              <w:t xml:space="preserve">. </w:t>
            </w:r>
          </w:p>
          <w:p w:rsidR="00197440" w:rsidRDefault="00197440" w:rsidP="003E451F">
            <w:pPr>
              <w:pStyle w:val="Tabel-BrdtekstmedafstandptekstGaramond"/>
            </w:pPr>
          </w:p>
          <w:p w:rsidR="00197440" w:rsidRDefault="00197440" w:rsidP="003E451F">
            <w:pPr>
              <w:pStyle w:val="Tabel-BrdtekstmedafstandptekstGaramond"/>
            </w:pPr>
          </w:p>
          <w:p w:rsidR="00197440" w:rsidRDefault="00197440" w:rsidP="003E451F">
            <w:pPr>
              <w:pStyle w:val="Tabel-BrdtekstmedafstandptekstGaramond"/>
            </w:pPr>
          </w:p>
          <w:p w:rsidR="00197440" w:rsidRDefault="00197440" w:rsidP="003E451F">
            <w:pPr>
              <w:pStyle w:val="Tabel-BrdtekstmedafstandptekstGaramond"/>
            </w:pPr>
          </w:p>
          <w:p w:rsidR="00197440" w:rsidRDefault="00197440" w:rsidP="003E451F">
            <w:pPr>
              <w:pStyle w:val="Tabel-BrdtekstmedafstandptekstGaramond"/>
            </w:pPr>
          </w:p>
          <w:p w:rsidR="00197440" w:rsidRDefault="00197440" w:rsidP="003E451F">
            <w:pPr>
              <w:pStyle w:val="Tabel-BrdtekstmedafstandptekstGaramond"/>
            </w:pPr>
          </w:p>
          <w:p w:rsidR="00197440" w:rsidRDefault="00197440" w:rsidP="003E451F">
            <w:pPr>
              <w:pStyle w:val="Tabel-BrdtekstmedafstandptekstGaramond"/>
            </w:pPr>
          </w:p>
          <w:p w:rsidR="00786FE9" w:rsidRDefault="00786FE9" w:rsidP="003E451F">
            <w:pPr>
              <w:pStyle w:val="Tabel-BrdtekstmedafstandptekstGaramond"/>
            </w:pPr>
            <w:r>
              <w:t>Det er rigtigt.</w:t>
            </w: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CB0796" w:rsidRDefault="00CB0796" w:rsidP="003E451F">
            <w:pPr>
              <w:pStyle w:val="Tabel-BrdtekstmedafstandptekstGaramond"/>
            </w:pPr>
          </w:p>
          <w:p w:rsidR="00CB0796" w:rsidRDefault="00CB0796" w:rsidP="003E451F">
            <w:pPr>
              <w:pStyle w:val="Tabel-BrdtekstmedafstandptekstGaramond"/>
            </w:pPr>
          </w:p>
          <w:p w:rsidR="00CB0796" w:rsidRDefault="00CB0796" w:rsidP="003E451F">
            <w:pPr>
              <w:pStyle w:val="Tabel-BrdtekstmedafstandptekstGaramond"/>
            </w:pPr>
          </w:p>
          <w:p w:rsidR="00CB0796" w:rsidRDefault="00CB0796" w:rsidP="003E451F">
            <w:pPr>
              <w:pStyle w:val="Tabel-BrdtekstmedafstandptekstGaramond"/>
            </w:pPr>
          </w:p>
          <w:p w:rsidR="00786FE9" w:rsidRDefault="003D2156" w:rsidP="003E451F">
            <w:pPr>
              <w:pStyle w:val="Tabel-BrdtekstmedafstandptekstGaramond"/>
            </w:pPr>
            <w:r>
              <w:t>Der henvises til kommentarerne til Dansk Energi.</w:t>
            </w: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786FE9" w:rsidRDefault="00786FE9" w:rsidP="003E451F">
            <w:pPr>
              <w:pStyle w:val="Tabel-BrdtekstmedafstandptekstGaramond"/>
            </w:pPr>
          </w:p>
          <w:p w:rsidR="00B77405" w:rsidRDefault="00786FE9" w:rsidP="00C96C37">
            <w:pPr>
              <w:pStyle w:val="Tabel-BrdtekstmedafstandptekstGaramond"/>
            </w:pPr>
            <w:r w:rsidRPr="00861DE4">
              <w:t xml:space="preserve">I forbindelse med udarbejdelse af </w:t>
            </w:r>
            <w:r w:rsidR="00861DE4" w:rsidRPr="00861DE4">
              <w:t xml:space="preserve">en </w:t>
            </w:r>
            <w:r w:rsidRPr="00861DE4">
              <w:t xml:space="preserve">bekendtgørelse med nærmere regler på området vil der blive lagt </w:t>
            </w:r>
            <w:r w:rsidR="00861DE4" w:rsidRPr="00861DE4">
              <w:t xml:space="preserve">stor </w:t>
            </w:r>
            <w:r w:rsidRPr="00861DE4">
              <w:t>vægt på</w:t>
            </w:r>
            <w:r w:rsidR="001777C2">
              <w:t>,</w:t>
            </w:r>
            <w:r w:rsidRPr="00861DE4">
              <w:t xml:space="preserve"> at Energinet.dk ikke på</w:t>
            </w:r>
            <w:r w:rsidR="00861DE4" w:rsidRPr="00861DE4">
              <w:t>føres</w:t>
            </w:r>
            <w:r w:rsidRPr="00861DE4">
              <w:t xml:space="preserve"> unødvendige omkost</w:t>
            </w:r>
            <w:r w:rsidR="00861DE4" w:rsidRPr="00861DE4">
              <w:t>ninger. Når bekendtgørelsen kommer i høring</w:t>
            </w:r>
            <w:r w:rsidR="00166D5C">
              <w:t>,</w:t>
            </w:r>
            <w:r w:rsidR="00861DE4" w:rsidRPr="00861DE4">
              <w:t xml:space="preserve"> vil </w:t>
            </w:r>
            <w:r w:rsidR="00087BC5" w:rsidRPr="00861DE4">
              <w:t xml:space="preserve">TER </w:t>
            </w:r>
            <w:r w:rsidR="00861DE4" w:rsidRPr="00861DE4">
              <w:t>vurdere de administrative byrder.</w:t>
            </w:r>
          </w:p>
          <w:p w:rsidR="00B77405" w:rsidRDefault="00B77405" w:rsidP="00C96C37">
            <w:pPr>
              <w:pStyle w:val="Tabel-BrdtekstmedafstandptekstGaramond"/>
            </w:pPr>
          </w:p>
          <w:p w:rsidR="00B77405" w:rsidRDefault="00B77405" w:rsidP="00C96C37">
            <w:pPr>
              <w:pStyle w:val="Tabel-BrdtekstmedafstandptekstGaramond"/>
            </w:pPr>
          </w:p>
          <w:p w:rsidR="00B77405" w:rsidRDefault="00B77405" w:rsidP="00C96C37">
            <w:pPr>
              <w:pStyle w:val="Tabel-BrdtekstmedafstandptekstGaramond"/>
            </w:pPr>
          </w:p>
          <w:p w:rsidR="00323D55" w:rsidRDefault="00786FE9" w:rsidP="00C96C37">
            <w:pPr>
              <w:pStyle w:val="Tabel-BrdtekstmedafstandptekstGaramond"/>
            </w:pPr>
            <w:r>
              <w:t xml:space="preserve">Det er rigtigt, at der er </w:t>
            </w:r>
            <w:r w:rsidR="00323D55">
              <w:t xml:space="preserve">nye </w:t>
            </w:r>
            <w:r>
              <w:t>opgaver med verifikation, som pålægges Energinet.dk</w:t>
            </w:r>
            <w:r w:rsidR="00323D55">
              <w:t>.</w:t>
            </w:r>
          </w:p>
          <w:p w:rsidR="00323D55" w:rsidRDefault="00323D55" w:rsidP="00C96C37">
            <w:pPr>
              <w:pStyle w:val="Tabel-BrdtekstmedafstandptekstGaramond"/>
            </w:pPr>
          </w:p>
          <w:p w:rsidR="00786FE9" w:rsidRDefault="00786FE9" w:rsidP="00C96C37">
            <w:pPr>
              <w:pStyle w:val="Tabel-BrdtekstmedafstandptekstGaramond"/>
            </w:pPr>
            <w:r>
              <w:t xml:space="preserve"> </w:t>
            </w:r>
          </w:p>
          <w:p w:rsidR="00786FE9" w:rsidRDefault="00786FE9" w:rsidP="00C96C37">
            <w:pPr>
              <w:pStyle w:val="Tabel-BrdtekstmedafstandptekstGaramond"/>
            </w:pPr>
          </w:p>
          <w:p w:rsidR="00786FE9" w:rsidRDefault="00786FE9" w:rsidP="00077673">
            <w:pPr>
              <w:pStyle w:val="Tabel-BrdtekstmedafstandptekstGaramond"/>
            </w:pPr>
          </w:p>
          <w:p w:rsidR="00786FE9" w:rsidRDefault="00786FE9" w:rsidP="00077673">
            <w:pPr>
              <w:pStyle w:val="Tabel-BrdtekstmedafstandptekstGaramond"/>
            </w:pPr>
          </w:p>
          <w:p w:rsidR="00786FE9" w:rsidRDefault="00786FE9" w:rsidP="00077673">
            <w:pPr>
              <w:pStyle w:val="Tabel-BrdtekstmedafstandptekstGaramond"/>
            </w:pPr>
          </w:p>
          <w:p w:rsidR="00786FE9" w:rsidRDefault="00786FE9" w:rsidP="00DB6445">
            <w:pPr>
              <w:pStyle w:val="Tabel-BrdtekstmedafstandptekstGaramond"/>
            </w:pPr>
            <w:r>
              <w:t>Det er den samme definition som i elforsyning</w:t>
            </w:r>
            <w:r w:rsidR="00EE4F7C">
              <w:t xml:space="preserve">sloven, men med den præcisering, </w:t>
            </w:r>
            <w:r>
              <w:t xml:space="preserve">at definitionen kun omfatter ”el-detailhandleren” og dermed ikke </w:t>
            </w:r>
            <w:proofErr w:type="spellStart"/>
            <w:r>
              <w:t>elhandlere</w:t>
            </w:r>
            <w:proofErr w:type="spellEnd"/>
            <w:r>
              <w:t xml:space="preserve"> i tidligere led i handelskæden. </w:t>
            </w:r>
          </w:p>
          <w:p w:rsidR="00786FE9" w:rsidRDefault="00786FE9" w:rsidP="00DB6445">
            <w:pPr>
              <w:pStyle w:val="Tabel-BrdtekstmedafstandptekstGaramond"/>
            </w:pPr>
          </w:p>
          <w:p w:rsidR="00786FE9" w:rsidRDefault="00786FE9" w:rsidP="00DB6445">
            <w:pPr>
              <w:pStyle w:val="Tabel-BrdtekstmedafstandptekstGaramond"/>
            </w:pPr>
            <w:r>
              <w:t>Definitionen vil blive indarbejdet i lovforslaget.</w:t>
            </w: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5A1F82">
            <w:pPr>
              <w:pStyle w:val="Tabel-BrdtekstmedafstandptekstGaramond"/>
            </w:pPr>
            <w:r>
              <w:t>Der er tale om en fejl, som rettes.</w:t>
            </w: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166D5C" w:rsidRDefault="00690432" w:rsidP="00DB6445">
            <w:pPr>
              <w:pStyle w:val="Tabel-BrdtekstmedafstandptekstGaramond"/>
            </w:pPr>
            <w:r>
              <w:t>Med dette afsnit understreges blot, at der skal være et 1:1 forhold mellem forbrugeren, som er omfattet af afgiftsfritagelsen for VE-anlæg</w:t>
            </w:r>
            <w:r w:rsidR="00905C43">
              <w:t>,</w:t>
            </w:r>
            <w:r>
              <w:t xml:space="preserve"> og aftagenummeret for forbrugeren.</w:t>
            </w: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p>
          <w:p w:rsidR="00786FE9" w:rsidRDefault="00786FE9" w:rsidP="00DB6445">
            <w:pPr>
              <w:pStyle w:val="Tabel-BrdtekstmedafstandptekstGaramond"/>
            </w:pPr>
            <w:r>
              <w:t xml:space="preserve">Det er ikke tale om en uklarhed. Ved </w:t>
            </w:r>
            <w:proofErr w:type="spellStart"/>
            <w:r>
              <w:t>elkunden</w:t>
            </w:r>
            <w:proofErr w:type="spellEnd"/>
            <w:r>
              <w:t xml:space="preserve"> forstås slutkunden. De særligt nedsatte afgifter</w:t>
            </w:r>
            <w:r w:rsidR="00166D5C">
              <w:t>,</w:t>
            </w:r>
            <w:r>
              <w:t xml:space="preserve"> som </w:t>
            </w:r>
            <w:proofErr w:type="spellStart"/>
            <w:r>
              <w:t>netvirksomheden</w:t>
            </w:r>
            <w:proofErr w:type="spellEnd"/>
            <w:r>
              <w:t xml:space="preserve"> fakturer til </w:t>
            </w:r>
            <w:proofErr w:type="spellStart"/>
            <w:r>
              <w:t>el</w:t>
            </w:r>
            <w:r w:rsidR="00166D5C">
              <w:t>handelsvirksomheden</w:t>
            </w:r>
            <w:proofErr w:type="spellEnd"/>
            <w:r>
              <w:t xml:space="preserve">, gælder kun for visse </w:t>
            </w:r>
            <w:proofErr w:type="spellStart"/>
            <w:r>
              <w:t>elkunder</w:t>
            </w:r>
            <w:proofErr w:type="spellEnd"/>
            <w:r>
              <w:t xml:space="preserve">, f.eks. </w:t>
            </w:r>
            <w:proofErr w:type="spellStart"/>
            <w:r>
              <w:t>elkunder</w:t>
            </w:r>
            <w:proofErr w:type="spellEnd"/>
            <w:r>
              <w:t xml:space="preserve"> med </w:t>
            </w:r>
            <w:proofErr w:type="spellStart"/>
            <w:r w:rsidR="00054898">
              <w:t>elopvarmede</w:t>
            </w:r>
            <w:proofErr w:type="spellEnd"/>
            <w:r w:rsidR="00054898">
              <w:t xml:space="preserve"> </w:t>
            </w:r>
            <w:r>
              <w:t xml:space="preserve">helårsboliger </w:t>
            </w:r>
            <w:r w:rsidR="00054898">
              <w:t xml:space="preserve">i </w:t>
            </w:r>
            <w:r>
              <w:t>ifølge BBR.</w:t>
            </w:r>
          </w:p>
          <w:p w:rsidR="00786FE9" w:rsidRDefault="00786FE9" w:rsidP="00DB6445">
            <w:pPr>
              <w:pStyle w:val="Tabel-BrdtekstmedafstandptekstGaramond"/>
            </w:pPr>
          </w:p>
          <w:p w:rsidR="00B8752F" w:rsidRDefault="00786FE9" w:rsidP="00B8752F">
            <w:pPr>
              <w:pStyle w:val="Tabel-BrdtekstmedafstandptekstGaramond"/>
            </w:pPr>
            <w:r>
              <w:t xml:space="preserve">Det er kun SKAT, som kan kræve dokumentation for </w:t>
            </w:r>
            <w:proofErr w:type="spellStart"/>
            <w:r>
              <w:t>elhandelsvirksomhedens</w:t>
            </w:r>
            <w:proofErr w:type="spellEnd"/>
            <w:r>
              <w:t xml:space="preserve"> verifikation. Det fremgår af forslaget.</w:t>
            </w:r>
          </w:p>
          <w:p w:rsidR="00B8752F" w:rsidRDefault="00B8752F" w:rsidP="00B8752F">
            <w:pPr>
              <w:pStyle w:val="Tabel-BrdtekstmedafstandptekstGaramond"/>
            </w:pPr>
          </w:p>
          <w:p w:rsidR="00786FE9" w:rsidRDefault="00B8752F" w:rsidP="00DB6445">
            <w:pPr>
              <w:pStyle w:val="Tabel-BrdtekstmedafstandptekstGaramond"/>
            </w:pPr>
            <w:r>
              <w:t>D</w:t>
            </w:r>
            <w:r w:rsidR="00E46776" w:rsidRPr="000D1B30">
              <w:t>er henvises til kommentarerne til</w:t>
            </w:r>
            <w:r w:rsidR="00B57AB8">
              <w:t xml:space="preserve"> høringssvaret </w:t>
            </w:r>
            <w:proofErr w:type="gramStart"/>
            <w:r w:rsidR="00B57AB8">
              <w:t xml:space="preserve">fra </w:t>
            </w:r>
            <w:r w:rsidR="00E46776" w:rsidRPr="000D1B30">
              <w:t xml:space="preserve"> </w:t>
            </w:r>
            <w:r w:rsidRPr="006A699C">
              <w:rPr>
                <w:i/>
              </w:rPr>
              <w:t>Advokatrådet</w:t>
            </w:r>
            <w:proofErr w:type="gramEnd"/>
            <w:r w:rsidRPr="006A699C">
              <w:rPr>
                <w:i/>
              </w:rPr>
              <w:t xml:space="preserve"> Advokatsamfundet</w:t>
            </w:r>
            <w:r w:rsidR="00BD11E4">
              <w:rPr>
                <w:i/>
              </w:rPr>
              <w:t>.</w:t>
            </w:r>
          </w:p>
          <w:p w:rsidR="00786FE9" w:rsidRDefault="00786FE9" w:rsidP="00DB6445">
            <w:pPr>
              <w:pStyle w:val="Tabel-BrdtekstmedafstandptekstGaramond"/>
            </w:pPr>
          </w:p>
        </w:tc>
      </w:tr>
      <w:tr w:rsidR="006B60F2" w:rsidRPr="00B5346F" w:rsidTr="00684D94">
        <w:tc>
          <w:tcPr>
            <w:tcW w:w="2309" w:type="dxa"/>
            <w:tcBorders>
              <w:bottom w:val="single" w:sz="4" w:space="0" w:color="D1C5C3" w:themeColor="accent3"/>
            </w:tcBorders>
            <w:shd w:val="clear" w:color="auto" w:fill="FBF9F9"/>
          </w:tcPr>
          <w:p w:rsidR="00786FE9" w:rsidRPr="00525CEA" w:rsidRDefault="00525CEA" w:rsidP="00BB0574">
            <w:pPr>
              <w:pStyle w:val="Tabel-BrdtekstmedafstandptekstGaramond"/>
              <w:ind w:left="0"/>
              <w:rPr>
                <w:i/>
              </w:rPr>
            </w:pPr>
            <w:r w:rsidRPr="00525CEA">
              <w:rPr>
                <w:i/>
              </w:rPr>
              <w:t>Landbrug &amp; Fødevarer</w:t>
            </w:r>
          </w:p>
        </w:tc>
        <w:tc>
          <w:tcPr>
            <w:tcW w:w="201" w:type="dxa"/>
            <w:shd w:val="clear" w:color="auto" w:fill="FFFFFF" w:themeFill="background1"/>
          </w:tcPr>
          <w:p w:rsidR="00786FE9" w:rsidRPr="00B5346F" w:rsidRDefault="00786FE9" w:rsidP="005A1F82"/>
        </w:tc>
        <w:tc>
          <w:tcPr>
            <w:tcW w:w="3505" w:type="dxa"/>
            <w:tcBorders>
              <w:bottom w:val="single" w:sz="4" w:space="0" w:color="D1C5C3" w:themeColor="accent3"/>
            </w:tcBorders>
            <w:shd w:val="clear" w:color="auto" w:fill="FBF9F9"/>
          </w:tcPr>
          <w:p w:rsidR="00786FE9" w:rsidRDefault="00525CEA" w:rsidP="005A1F82">
            <w:pPr>
              <w:pStyle w:val="Tabel-BrdtekstmedafstandptekstGaramond"/>
            </w:pPr>
            <w:r>
              <w:t xml:space="preserve">Det kræves som betingelse for tilbagebetaling af elafgift, at erhvervskunden i købsaftalen med </w:t>
            </w:r>
            <w:proofErr w:type="spellStart"/>
            <w:r>
              <w:t>elhandelsvirksomheden</w:t>
            </w:r>
            <w:proofErr w:type="spellEnd"/>
            <w:r>
              <w:t xml:space="preserve"> anfører, at erhvervskunden er berettiget til tilbagebetaling af elafgift. Det er meget vigtigt, at de nye ekstra betingelser i forhold til erhvervskunders tilbagebetaling af elafgift ikke vil medføre, at danske erhvervskunder uforvarende eller ved en administrativ fejl eller mangel i kontrakten sættes i en situation, hvor man afkræves højere elafgifter end nødvendigt.</w:t>
            </w:r>
          </w:p>
          <w:p w:rsidR="00237122" w:rsidRDefault="00237122" w:rsidP="005A1F82">
            <w:pPr>
              <w:pStyle w:val="Tabel-BrdtekstmedafstandptekstGaramond"/>
            </w:pPr>
          </w:p>
          <w:p w:rsidR="00237122" w:rsidRDefault="00237122" w:rsidP="00F55368">
            <w:pPr>
              <w:pStyle w:val="Tabel-BrdtekstmedafstandptekstGaramond"/>
            </w:pPr>
            <w:r>
              <w:t>Det</w:t>
            </w:r>
            <w:r w:rsidRPr="00237122">
              <w:t xml:space="preserve"> ønske</w:t>
            </w:r>
            <w:r>
              <w:t>s</w:t>
            </w:r>
            <w:r w:rsidRPr="00237122">
              <w:t xml:space="preserve"> belyst</w:t>
            </w:r>
            <w:r w:rsidR="00BD15C4">
              <w:t>,</w:t>
            </w:r>
            <w:r w:rsidRPr="00237122">
              <w:t xml:space="preserve"> i hvilket omfang </w:t>
            </w:r>
            <w:proofErr w:type="spellStart"/>
            <w:r w:rsidRPr="00237122">
              <w:t>værnsreglen</w:t>
            </w:r>
            <w:proofErr w:type="spellEnd"/>
            <w:r w:rsidRPr="00237122">
              <w:t xml:space="preserve"> mod </w:t>
            </w:r>
            <w:proofErr w:type="spellStart"/>
            <w:r w:rsidRPr="00237122">
              <w:t>forudfakturering</w:t>
            </w:r>
            <w:proofErr w:type="spellEnd"/>
            <w:r w:rsidRPr="00237122">
              <w:t xml:space="preserve"> påvirker momsregistrerede </w:t>
            </w:r>
            <w:proofErr w:type="spellStart"/>
            <w:r w:rsidRPr="00237122">
              <w:t>elkunders</w:t>
            </w:r>
            <w:proofErr w:type="spellEnd"/>
            <w:r w:rsidRPr="00237122">
              <w:t xml:space="preserve"> likviditet.</w:t>
            </w:r>
          </w:p>
        </w:tc>
        <w:tc>
          <w:tcPr>
            <w:tcW w:w="217" w:type="dxa"/>
            <w:shd w:val="clear" w:color="auto" w:fill="FFFFFF" w:themeFill="background1"/>
          </w:tcPr>
          <w:p w:rsidR="00786FE9" w:rsidRPr="00B5346F" w:rsidRDefault="00786FE9" w:rsidP="005A1F82"/>
        </w:tc>
        <w:tc>
          <w:tcPr>
            <w:tcW w:w="3407" w:type="dxa"/>
            <w:tcBorders>
              <w:bottom w:val="single" w:sz="4" w:space="0" w:color="14143C" w:themeColor="accent1"/>
            </w:tcBorders>
            <w:shd w:val="clear" w:color="auto" w:fill="D2CED8"/>
          </w:tcPr>
          <w:p w:rsidR="00786FE9" w:rsidRDefault="00525CEA" w:rsidP="003F56E0">
            <w:pPr>
              <w:pStyle w:val="Tabel-BrdtekstmedafstandptekstGaramond"/>
            </w:pPr>
            <w:r>
              <w:t>Der vil være muligt at rette fejl og mangler</w:t>
            </w:r>
            <w:r w:rsidR="003F56E0">
              <w:t xml:space="preserve"> i købsaftaler eller på fakturaer.</w:t>
            </w: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3F56E0">
            <w:pPr>
              <w:pStyle w:val="Tabel-BrdtekstmedafstandptekstGaramond"/>
            </w:pPr>
          </w:p>
          <w:p w:rsidR="00237122" w:rsidRDefault="00237122" w:rsidP="00B62A44">
            <w:pPr>
              <w:pStyle w:val="Tabel-BrdtekstmedafstandptekstGaramond"/>
            </w:pPr>
            <w:r>
              <w:t>Forslaget øger</w:t>
            </w:r>
            <w:r w:rsidR="00B62A44">
              <w:t xml:space="preserve"> </w:t>
            </w:r>
            <w:r>
              <w:t xml:space="preserve">ikke perioden mellem betaling og mulighed for godtgørelse af elafgiften. Hertil kommer, at </w:t>
            </w:r>
            <w:proofErr w:type="spellStart"/>
            <w:r>
              <w:t>værnsreglen</w:t>
            </w:r>
            <w:proofErr w:type="spellEnd"/>
            <w:r>
              <w:t xml:space="preserve"> modvirker, at en </w:t>
            </w:r>
            <w:proofErr w:type="spellStart"/>
            <w:r>
              <w:t>elkunde</w:t>
            </w:r>
            <w:proofErr w:type="spellEnd"/>
            <w:r>
              <w:t xml:space="preserve"> betaler forud for elafgift, og der efterfølgende ikke leveres el af </w:t>
            </w:r>
            <w:proofErr w:type="spellStart"/>
            <w:r>
              <w:t>elhandels</w:t>
            </w:r>
            <w:proofErr w:type="spellEnd"/>
            <w:r>
              <w:t xml:space="preserve">-virksomhed som følge af svig </w:t>
            </w:r>
            <w:proofErr w:type="spellStart"/>
            <w:r>
              <w:t>el-ler</w:t>
            </w:r>
            <w:proofErr w:type="spellEnd"/>
            <w:r>
              <w:t xml:space="preserve"> konkurs.</w:t>
            </w:r>
          </w:p>
        </w:tc>
      </w:tr>
      <w:tr w:rsidR="00237122" w:rsidRPr="00B5346F" w:rsidTr="00684D94">
        <w:tc>
          <w:tcPr>
            <w:tcW w:w="2309" w:type="dxa"/>
            <w:tcBorders>
              <w:top w:val="single" w:sz="4" w:space="0" w:color="D1C5C3" w:themeColor="accent3"/>
              <w:bottom w:val="single" w:sz="4" w:space="0" w:color="D1C5C3" w:themeColor="accent3"/>
            </w:tcBorders>
            <w:shd w:val="clear" w:color="auto" w:fill="FBF9F9"/>
          </w:tcPr>
          <w:p w:rsidR="00237122" w:rsidRDefault="00237122" w:rsidP="005A1F82">
            <w:pPr>
              <w:pStyle w:val="Tabel-BrdtekstmedafstandptekstGaramond"/>
              <w:rPr>
                <w:i/>
              </w:rPr>
            </w:pPr>
            <w:r>
              <w:rPr>
                <w:i/>
              </w:rPr>
              <w:t>OK</w:t>
            </w:r>
          </w:p>
        </w:tc>
        <w:tc>
          <w:tcPr>
            <w:tcW w:w="201" w:type="dxa"/>
            <w:shd w:val="clear" w:color="auto" w:fill="FFFFFF" w:themeFill="background1"/>
          </w:tcPr>
          <w:p w:rsidR="00237122" w:rsidRPr="00B5346F" w:rsidRDefault="00237122" w:rsidP="005A1F82"/>
        </w:tc>
        <w:tc>
          <w:tcPr>
            <w:tcW w:w="3505" w:type="dxa"/>
            <w:tcBorders>
              <w:top w:val="single" w:sz="4" w:space="0" w:color="D1C5C3" w:themeColor="accent3"/>
              <w:bottom w:val="single" w:sz="4" w:space="0" w:color="D1C5C3" w:themeColor="accent3"/>
            </w:tcBorders>
            <w:shd w:val="clear" w:color="auto" w:fill="FBF9F9"/>
          </w:tcPr>
          <w:p w:rsidR="00237122" w:rsidRDefault="00FD2A2E" w:rsidP="00B62A44">
            <w:pPr>
              <w:pStyle w:val="Tabel-BrdtekstmedafstandptekstGaramond"/>
            </w:pPr>
            <w:r>
              <w:t>OK f</w:t>
            </w:r>
            <w:r w:rsidR="00237122">
              <w:t>oreslår, at de</w:t>
            </w:r>
            <w:r w:rsidR="00B62A44">
              <w:t>t</w:t>
            </w:r>
            <w:r w:rsidR="00237122">
              <w:t xml:space="preserve"> oprindelige forslag vedr. engrosmodellen fastholdes, og den forudsatte </w:t>
            </w:r>
            <w:proofErr w:type="spellStart"/>
            <w:r w:rsidR="00237122">
              <w:t>forsikrings-ordning</w:t>
            </w:r>
            <w:proofErr w:type="spellEnd"/>
            <w:r w:rsidR="00237122">
              <w:t xml:space="preserve"> håndteres ved at stille krav om en bankgaranti til SKAT. Alternativt foreslås, at Energinet.dk bliver ansvarlig for opkrævning af afgifter hos </w:t>
            </w:r>
            <w:proofErr w:type="spellStart"/>
            <w:r w:rsidR="00237122">
              <w:t>elhandelsvirksom</w:t>
            </w:r>
            <w:proofErr w:type="spellEnd"/>
            <w:r w:rsidR="00B62A44">
              <w:t>-</w:t>
            </w:r>
            <w:r w:rsidR="00237122">
              <w:t>hederne.</w:t>
            </w:r>
          </w:p>
        </w:tc>
        <w:tc>
          <w:tcPr>
            <w:tcW w:w="217" w:type="dxa"/>
            <w:shd w:val="clear" w:color="auto" w:fill="FFFFFF" w:themeFill="background1"/>
          </w:tcPr>
          <w:p w:rsidR="00237122" w:rsidRPr="00B5346F" w:rsidRDefault="00237122" w:rsidP="005A1F82"/>
        </w:tc>
        <w:tc>
          <w:tcPr>
            <w:tcW w:w="3407" w:type="dxa"/>
            <w:tcBorders>
              <w:top w:val="single" w:sz="4" w:space="0" w:color="14143C" w:themeColor="accent1"/>
              <w:bottom w:val="single" w:sz="4" w:space="0" w:color="14143C" w:themeColor="accent1"/>
            </w:tcBorders>
            <w:shd w:val="clear" w:color="auto" w:fill="D2CED8"/>
          </w:tcPr>
          <w:p w:rsidR="00237122" w:rsidRDefault="00237122" w:rsidP="00237122">
            <w:pPr>
              <w:pStyle w:val="Tabel-BrdtekstmedafstandptekstGaramond"/>
            </w:pPr>
            <w:r>
              <w:t xml:space="preserve">Af L176 2011/12 (Fremme af konkurrencen på elmarkedet m.v.) fremgår, at hvis hver enkelt </w:t>
            </w:r>
            <w:proofErr w:type="spellStart"/>
            <w:r>
              <w:t>elhan-delsvirksomhed</w:t>
            </w:r>
            <w:proofErr w:type="spellEnd"/>
            <w:r>
              <w:t xml:space="preserve"> skal stille fuld sikkerhed for sin afgiftsbetaling, vurderes det at blive så </w:t>
            </w:r>
            <w:proofErr w:type="spellStart"/>
            <w:r>
              <w:t>omkost-ningstungt</w:t>
            </w:r>
            <w:proofErr w:type="spellEnd"/>
            <w:r>
              <w:t xml:space="preserve">, at kun de mest vel-konsoliderede </w:t>
            </w:r>
            <w:proofErr w:type="spellStart"/>
            <w:r>
              <w:t>elhandelsvirksom</w:t>
            </w:r>
            <w:proofErr w:type="spellEnd"/>
            <w:r>
              <w:t xml:space="preserve">-heder vil kunne overleve. </w:t>
            </w:r>
            <w:r w:rsidR="00B62A44">
              <w:t>Hensigten</w:t>
            </w:r>
            <w:r>
              <w:t xml:space="preserve"> med at fremme konkurrencen på elmarkedet vil dermed gå tabt.</w:t>
            </w:r>
          </w:p>
          <w:p w:rsidR="00237122" w:rsidRDefault="00237122" w:rsidP="00240137">
            <w:pPr>
              <w:pStyle w:val="Tabel-BrdtekstmedafstandptekstGaramond"/>
              <w:ind w:left="0"/>
            </w:pPr>
          </w:p>
          <w:p w:rsidR="00237122" w:rsidRDefault="00237122" w:rsidP="00237122">
            <w:pPr>
              <w:pStyle w:val="Tabel-BrdtekstmedafstandptekstGaramond"/>
            </w:pPr>
            <w:r>
              <w:t xml:space="preserve">Der er valgt en model, hvor </w:t>
            </w:r>
            <w:proofErr w:type="spellStart"/>
            <w:r>
              <w:t>ind-betaling</w:t>
            </w:r>
            <w:proofErr w:type="spellEnd"/>
            <w:r>
              <w:t xml:space="preserve"> af elafgifter til SKAT </w:t>
            </w:r>
            <w:proofErr w:type="spellStart"/>
            <w:r>
              <w:t>be-vares</w:t>
            </w:r>
            <w:proofErr w:type="spellEnd"/>
            <w:r>
              <w:t xml:space="preserve"> hos </w:t>
            </w:r>
            <w:proofErr w:type="spellStart"/>
            <w:r>
              <w:t>netselskaberne</w:t>
            </w:r>
            <w:proofErr w:type="spellEnd"/>
            <w:r>
              <w:t xml:space="preserve">, hvilket vurderes mest hensigtsmæssigt, da </w:t>
            </w:r>
            <w:proofErr w:type="spellStart"/>
            <w:r>
              <w:t>netselskaberne</w:t>
            </w:r>
            <w:proofErr w:type="spellEnd"/>
            <w:r>
              <w:t xml:space="preserve"> har en tættere kontakt med </w:t>
            </w:r>
            <w:proofErr w:type="spellStart"/>
            <w:r>
              <w:t>elhandelsvirksom</w:t>
            </w:r>
            <w:proofErr w:type="spellEnd"/>
            <w:r>
              <w:t xml:space="preserve">-hederne og dermed bedre kan </w:t>
            </w:r>
            <w:proofErr w:type="spellStart"/>
            <w:r>
              <w:t>fo-rebygge</w:t>
            </w:r>
            <w:proofErr w:type="spellEnd"/>
            <w:r>
              <w:t xml:space="preserve"> tab end Energinet.dk.</w:t>
            </w:r>
          </w:p>
        </w:tc>
      </w:tr>
      <w:tr w:rsidR="006B60F2" w:rsidRPr="00B5346F" w:rsidTr="00684D94">
        <w:tc>
          <w:tcPr>
            <w:tcW w:w="2309" w:type="dxa"/>
            <w:tcBorders>
              <w:top w:val="single" w:sz="4" w:space="0" w:color="D1C5C3" w:themeColor="accent3"/>
              <w:bottom w:val="single" w:sz="4" w:space="0" w:color="D1C5C3" w:themeColor="accent3"/>
            </w:tcBorders>
            <w:shd w:val="clear" w:color="auto" w:fill="FBF9F9"/>
          </w:tcPr>
          <w:p w:rsidR="00786FE9" w:rsidRPr="00600E3E" w:rsidRDefault="00786FE9" w:rsidP="005A1F82">
            <w:pPr>
              <w:pStyle w:val="Tabel-BrdtekstmedafstandptekstGaramond"/>
              <w:rPr>
                <w:i/>
              </w:rPr>
            </w:pPr>
            <w:r>
              <w:rPr>
                <w:i/>
              </w:rPr>
              <w:t>SE</w:t>
            </w:r>
          </w:p>
        </w:tc>
        <w:tc>
          <w:tcPr>
            <w:tcW w:w="201" w:type="dxa"/>
            <w:shd w:val="clear" w:color="auto" w:fill="FFFFFF" w:themeFill="background1"/>
          </w:tcPr>
          <w:p w:rsidR="00786FE9" w:rsidRPr="00B5346F" w:rsidRDefault="00786FE9" w:rsidP="005A1F82"/>
        </w:tc>
        <w:tc>
          <w:tcPr>
            <w:tcW w:w="3505" w:type="dxa"/>
            <w:tcBorders>
              <w:top w:val="single" w:sz="4" w:space="0" w:color="D1C5C3" w:themeColor="accent3"/>
              <w:bottom w:val="single" w:sz="4" w:space="0" w:color="D1C5C3" w:themeColor="accent3"/>
            </w:tcBorders>
            <w:shd w:val="clear" w:color="auto" w:fill="FBF9F9"/>
          </w:tcPr>
          <w:p w:rsidR="00786FE9" w:rsidRDefault="00786FE9" w:rsidP="006D2E54">
            <w:pPr>
              <w:pStyle w:val="Tabel-BrdtekstmedafstandptekstGaramond"/>
            </w:pPr>
            <w:r>
              <w:t xml:space="preserve">Det anbefales, at </w:t>
            </w:r>
            <w:proofErr w:type="spellStart"/>
            <w:r>
              <w:t>elhandelsvirksomhederne</w:t>
            </w:r>
            <w:proofErr w:type="spellEnd"/>
            <w:r>
              <w:t xml:space="preserve"> ikke pålægges ekstra ansvar i forhold til indhentning af data om kunderne, og at </w:t>
            </w:r>
            <w:proofErr w:type="spellStart"/>
            <w:r>
              <w:t>elhandelsvirksomhederne</w:t>
            </w:r>
            <w:proofErr w:type="spellEnd"/>
            <w:r>
              <w:t xml:space="preserve"> ikke skal foretage skatterådgivning for kunder. </w:t>
            </w: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C13611" w:rsidRDefault="00C13611" w:rsidP="006D2E54">
            <w:pPr>
              <w:pStyle w:val="Tabel-BrdtekstmedafstandptekstGaramond"/>
            </w:pPr>
          </w:p>
          <w:p w:rsidR="00786FE9" w:rsidRDefault="00786FE9" w:rsidP="006D2E54">
            <w:pPr>
              <w:pStyle w:val="Tabel-BrdtekstmedafstandptekstGaramond"/>
            </w:pPr>
            <w:r>
              <w:t xml:space="preserve">SE kan støtte, at CVR-nummeret fremover skal vises på fakturaen til kunder, men det bør slås fast, at det er kundernes ansvar at opdatere disse. </w:t>
            </w: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roofErr w:type="spellStart"/>
            <w:r>
              <w:t>Elhandelsvirksomheders</w:t>
            </w:r>
            <w:proofErr w:type="spellEnd"/>
            <w:r>
              <w:t xml:space="preserve"> kontrakter med momsregistrerede virksomheder skal indeholde oplysninger om særlige afgiftsforhold. SE kan støtte, at der kommer en generel passus i kontrakten, men kan ikke støtte, at teksten skal tilpasses fra gang til gang.</w:t>
            </w:r>
          </w:p>
          <w:p w:rsidR="00786FE9" w:rsidRDefault="00786FE9" w:rsidP="006D2E54">
            <w:pPr>
              <w:pStyle w:val="Tabel-BrdtekstmedafstandptekstGaramond"/>
            </w:pPr>
          </w:p>
          <w:p w:rsidR="00786FE9" w:rsidRDefault="006B60F2" w:rsidP="00DD62C2">
            <w:pPr>
              <w:pStyle w:val="Tabel-BrdtekstmedafstandptekstGaramond"/>
            </w:pPr>
            <w:r>
              <w:t>Energi</w:t>
            </w:r>
            <w:r w:rsidR="0020487A">
              <w:t>net.dk/</w:t>
            </w:r>
            <w:r>
              <w:t>d</w:t>
            </w:r>
            <w:r w:rsidR="00786FE9">
              <w:t>atahub</w:t>
            </w:r>
            <w:r>
              <w:t xml:space="preserve">ben </w:t>
            </w:r>
            <w:r w:rsidR="00786FE9">
              <w:t xml:space="preserve">forpligtes til at stille oplysninger om særlige afgiftsforhold til rådighed for </w:t>
            </w:r>
            <w:proofErr w:type="spellStart"/>
            <w:r w:rsidR="00786FE9">
              <w:t>netvirksomheder</w:t>
            </w:r>
            <w:proofErr w:type="spellEnd"/>
            <w:r w:rsidR="00786FE9">
              <w:t xml:space="preserve">. Det letter </w:t>
            </w:r>
            <w:proofErr w:type="spellStart"/>
            <w:r w:rsidR="00786FE9">
              <w:t>elhandelsvirkomhedernes</w:t>
            </w:r>
            <w:proofErr w:type="spellEnd"/>
            <w:r w:rsidR="00786FE9">
              <w:t xml:space="preserve"> arbejdsgang, men SE kan ikke se, hvorfor </w:t>
            </w:r>
            <w:proofErr w:type="spellStart"/>
            <w:r w:rsidR="00786FE9">
              <w:t>netvirksomheden</w:t>
            </w:r>
            <w:proofErr w:type="spellEnd"/>
            <w:r w:rsidR="00786FE9">
              <w:t xml:space="preserve"> skal have denne oplysning.</w:t>
            </w:r>
          </w:p>
          <w:p w:rsidR="00786FE9" w:rsidRDefault="00786FE9" w:rsidP="00DD62C2">
            <w:pPr>
              <w:pStyle w:val="Tabel-BrdtekstmedafstandptekstGaramond"/>
            </w:pPr>
          </w:p>
          <w:p w:rsidR="00786FE9" w:rsidRPr="00B5346F" w:rsidRDefault="00786FE9" w:rsidP="00DD62C2">
            <w:pPr>
              <w:pStyle w:val="Tabel-BrdtekstmedafstandptekstGaramond"/>
            </w:pPr>
            <w:proofErr w:type="spellStart"/>
            <w:r>
              <w:t>Netvirksomhederne</w:t>
            </w:r>
            <w:proofErr w:type="spellEnd"/>
            <w:r>
              <w:t xml:space="preserve"> skal ved fakturering oplyse særlige afgiftsforhold for den solgte el separat for hver af de forskellige kundetyper. Oplysningerne bør specificeres af Energinet.dk/datahubben. </w:t>
            </w:r>
          </w:p>
        </w:tc>
        <w:tc>
          <w:tcPr>
            <w:tcW w:w="217" w:type="dxa"/>
            <w:shd w:val="clear" w:color="auto" w:fill="FFFFFF" w:themeFill="background1"/>
          </w:tcPr>
          <w:p w:rsidR="00786FE9" w:rsidRPr="00B5346F" w:rsidRDefault="00786FE9" w:rsidP="005A1F82"/>
        </w:tc>
        <w:tc>
          <w:tcPr>
            <w:tcW w:w="3407" w:type="dxa"/>
            <w:tcBorders>
              <w:top w:val="single" w:sz="4" w:space="0" w:color="14143C" w:themeColor="accent1"/>
              <w:bottom w:val="single" w:sz="4" w:space="0" w:color="14143C" w:themeColor="accent1"/>
            </w:tcBorders>
            <w:shd w:val="clear" w:color="auto" w:fill="D2CED8"/>
          </w:tcPr>
          <w:p w:rsidR="00786FE9" w:rsidRDefault="00786FE9" w:rsidP="004953AE">
            <w:pPr>
              <w:pStyle w:val="Tabel-BrdtekstmedafstandptekstGaramond"/>
            </w:pPr>
            <w:r>
              <w:t xml:space="preserve">Fremover varetages al relevant kontakt til </w:t>
            </w:r>
            <w:proofErr w:type="spellStart"/>
            <w:r>
              <w:t>elkunderne</w:t>
            </w:r>
            <w:proofErr w:type="spellEnd"/>
            <w:r>
              <w:t xml:space="preserve"> alene af </w:t>
            </w:r>
            <w:proofErr w:type="spellStart"/>
            <w:r>
              <w:t>el</w:t>
            </w:r>
            <w:r w:rsidR="00C13611">
              <w:t>handels</w:t>
            </w:r>
            <w:r>
              <w:t>virksomhe</w:t>
            </w:r>
            <w:r w:rsidR="0020487A">
              <w:t>derne</w:t>
            </w:r>
            <w:proofErr w:type="spellEnd"/>
            <w:r w:rsidR="0020487A">
              <w:t xml:space="preserve">. </w:t>
            </w:r>
            <w:r>
              <w:t>Af hensyn til</w:t>
            </w:r>
            <w:r w:rsidR="000B4013">
              <w:t>,</w:t>
            </w:r>
            <w:r>
              <w:t xml:space="preserve"> at der skal forelægge dokumentation for overholdelse af </w:t>
            </w:r>
            <w:proofErr w:type="spellStart"/>
            <w:r>
              <w:t>værnsreglen</w:t>
            </w:r>
            <w:proofErr w:type="spellEnd"/>
            <w:r>
              <w:t xml:space="preserve"> vedrørende momsregistrerede kunder og regler om kunders særlige afgiftsforhold (reduceret elafgift)</w:t>
            </w:r>
            <w:r w:rsidR="000B4013">
              <w:t>,</w:t>
            </w:r>
            <w:r>
              <w:t xml:space="preserve"> er det nødvendigt, at </w:t>
            </w:r>
            <w:proofErr w:type="spellStart"/>
            <w:r>
              <w:t>elhandelsvirksomheder</w:t>
            </w:r>
            <w:proofErr w:type="spellEnd"/>
            <w:r>
              <w:t xml:space="preserve"> i højere grad end i dag, skal indhente og opbevare data om kunder. Forslaget forpligter ikke </w:t>
            </w:r>
            <w:proofErr w:type="spellStart"/>
            <w:r>
              <w:t>elhandelsvirksomhederne</w:t>
            </w:r>
            <w:proofErr w:type="spellEnd"/>
            <w:r>
              <w:t xml:space="preserve"> til at yde skatterådgivning. </w:t>
            </w:r>
          </w:p>
          <w:p w:rsidR="00786FE9" w:rsidRDefault="00786FE9" w:rsidP="004953AE">
            <w:pPr>
              <w:pStyle w:val="Tabel-BrdtekstmedafstandptekstGaramond"/>
            </w:pPr>
          </w:p>
          <w:p w:rsidR="00786FE9" w:rsidRDefault="00786FE9" w:rsidP="004953AE">
            <w:pPr>
              <w:pStyle w:val="Tabel-BrdtekstmedafstandptekstGaramond"/>
            </w:pPr>
            <w:r>
              <w:t xml:space="preserve">Lovforslaget vil blive præciseret på dette område. CVR-nummeret (eller SE-nummeret) på fakturaen til momsregistrerede virksomheder/kunder vil i praksis være det nummer, som fremgår af kontrakten om </w:t>
            </w:r>
            <w:proofErr w:type="spellStart"/>
            <w:r>
              <w:t>ellevererancen</w:t>
            </w:r>
            <w:proofErr w:type="spellEnd"/>
            <w:r>
              <w:t xml:space="preserve"> mellem </w:t>
            </w:r>
            <w:proofErr w:type="spellStart"/>
            <w:r>
              <w:t>elhandelsvirksomheden</w:t>
            </w:r>
            <w:proofErr w:type="spellEnd"/>
            <w:r>
              <w:t xml:space="preserve"> og kunden. Hvis kunden efter indgåelsen af kontrakten meddeler </w:t>
            </w:r>
            <w:proofErr w:type="spellStart"/>
            <w:r>
              <w:t>elhandelsvirksomheden</w:t>
            </w:r>
            <w:proofErr w:type="spellEnd"/>
            <w:r>
              <w:t xml:space="preserve">, at den har fået et andet nummer, </w:t>
            </w:r>
            <w:r w:rsidR="0009113E">
              <w:t>skal dette</w:t>
            </w:r>
            <w:r>
              <w:t xml:space="preserve"> nummer</w:t>
            </w:r>
            <w:r w:rsidR="00D31AA4">
              <w:t xml:space="preserve"> </w:t>
            </w:r>
            <w:r>
              <w:t xml:space="preserve">stå på fakturaen.  Med andre ord skal </w:t>
            </w:r>
            <w:proofErr w:type="spellStart"/>
            <w:r>
              <w:t>elhandelsvirksomheden</w:t>
            </w:r>
            <w:proofErr w:type="spellEnd"/>
            <w:r>
              <w:t xml:space="preserve"> anføre det nummer på fakturaen, som er oplyst af kunden. Der er ikke noget til hinder for, at </w:t>
            </w:r>
            <w:proofErr w:type="spellStart"/>
            <w:r>
              <w:t>elhandelsvirksomheden</w:t>
            </w:r>
            <w:proofErr w:type="spellEnd"/>
            <w:r w:rsidR="00D31AA4">
              <w:t xml:space="preserve"> - </w:t>
            </w:r>
            <w:r>
              <w:t xml:space="preserve">som en aftalt service </w:t>
            </w:r>
            <w:proofErr w:type="gramStart"/>
            <w:r>
              <w:t>overfor</w:t>
            </w:r>
            <w:proofErr w:type="gramEnd"/>
            <w:r>
              <w:t xml:space="preserve"> kunden </w:t>
            </w:r>
            <w:r w:rsidR="00D31AA4">
              <w:t xml:space="preserve">- </w:t>
            </w:r>
            <w:r>
              <w:t>finder og opdaterer denne information selv.</w:t>
            </w:r>
          </w:p>
          <w:p w:rsidR="00786FE9" w:rsidRDefault="00786FE9" w:rsidP="006D2E54">
            <w:pPr>
              <w:pStyle w:val="Tabel-BrdtekstmedafstandptekstGaramond"/>
            </w:pPr>
          </w:p>
          <w:p w:rsidR="00786FE9" w:rsidRDefault="00786FE9" w:rsidP="006D2E54">
            <w:pPr>
              <w:pStyle w:val="Tabel-BrdtekstmedafstandptekstGaramond"/>
            </w:pPr>
            <w:r>
              <w:t>Uanset om der er tale om erhvervskunder eller andre kunder med særlige afgiftsforhold (reduceret elafgift), vil opl</w:t>
            </w:r>
            <w:r w:rsidR="00D95EB5">
              <w:t xml:space="preserve">ysning herom kunne fremgå på </w:t>
            </w:r>
            <w:r>
              <w:t xml:space="preserve">standardiseret </w:t>
            </w:r>
            <w:r w:rsidR="00D95EB5">
              <w:t>vis</w:t>
            </w:r>
            <w:r>
              <w:t xml:space="preserve"> af kontrakten med kunden. </w:t>
            </w: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p>
          <w:p w:rsidR="00786FE9" w:rsidRDefault="00786FE9" w:rsidP="006D2E54">
            <w:pPr>
              <w:pStyle w:val="Tabel-BrdtekstmedafstandptekstGaramond"/>
            </w:pPr>
            <w:r>
              <w:t>Der er tale om oplysninger om særlige afgiftsforhold (reducer</w:t>
            </w:r>
            <w:r w:rsidR="006B60F2">
              <w:t xml:space="preserve">et elafgift). </w:t>
            </w:r>
            <w:r>
              <w:t>Energ</w:t>
            </w:r>
            <w:r w:rsidR="00D74F67">
              <w:t>i</w:t>
            </w:r>
            <w:r>
              <w:t xml:space="preserve">net.dk/datahubben forpligtes til at stille oplysningerne til rådighed for </w:t>
            </w:r>
            <w:proofErr w:type="spellStart"/>
            <w:r>
              <w:t>netvirksomheden</w:t>
            </w:r>
            <w:proofErr w:type="spellEnd"/>
            <w:r>
              <w:t xml:space="preserve"> med henblik på </w:t>
            </w:r>
            <w:proofErr w:type="spellStart"/>
            <w:r>
              <w:t>netvirksomhedens</w:t>
            </w:r>
            <w:proofErr w:type="spellEnd"/>
            <w:r>
              <w:t xml:space="preserve"> fakturering.</w:t>
            </w:r>
          </w:p>
          <w:p w:rsidR="00786FE9" w:rsidRDefault="00786FE9" w:rsidP="006D2E54">
            <w:pPr>
              <w:pStyle w:val="Tabel-BrdtekstmedafstandptekstGaramond"/>
            </w:pPr>
          </w:p>
          <w:p w:rsidR="003F1D8A" w:rsidRDefault="003F1D8A" w:rsidP="006D2E54">
            <w:pPr>
              <w:pStyle w:val="Tabel-BrdtekstmedafstandptekstGaramond"/>
            </w:pPr>
          </w:p>
          <w:p w:rsidR="00786FE9" w:rsidRPr="00B5346F" w:rsidRDefault="00786FE9" w:rsidP="00F92886">
            <w:pPr>
              <w:pStyle w:val="Tabel-BrdtekstmedafstandptekstGaramond"/>
            </w:pPr>
            <w:r>
              <w:t xml:space="preserve">Energinet.dk meddeler </w:t>
            </w:r>
            <w:proofErr w:type="spellStart"/>
            <w:r>
              <w:t>netvirksomheden</w:t>
            </w:r>
            <w:proofErr w:type="spellEnd"/>
            <w:r>
              <w:t xml:space="preserve"> disse specificerede op</w:t>
            </w:r>
            <w:r w:rsidR="003F1D8A">
              <w:t xml:space="preserve">lysninger </w:t>
            </w:r>
            <w:r>
              <w:t>til brug for faktureringen. Det fremgår af forslagets § 9.</w:t>
            </w:r>
          </w:p>
        </w:tc>
      </w:tr>
    </w:tbl>
    <w:p w:rsidR="00600E3E" w:rsidRDefault="00600E3E" w:rsidP="002B3C73">
      <w:pPr>
        <w:keepNext/>
        <w:keepLines/>
      </w:pPr>
    </w:p>
    <w:sectPr w:rsidR="00600E3E"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43" w:rsidRDefault="004D7643" w:rsidP="009E4B94">
      <w:pPr>
        <w:spacing w:line="240" w:lineRule="auto"/>
      </w:pPr>
      <w:r>
        <w:separator/>
      </w:r>
    </w:p>
  </w:endnote>
  <w:endnote w:type="continuationSeparator" w:id="0">
    <w:p w:rsidR="004D7643" w:rsidRDefault="004D764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5" w:rsidRDefault="0091345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5" w:rsidRPr="00681D83" w:rsidRDefault="00913455" w:rsidP="00C51167">
    <w:pPr>
      <w:pStyle w:val="Sidefod"/>
    </w:pPr>
    <w:r>
      <w:rPr>
        <w:noProof/>
        <w:lang w:eastAsia="da-DK"/>
      </w:rPr>
      <mc:AlternateContent>
        <mc:Choice Requires="wps">
          <w:drawing>
            <wp:anchor distT="0" distB="0" distL="114300" distR="114300" simplePos="0" relativeHeight="251662336" behindDoc="0" locked="0" layoutInCell="1" allowOverlap="1" wp14:anchorId="53C0249E" wp14:editId="0D49952C">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3455" w:rsidRPr="00094ABD" w:rsidRDefault="00913455"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34584">
                            <w:rPr>
                              <w:rStyle w:val="Sidetal"/>
                              <w:noProof/>
                            </w:rPr>
                            <w:t>18</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34584">
                            <w:rPr>
                              <w:rStyle w:val="Sidetal"/>
                              <w:noProof/>
                            </w:rPr>
                            <w:t>18</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C0249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913455" w:rsidRPr="00094ABD" w:rsidRDefault="00913455"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34584">
                      <w:rPr>
                        <w:rStyle w:val="Sidetal"/>
                        <w:noProof/>
                      </w:rPr>
                      <w:t>18</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34584">
                      <w:rPr>
                        <w:rStyle w:val="Sidetal"/>
                        <w:noProof/>
                      </w:rPr>
                      <w:t>18</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5AEC6F4E" wp14:editId="3B76F7A0">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5" w:rsidRPr="00094ABD" w:rsidRDefault="00913455" w:rsidP="00C51167">
    <w:pPr>
      <w:pStyle w:val="Sidefod"/>
    </w:pPr>
    <w:r>
      <w:rPr>
        <w:noProof/>
        <w:lang w:eastAsia="da-DK"/>
      </w:rPr>
      <w:drawing>
        <wp:anchor distT="0" distB="0" distL="114300" distR="114300" simplePos="0" relativeHeight="251667456" behindDoc="0" locked="0" layoutInCell="1" allowOverlap="1" wp14:anchorId="509C4D0E" wp14:editId="1744F4B2">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43" w:rsidRDefault="004D7643" w:rsidP="009E4B94">
      <w:pPr>
        <w:spacing w:line="240" w:lineRule="auto"/>
      </w:pPr>
      <w:r>
        <w:separator/>
      </w:r>
    </w:p>
  </w:footnote>
  <w:footnote w:type="continuationSeparator" w:id="0">
    <w:p w:rsidR="004D7643" w:rsidRDefault="004D7643"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5" w:rsidRDefault="0091345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5" w:rsidRDefault="0091345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455" w:rsidRDefault="00913455" w:rsidP="00CE262C">
    <w:pPr>
      <w:pStyle w:val="Sidehoved"/>
    </w:pPr>
    <w:r>
      <w:rPr>
        <w:noProof/>
        <w:lang w:eastAsia="da-DK"/>
      </w:rPr>
      <w:drawing>
        <wp:anchor distT="0" distB="0" distL="114300" distR="114300" simplePos="0" relativeHeight="251666432" behindDoc="0" locked="0" layoutInCell="1" allowOverlap="1" wp14:anchorId="5E068B5E" wp14:editId="3C1D719C">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895199D"/>
    <w:multiLevelType w:val="hybridMultilevel"/>
    <w:tmpl w:val="9B6E400C"/>
    <w:lvl w:ilvl="0" w:tplc="04060015">
      <w:start w:val="1"/>
      <w:numFmt w:val="upperLetter"/>
      <w:lvlText w:val="%1."/>
      <w:lvlJc w:val="left"/>
      <w:pPr>
        <w:ind w:left="947" w:hanging="360"/>
      </w:pPr>
    </w:lvl>
    <w:lvl w:ilvl="1" w:tplc="04060019" w:tentative="1">
      <w:start w:val="1"/>
      <w:numFmt w:val="lowerLetter"/>
      <w:lvlText w:val="%2."/>
      <w:lvlJc w:val="left"/>
      <w:pPr>
        <w:ind w:left="1667" w:hanging="360"/>
      </w:pPr>
    </w:lvl>
    <w:lvl w:ilvl="2" w:tplc="0406001B" w:tentative="1">
      <w:start w:val="1"/>
      <w:numFmt w:val="lowerRoman"/>
      <w:lvlText w:val="%3."/>
      <w:lvlJc w:val="right"/>
      <w:pPr>
        <w:ind w:left="2387" w:hanging="180"/>
      </w:pPr>
    </w:lvl>
    <w:lvl w:ilvl="3" w:tplc="0406000F" w:tentative="1">
      <w:start w:val="1"/>
      <w:numFmt w:val="decimal"/>
      <w:lvlText w:val="%4."/>
      <w:lvlJc w:val="left"/>
      <w:pPr>
        <w:ind w:left="3107" w:hanging="360"/>
      </w:pPr>
    </w:lvl>
    <w:lvl w:ilvl="4" w:tplc="04060019" w:tentative="1">
      <w:start w:val="1"/>
      <w:numFmt w:val="lowerLetter"/>
      <w:lvlText w:val="%5."/>
      <w:lvlJc w:val="left"/>
      <w:pPr>
        <w:ind w:left="3827" w:hanging="360"/>
      </w:pPr>
    </w:lvl>
    <w:lvl w:ilvl="5" w:tplc="0406001B" w:tentative="1">
      <w:start w:val="1"/>
      <w:numFmt w:val="lowerRoman"/>
      <w:lvlText w:val="%6."/>
      <w:lvlJc w:val="right"/>
      <w:pPr>
        <w:ind w:left="4547" w:hanging="180"/>
      </w:pPr>
    </w:lvl>
    <w:lvl w:ilvl="6" w:tplc="0406000F" w:tentative="1">
      <w:start w:val="1"/>
      <w:numFmt w:val="decimal"/>
      <w:lvlText w:val="%7."/>
      <w:lvlJc w:val="left"/>
      <w:pPr>
        <w:ind w:left="5267" w:hanging="360"/>
      </w:pPr>
    </w:lvl>
    <w:lvl w:ilvl="7" w:tplc="04060019" w:tentative="1">
      <w:start w:val="1"/>
      <w:numFmt w:val="lowerLetter"/>
      <w:lvlText w:val="%8."/>
      <w:lvlJc w:val="left"/>
      <w:pPr>
        <w:ind w:left="5987" w:hanging="360"/>
      </w:pPr>
    </w:lvl>
    <w:lvl w:ilvl="8" w:tplc="0406001B" w:tentative="1">
      <w:start w:val="1"/>
      <w:numFmt w:val="lowerRoman"/>
      <w:lvlText w:val="%9."/>
      <w:lvlJc w:val="right"/>
      <w:pPr>
        <w:ind w:left="6707" w:hanging="180"/>
      </w:pPr>
    </w:lvl>
  </w:abstractNum>
  <w:abstractNum w:abstractNumId="10">
    <w:nsid w:val="6724124B"/>
    <w:multiLevelType w:val="hybridMultilevel"/>
    <w:tmpl w:val="CFD6BE5C"/>
    <w:lvl w:ilvl="0" w:tplc="B0BA7FAE">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E"/>
    <w:rsid w:val="0000097E"/>
    <w:rsid w:val="000027AF"/>
    <w:rsid w:val="00004865"/>
    <w:rsid w:val="00006851"/>
    <w:rsid w:val="00006F66"/>
    <w:rsid w:val="0000703F"/>
    <w:rsid w:val="0001068A"/>
    <w:rsid w:val="0001534C"/>
    <w:rsid w:val="00017063"/>
    <w:rsid w:val="00017586"/>
    <w:rsid w:val="000225E1"/>
    <w:rsid w:val="0002656E"/>
    <w:rsid w:val="00030F87"/>
    <w:rsid w:val="00040A16"/>
    <w:rsid w:val="00041276"/>
    <w:rsid w:val="000423FF"/>
    <w:rsid w:val="00045E50"/>
    <w:rsid w:val="00052C19"/>
    <w:rsid w:val="00054898"/>
    <w:rsid w:val="00062109"/>
    <w:rsid w:val="00066A26"/>
    <w:rsid w:val="0007332D"/>
    <w:rsid w:val="00076247"/>
    <w:rsid w:val="00077673"/>
    <w:rsid w:val="00081169"/>
    <w:rsid w:val="00087BC5"/>
    <w:rsid w:val="0009113E"/>
    <w:rsid w:val="00094ABD"/>
    <w:rsid w:val="000A2EDA"/>
    <w:rsid w:val="000A42E7"/>
    <w:rsid w:val="000A6CFA"/>
    <w:rsid w:val="000B2946"/>
    <w:rsid w:val="000B3FBC"/>
    <w:rsid w:val="000B4013"/>
    <w:rsid w:val="000B58DB"/>
    <w:rsid w:val="000B59C8"/>
    <w:rsid w:val="000C0CF0"/>
    <w:rsid w:val="000C4289"/>
    <w:rsid w:val="000C6781"/>
    <w:rsid w:val="000D0513"/>
    <w:rsid w:val="000D1B30"/>
    <w:rsid w:val="000D1B4B"/>
    <w:rsid w:val="000D41A0"/>
    <w:rsid w:val="000D49A3"/>
    <w:rsid w:val="000D7706"/>
    <w:rsid w:val="000F4D15"/>
    <w:rsid w:val="001051D7"/>
    <w:rsid w:val="00107DAB"/>
    <w:rsid w:val="00113D6B"/>
    <w:rsid w:val="00116BD4"/>
    <w:rsid w:val="0011709B"/>
    <w:rsid w:val="00121584"/>
    <w:rsid w:val="00125761"/>
    <w:rsid w:val="001278A8"/>
    <w:rsid w:val="00127940"/>
    <w:rsid w:val="00131F5D"/>
    <w:rsid w:val="0013244F"/>
    <w:rsid w:val="00136480"/>
    <w:rsid w:val="00136B69"/>
    <w:rsid w:val="0014453A"/>
    <w:rsid w:val="001447C0"/>
    <w:rsid w:val="00153F40"/>
    <w:rsid w:val="00154CA8"/>
    <w:rsid w:val="00160BBA"/>
    <w:rsid w:val="00161AF0"/>
    <w:rsid w:val="00165D2F"/>
    <w:rsid w:val="00166D5C"/>
    <w:rsid w:val="00170669"/>
    <w:rsid w:val="00175CC0"/>
    <w:rsid w:val="001777C2"/>
    <w:rsid w:val="00182651"/>
    <w:rsid w:val="00182E42"/>
    <w:rsid w:val="00182FDC"/>
    <w:rsid w:val="001848B2"/>
    <w:rsid w:val="001857BB"/>
    <w:rsid w:val="001863A7"/>
    <w:rsid w:val="00196D97"/>
    <w:rsid w:val="00197440"/>
    <w:rsid w:val="001A2678"/>
    <w:rsid w:val="001B157A"/>
    <w:rsid w:val="001C0016"/>
    <w:rsid w:val="001C0121"/>
    <w:rsid w:val="001C16D3"/>
    <w:rsid w:val="001C177E"/>
    <w:rsid w:val="001D0093"/>
    <w:rsid w:val="001D22E9"/>
    <w:rsid w:val="001D60B4"/>
    <w:rsid w:val="001D6BD9"/>
    <w:rsid w:val="001E79D1"/>
    <w:rsid w:val="001F32D1"/>
    <w:rsid w:val="001F374B"/>
    <w:rsid w:val="00203DE6"/>
    <w:rsid w:val="0020487A"/>
    <w:rsid w:val="00207BEC"/>
    <w:rsid w:val="00215A34"/>
    <w:rsid w:val="0022582F"/>
    <w:rsid w:val="002301C3"/>
    <w:rsid w:val="00232DF3"/>
    <w:rsid w:val="002334A4"/>
    <w:rsid w:val="00237122"/>
    <w:rsid w:val="00240137"/>
    <w:rsid w:val="00244D70"/>
    <w:rsid w:val="00251528"/>
    <w:rsid w:val="00261644"/>
    <w:rsid w:val="0026468A"/>
    <w:rsid w:val="002652AA"/>
    <w:rsid w:val="002657C9"/>
    <w:rsid w:val="00267514"/>
    <w:rsid w:val="00277870"/>
    <w:rsid w:val="00277B6D"/>
    <w:rsid w:val="002816F3"/>
    <w:rsid w:val="0028628A"/>
    <w:rsid w:val="002870F4"/>
    <w:rsid w:val="00296805"/>
    <w:rsid w:val="002977B4"/>
    <w:rsid w:val="002978DB"/>
    <w:rsid w:val="002B3C73"/>
    <w:rsid w:val="002B5E57"/>
    <w:rsid w:val="002B6A12"/>
    <w:rsid w:val="002C258E"/>
    <w:rsid w:val="002E233E"/>
    <w:rsid w:val="002E30A1"/>
    <w:rsid w:val="002E6B15"/>
    <w:rsid w:val="002E74A4"/>
    <w:rsid w:val="002F715C"/>
    <w:rsid w:val="00302887"/>
    <w:rsid w:val="003075A8"/>
    <w:rsid w:val="00316E8E"/>
    <w:rsid w:val="00323D55"/>
    <w:rsid w:val="00333495"/>
    <w:rsid w:val="0033748A"/>
    <w:rsid w:val="003454DD"/>
    <w:rsid w:val="00351C70"/>
    <w:rsid w:val="0036119B"/>
    <w:rsid w:val="00390BCD"/>
    <w:rsid w:val="003928C2"/>
    <w:rsid w:val="00396D70"/>
    <w:rsid w:val="003A46C4"/>
    <w:rsid w:val="003B35B0"/>
    <w:rsid w:val="003B67F5"/>
    <w:rsid w:val="003C0918"/>
    <w:rsid w:val="003C0B1A"/>
    <w:rsid w:val="003C263B"/>
    <w:rsid w:val="003C2FAD"/>
    <w:rsid w:val="003C4F9F"/>
    <w:rsid w:val="003C60F1"/>
    <w:rsid w:val="003D2156"/>
    <w:rsid w:val="003E3E15"/>
    <w:rsid w:val="003E451F"/>
    <w:rsid w:val="003E642B"/>
    <w:rsid w:val="003E78CA"/>
    <w:rsid w:val="003F1D8A"/>
    <w:rsid w:val="003F3A90"/>
    <w:rsid w:val="003F52AC"/>
    <w:rsid w:val="003F56E0"/>
    <w:rsid w:val="003F58FB"/>
    <w:rsid w:val="00404746"/>
    <w:rsid w:val="00404BF7"/>
    <w:rsid w:val="00405215"/>
    <w:rsid w:val="00410177"/>
    <w:rsid w:val="00411C67"/>
    <w:rsid w:val="004141C6"/>
    <w:rsid w:val="00415896"/>
    <w:rsid w:val="00416196"/>
    <w:rsid w:val="004161A8"/>
    <w:rsid w:val="00424709"/>
    <w:rsid w:val="00425F90"/>
    <w:rsid w:val="00425FE9"/>
    <w:rsid w:val="00431366"/>
    <w:rsid w:val="00436283"/>
    <w:rsid w:val="00441A9C"/>
    <w:rsid w:val="004442E6"/>
    <w:rsid w:val="00446687"/>
    <w:rsid w:val="00455537"/>
    <w:rsid w:val="004556C1"/>
    <w:rsid w:val="0046076F"/>
    <w:rsid w:val="00461484"/>
    <w:rsid w:val="0046156A"/>
    <w:rsid w:val="0046168A"/>
    <w:rsid w:val="0046198D"/>
    <w:rsid w:val="0046264C"/>
    <w:rsid w:val="00466136"/>
    <w:rsid w:val="00484640"/>
    <w:rsid w:val="00491D5C"/>
    <w:rsid w:val="004953AE"/>
    <w:rsid w:val="00495F10"/>
    <w:rsid w:val="004965CE"/>
    <w:rsid w:val="004A3DEF"/>
    <w:rsid w:val="004A474E"/>
    <w:rsid w:val="004A5600"/>
    <w:rsid w:val="004A6C23"/>
    <w:rsid w:val="004B2AB8"/>
    <w:rsid w:val="004B39BA"/>
    <w:rsid w:val="004B5150"/>
    <w:rsid w:val="004C01B2"/>
    <w:rsid w:val="004D0057"/>
    <w:rsid w:val="004D09FE"/>
    <w:rsid w:val="004D0A20"/>
    <w:rsid w:val="004D0F30"/>
    <w:rsid w:val="004D13C9"/>
    <w:rsid w:val="004D2BD7"/>
    <w:rsid w:val="004D46CB"/>
    <w:rsid w:val="004D7643"/>
    <w:rsid w:val="004D78FA"/>
    <w:rsid w:val="004E2501"/>
    <w:rsid w:val="004E5FA3"/>
    <w:rsid w:val="004E69B0"/>
    <w:rsid w:val="004F4DFE"/>
    <w:rsid w:val="00503392"/>
    <w:rsid w:val="00503680"/>
    <w:rsid w:val="00504882"/>
    <w:rsid w:val="005103BC"/>
    <w:rsid w:val="00522DA7"/>
    <w:rsid w:val="00525897"/>
    <w:rsid w:val="00525CEA"/>
    <w:rsid w:val="00530A82"/>
    <w:rsid w:val="00535188"/>
    <w:rsid w:val="0053662E"/>
    <w:rsid w:val="00546077"/>
    <w:rsid w:val="005501EF"/>
    <w:rsid w:val="00552D24"/>
    <w:rsid w:val="00553EB9"/>
    <w:rsid w:val="00562DFF"/>
    <w:rsid w:val="00563829"/>
    <w:rsid w:val="00567A2E"/>
    <w:rsid w:val="00567B62"/>
    <w:rsid w:val="00572769"/>
    <w:rsid w:val="005734E1"/>
    <w:rsid w:val="00581EE0"/>
    <w:rsid w:val="005845FE"/>
    <w:rsid w:val="005916C8"/>
    <w:rsid w:val="005952C5"/>
    <w:rsid w:val="005A1822"/>
    <w:rsid w:val="005A1F82"/>
    <w:rsid w:val="005A28D4"/>
    <w:rsid w:val="005A30FD"/>
    <w:rsid w:val="005B4028"/>
    <w:rsid w:val="005C155A"/>
    <w:rsid w:val="005C5F97"/>
    <w:rsid w:val="005D3324"/>
    <w:rsid w:val="005D3A11"/>
    <w:rsid w:val="005D7F28"/>
    <w:rsid w:val="005F063C"/>
    <w:rsid w:val="005F1580"/>
    <w:rsid w:val="005F3493"/>
    <w:rsid w:val="005F3ED8"/>
    <w:rsid w:val="00600E3E"/>
    <w:rsid w:val="00616F1E"/>
    <w:rsid w:val="00622C50"/>
    <w:rsid w:val="0062540C"/>
    <w:rsid w:val="00630EE5"/>
    <w:rsid w:val="00637123"/>
    <w:rsid w:val="00637CAF"/>
    <w:rsid w:val="00642862"/>
    <w:rsid w:val="00642CBC"/>
    <w:rsid w:val="00644428"/>
    <w:rsid w:val="00646BBC"/>
    <w:rsid w:val="00651AD5"/>
    <w:rsid w:val="00655B49"/>
    <w:rsid w:val="00670ED8"/>
    <w:rsid w:val="0067141A"/>
    <w:rsid w:val="0067143B"/>
    <w:rsid w:val="0067386E"/>
    <w:rsid w:val="0067760B"/>
    <w:rsid w:val="00681D83"/>
    <w:rsid w:val="00684D94"/>
    <w:rsid w:val="00684EB1"/>
    <w:rsid w:val="006900C2"/>
    <w:rsid w:val="00690432"/>
    <w:rsid w:val="00691BEF"/>
    <w:rsid w:val="00693D8A"/>
    <w:rsid w:val="00694421"/>
    <w:rsid w:val="00697E66"/>
    <w:rsid w:val="006A699C"/>
    <w:rsid w:val="006B0F61"/>
    <w:rsid w:val="006B30A9"/>
    <w:rsid w:val="006B60F2"/>
    <w:rsid w:val="006C0FE9"/>
    <w:rsid w:val="006C3C42"/>
    <w:rsid w:val="006D2B11"/>
    <w:rsid w:val="006D2E54"/>
    <w:rsid w:val="006D4F49"/>
    <w:rsid w:val="006D5381"/>
    <w:rsid w:val="006E5656"/>
    <w:rsid w:val="006F5838"/>
    <w:rsid w:val="006F6849"/>
    <w:rsid w:val="0070267E"/>
    <w:rsid w:val="00703B3F"/>
    <w:rsid w:val="00706E32"/>
    <w:rsid w:val="00707273"/>
    <w:rsid w:val="00713F98"/>
    <w:rsid w:val="007154F3"/>
    <w:rsid w:val="00717A4B"/>
    <w:rsid w:val="007204FE"/>
    <w:rsid w:val="00725837"/>
    <w:rsid w:val="00727797"/>
    <w:rsid w:val="00727C8A"/>
    <w:rsid w:val="00731E51"/>
    <w:rsid w:val="007327A9"/>
    <w:rsid w:val="00752B37"/>
    <w:rsid w:val="007546AF"/>
    <w:rsid w:val="00765106"/>
    <w:rsid w:val="00765934"/>
    <w:rsid w:val="00770410"/>
    <w:rsid w:val="00773919"/>
    <w:rsid w:val="00775409"/>
    <w:rsid w:val="00785EBA"/>
    <w:rsid w:val="0078622B"/>
    <w:rsid w:val="00786FCF"/>
    <w:rsid w:val="00786FE9"/>
    <w:rsid w:val="0078774E"/>
    <w:rsid w:val="007A1B96"/>
    <w:rsid w:val="007A2CA3"/>
    <w:rsid w:val="007A2D34"/>
    <w:rsid w:val="007A7118"/>
    <w:rsid w:val="007B0944"/>
    <w:rsid w:val="007B1076"/>
    <w:rsid w:val="007B29D6"/>
    <w:rsid w:val="007B64E0"/>
    <w:rsid w:val="007C0F1D"/>
    <w:rsid w:val="007C1F28"/>
    <w:rsid w:val="007D2E72"/>
    <w:rsid w:val="007E0E19"/>
    <w:rsid w:val="007E2CF5"/>
    <w:rsid w:val="007E373C"/>
    <w:rsid w:val="007E5BDA"/>
    <w:rsid w:val="007F61DB"/>
    <w:rsid w:val="007F7603"/>
    <w:rsid w:val="008012B0"/>
    <w:rsid w:val="00801F34"/>
    <w:rsid w:val="008024ED"/>
    <w:rsid w:val="00802677"/>
    <w:rsid w:val="00815F28"/>
    <w:rsid w:val="00824115"/>
    <w:rsid w:val="0083634F"/>
    <w:rsid w:val="008531FB"/>
    <w:rsid w:val="0085378A"/>
    <w:rsid w:val="00853F33"/>
    <w:rsid w:val="00861DE4"/>
    <w:rsid w:val="00864D45"/>
    <w:rsid w:val="008662D3"/>
    <w:rsid w:val="008707D7"/>
    <w:rsid w:val="00884658"/>
    <w:rsid w:val="008848EF"/>
    <w:rsid w:val="00892D08"/>
    <w:rsid w:val="00893791"/>
    <w:rsid w:val="00896B3C"/>
    <w:rsid w:val="008B1AA3"/>
    <w:rsid w:val="008B3CCC"/>
    <w:rsid w:val="008B5B59"/>
    <w:rsid w:val="008B63FA"/>
    <w:rsid w:val="008B797F"/>
    <w:rsid w:val="008C2438"/>
    <w:rsid w:val="008C2D15"/>
    <w:rsid w:val="008D000A"/>
    <w:rsid w:val="008D230F"/>
    <w:rsid w:val="008D2509"/>
    <w:rsid w:val="008D5A02"/>
    <w:rsid w:val="008E2281"/>
    <w:rsid w:val="008E2ECE"/>
    <w:rsid w:val="008E4C26"/>
    <w:rsid w:val="008E59FD"/>
    <w:rsid w:val="008E5A6D"/>
    <w:rsid w:val="008F0771"/>
    <w:rsid w:val="008F32DF"/>
    <w:rsid w:val="008F4D20"/>
    <w:rsid w:val="008F5726"/>
    <w:rsid w:val="008F73A8"/>
    <w:rsid w:val="009000D1"/>
    <w:rsid w:val="00902C3D"/>
    <w:rsid w:val="00905C17"/>
    <w:rsid w:val="00905C43"/>
    <w:rsid w:val="00913455"/>
    <w:rsid w:val="0091390B"/>
    <w:rsid w:val="0092171B"/>
    <w:rsid w:val="00922C3F"/>
    <w:rsid w:val="00926897"/>
    <w:rsid w:val="0093604D"/>
    <w:rsid w:val="0094231E"/>
    <w:rsid w:val="00942E55"/>
    <w:rsid w:val="00947BA0"/>
    <w:rsid w:val="009509B4"/>
    <w:rsid w:val="00951B25"/>
    <w:rsid w:val="00967833"/>
    <w:rsid w:val="009678F1"/>
    <w:rsid w:val="00983B74"/>
    <w:rsid w:val="00986D8F"/>
    <w:rsid w:val="00990263"/>
    <w:rsid w:val="009948DD"/>
    <w:rsid w:val="0099771D"/>
    <w:rsid w:val="009A1127"/>
    <w:rsid w:val="009A2571"/>
    <w:rsid w:val="009A4CCC"/>
    <w:rsid w:val="009C1470"/>
    <w:rsid w:val="009C1C3A"/>
    <w:rsid w:val="009D200D"/>
    <w:rsid w:val="009D751B"/>
    <w:rsid w:val="009E0C99"/>
    <w:rsid w:val="009E3C0F"/>
    <w:rsid w:val="009E4B94"/>
    <w:rsid w:val="009E5D04"/>
    <w:rsid w:val="009F18F2"/>
    <w:rsid w:val="009F533A"/>
    <w:rsid w:val="009F53D4"/>
    <w:rsid w:val="00A001EC"/>
    <w:rsid w:val="00A02E38"/>
    <w:rsid w:val="00A231CB"/>
    <w:rsid w:val="00A239DF"/>
    <w:rsid w:val="00A262CF"/>
    <w:rsid w:val="00A30808"/>
    <w:rsid w:val="00A34E09"/>
    <w:rsid w:val="00A521FC"/>
    <w:rsid w:val="00A5338B"/>
    <w:rsid w:val="00A639C6"/>
    <w:rsid w:val="00A717C3"/>
    <w:rsid w:val="00A7777E"/>
    <w:rsid w:val="00A80544"/>
    <w:rsid w:val="00A94E01"/>
    <w:rsid w:val="00AB149E"/>
    <w:rsid w:val="00AB29A0"/>
    <w:rsid w:val="00AB3463"/>
    <w:rsid w:val="00AB5B85"/>
    <w:rsid w:val="00AC0203"/>
    <w:rsid w:val="00AC2EC3"/>
    <w:rsid w:val="00AC6BBD"/>
    <w:rsid w:val="00AD043D"/>
    <w:rsid w:val="00AD0C8A"/>
    <w:rsid w:val="00AD4231"/>
    <w:rsid w:val="00AD7AA8"/>
    <w:rsid w:val="00AE1404"/>
    <w:rsid w:val="00AF0AEB"/>
    <w:rsid w:val="00AF1D02"/>
    <w:rsid w:val="00B00D92"/>
    <w:rsid w:val="00B0779A"/>
    <w:rsid w:val="00B14DBE"/>
    <w:rsid w:val="00B16D74"/>
    <w:rsid w:val="00B230A7"/>
    <w:rsid w:val="00B304CC"/>
    <w:rsid w:val="00B31CF7"/>
    <w:rsid w:val="00B34584"/>
    <w:rsid w:val="00B3548C"/>
    <w:rsid w:val="00B421B6"/>
    <w:rsid w:val="00B430B4"/>
    <w:rsid w:val="00B47397"/>
    <w:rsid w:val="00B5082D"/>
    <w:rsid w:val="00B5346F"/>
    <w:rsid w:val="00B538A7"/>
    <w:rsid w:val="00B57AB8"/>
    <w:rsid w:val="00B62A44"/>
    <w:rsid w:val="00B64C73"/>
    <w:rsid w:val="00B6504E"/>
    <w:rsid w:val="00B72827"/>
    <w:rsid w:val="00B73A4B"/>
    <w:rsid w:val="00B748FE"/>
    <w:rsid w:val="00B75C00"/>
    <w:rsid w:val="00B77405"/>
    <w:rsid w:val="00B8752F"/>
    <w:rsid w:val="00B93904"/>
    <w:rsid w:val="00B93951"/>
    <w:rsid w:val="00B9508F"/>
    <w:rsid w:val="00B96502"/>
    <w:rsid w:val="00B96937"/>
    <w:rsid w:val="00B96D2A"/>
    <w:rsid w:val="00BA7617"/>
    <w:rsid w:val="00BB0574"/>
    <w:rsid w:val="00BB32FF"/>
    <w:rsid w:val="00BB4933"/>
    <w:rsid w:val="00BB4994"/>
    <w:rsid w:val="00BC22A9"/>
    <w:rsid w:val="00BC24ED"/>
    <w:rsid w:val="00BC590D"/>
    <w:rsid w:val="00BC70E8"/>
    <w:rsid w:val="00BD11E4"/>
    <w:rsid w:val="00BD15C4"/>
    <w:rsid w:val="00BD1F06"/>
    <w:rsid w:val="00BE0D73"/>
    <w:rsid w:val="00BE5484"/>
    <w:rsid w:val="00BE7786"/>
    <w:rsid w:val="00BF6A03"/>
    <w:rsid w:val="00BF71F9"/>
    <w:rsid w:val="00C01A92"/>
    <w:rsid w:val="00C028D1"/>
    <w:rsid w:val="00C12BEB"/>
    <w:rsid w:val="00C13611"/>
    <w:rsid w:val="00C16AB4"/>
    <w:rsid w:val="00C173F9"/>
    <w:rsid w:val="00C2169F"/>
    <w:rsid w:val="00C217E3"/>
    <w:rsid w:val="00C2782C"/>
    <w:rsid w:val="00C310A8"/>
    <w:rsid w:val="00C31791"/>
    <w:rsid w:val="00C352B4"/>
    <w:rsid w:val="00C452CB"/>
    <w:rsid w:val="00C45EEB"/>
    <w:rsid w:val="00C51167"/>
    <w:rsid w:val="00C51C20"/>
    <w:rsid w:val="00C5548F"/>
    <w:rsid w:val="00C55BCA"/>
    <w:rsid w:val="00C56D27"/>
    <w:rsid w:val="00C57AF9"/>
    <w:rsid w:val="00C605DF"/>
    <w:rsid w:val="00C60F92"/>
    <w:rsid w:val="00C62DBD"/>
    <w:rsid w:val="00C71C8E"/>
    <w:rsid w:val="00C74112"/>
    <w:rsid w:val="00C759C8"/>
    <w:rsid w:val="00C77016"/>
    <w:rsid w:val="00C77747"/>
    <w:rsid w:val="00C77FCF"/>
    <w:rsid w:val="00C815E2"/>
    <w:rsid w:val="00C83665"/>
    <w:rsid w:val="00C86D85"/>
    <w:rsid w:val="00C91AD4"/>
    <w:rsid w:val="00C932D9"/>
    <w:rsid w:val="00C96C37"/>
    <w:rsid w:val="00CA09A0"/>
    <w:rsid w:val="00CA3890"/>
    <w:rsid w:val="00CA4A5C"/>
    <w:rsid w:val="00CA4E31"/>
    <w:rsid w:val="00CA61D4"/>
    <w:rsid w:val="00CB0796"/>
    <w:rsid w:val="00CB1C0D"/>
    <w:rsid w:val="00CB2114"/>
    <w:rsid w:val="00CB2CD8"/>
    <w:rsid w:val="00CB33DF"/>
    <w:rsid w:val="00CB4768"/>
    <w:rsid w:val="00CC0BE2"/>
    <w:rsid w:val="00CC342E"/>
    <w:rsid w:val="00CC6322"/>
    <w:rsid w:val="00CD5714"/>
    <w:rsid w:val="00CE262C"/>
    <w:rsid w:val="00CE5C53"/>
    <w:rsid w:val="00CF3BF7"/>
    <w:rsid w:val="00CF6F42"/>
    <w:rsid w:val="00CF73BA"/>
    <w:rsid w:val="00D02E59"/>
    <w:rsid w:val="00D0360E"/>
    <w:rsid w:val="00D0375D"/>
    <w:rsid w:val="00D04E9C"/>
    <w:rsid w:val="00D110E7"/>
    <w:rsid w:val="00D12739"/>
    <w:rsid w:val="00D1316F"/>
    <w:rsid w:val="00D136BB"/>
    <w:rsid w:val="00D243BB"/>
    <w:rsid w:val="00D25783"/>
    <w:rsid w:val="00D25933"/>
    <w:rsid w:val="00D304C7"/>
    <w:rsid w:val="00D31AA4"/>
    <w:rsid w:val="00D362A7"/>
    <w:rsid w:val="00D3786F"/>
    <w:rsid w:val="00D4123A"/>
    <w:rsid w:val="00D42FEE"/>
    <w:rsid w:val="00D430F2"/>
    <w:rsid w:val="00D43779"/>
    <w:rsid w:val="00D43A38"/>
    <w:rsid w:val="00D47687"/>
    <w:rsid w:val="00D66542"/>
    <w:rsid w:val="00D66E2C"/>
    <w:rsid w:val="00D74803"/>
    <w:rsid w:val="00D74F67"/>
    <w:rsid w:val="00D81B7B"/>
    <w:rsid w:val="00D84A2B"/>
    <w:rsid w:val="00D95EB5"/>
    <w:rsid w:val="00D96141"/>
    <w:rsid w:val="00DA0A4E"/>
    <w:rsid w:val="00DA3D4A"/>
    <w:rsid w:val="00DA699C"/>
    <w:rsid w:val="00DB31AF"/>
    <w:rsid w:val="00DB4D06"/>
    <w:rsid w:val="00DB6445"/>
    <w:rsid w:val="00DB6E2D"/>
    <w:rsid w:val="00DB743D"/>
    <w:rsid w:val="00DC2653"/>
    <w:rsid w:val="00DC2AB9"/>
    <w:rsid w:val="00DC38FB"/>
    <w:rsid w:val="00DD4A74"/>
    <w:rsid w:val="00DD62C2"/>
    <w:rsid w:val="00DE2B28"/>
    <w:rsid w:val="00DE323B"/>
    <w:rsid w:val="00DF0E45"/>
    <w:rsid w:val="00DF207D"/>
    <w:rsid w:val="00DF30B0"/>
    <w:rsid w:val="00DF38E2"/>
    <w:rsid w:val="00DF4692"/>
    <w:rsid w:val="00E0091F"/>
    <w:rsid w:val="00E01B80"/>
    <w:rsid w:val="00E022D6"/>
    <w:rsid w:val="00E05FF2"/>
    <w:rsid w:val="00E063A4"/>
    <w:rsid w:val="00E073AE"/>
    <w:rsid w:val="00E1041E"/>
    <w:rsid w:val="00E10668"/>
    <w:rsid w:val="00E13E84"/>
    <w:rsid w:val="00E13F68"/>
    <w:rsid w:val="00E1438D"/>
    <w:rsid w:val="00E159AD"/>
    <w:rsid w:val="00E24463"/>
    <w:rsid w:val="00E26493"/>
    <w:rsid w:val="00E27E0A"/>
    <w:rsid w:val="00E3117F"/>
    <w:rsid w:val="00E3179F"/>
    <w:rsid w:val="00E370C3"/>
    <w:rsid w:val="00E434D1"/>
    <w:rsid w:val="00E4398A"/>
    <w:rsid w:val="00E46776"/>
    <w:rsid w:val="00E47932"/>
    <w:rsid w:val="00E50FA3"/>
    <w:rsid w:val="00E542BE"/>
    <w:rsid w:val="00E61EDC"/>
    <w:rsid w:val="00E64A82"/>
    <w:rsid w:val="00E66240"/>
    <w:rsid w:val="00E67AAC"/>
    <w:rsid w:val="00E746C2"/>
    <w:rsid w:val="00E7570A"/>
    <w:rsid w:val="00E75D62"/>
    <w:rsid w:val="00E75ED1"/>
    <w:rsid w:val="00E77302"/>
    <w:rsid w:val="00EA1372"/>
    <w:rsid w:val="00EA41A6"/>
    <w:rsid w:val="00EA6B2D"/>
    <w:rsid w:val="00EB603A"/>
    <w:rsid w:val="00EC7A3B"/>
    <w:rsid w:val="00ED7096"/>
    <w:rsid w:val="00EE4418"/>
    <w:rsid w:val="00EE4C34"/>
    <w:rsid w:val="00EE4ECF"/>
    <w:rsid w:val="00EE4F7C"/>
    <w:rsid w:val="00EF0F9B"/>
    <w:rsid w:val="00EF2AD8"/>
    <w:rsid w:val="00EF55B3"/>
    <w:rsid w:val="00EF6A4C"/>
    <w:rsid w:val="00F002D7"/>
    <w:rsid w:val="00F01990"/>
    <w:rsid w:val="00F02846"/>
    <w:rsid w:val="00F05EEC"/>
    <w:rsid w:val="00F06AD6"/>
    <w:rsid w:val="00F10636"/>
    <w:rsid w:val="00F12DDB"/>
    <w:rsid w:val="00F23AA3"/>
    <w:rsid w:val="00F259DB"/>
    <w:rsid w:val="00F26552"/>
    <w:rsid w:val="00F2770A"/>
    <w:rsid w:val="00F34E84"/>
    <w:rsid w:val="00F35583"/>
    <w:rsid w:val="00F37F63"/>
    <w:rsid w:val="00F40BD8"/>
    <w:rsid w:val="00F45445"/>
    <w:rsid w:val="00F470D4"/>
    <w:rsid w:val="00F47B09"/>
    <w:rsid w:val="00F52064"/>
    <w:rsid w:val="00F540A8"/>
    <w:rsid w:val="00F55368"/>
    <w:rsid w:val="00F6027B"/>
    <w:rsid w:val="00F63834"/>
    <w:rsid w:val="00F63A37"/>
    <w:rsid w:val="00F6634B"/>
    <w:rsid w:val="00F70126"/>
    <w:rsid w:val="00F715B9"/>
    <w:rsid w:val="00F7648E"/>
    <w:rsid w:val="00F77757"/>
    <w:rsid w:val="00F843FE"/>
    <w:rsid w:val="00F92886"/>
    <w:rsid w:val="00F94967"/>
    <w:rsid w:val="00F94EBF"/>
    <w:rsid w:val="00FA103A"/>
    <w:rsid w:val="00FA17EE"/>
    <w:rsid w:val="00FA6475"/>
    <w:rsid w:val="00FA6AE3"/>
    <w:rsid w:val="00FB0093"/>
    <w:rsid w:val="00FB1FE9"/>
    <w:rsid w:val="00FB5A5B"/>
    <w:rsid w:val="00FC1531"/>
    <w:rsid w:val="00FC4E3D"/>
    <w:rsid w:val="00FC511D"/>
    <w:rsid w:val="00FC6B3E"/>
    <w:rsid w:val="00FC7F59"/>
    <w:rsid w:val="00FD194F"/>
    <w:rsid w:val="00FD2A2E"/>
    <w:rsid w:val="00FD43A4"/>
    <w:rsid w:val="00FD4ADA"/>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character" w:styleId="Kommentarhenvisning">
    <w:name w:val="annotation reference"/>
    <w:basedOn w:val="Standardskrifttypeiafsnit"/>
    <w:uiPriority w:val="99"/>
    <w:semiHidden/>
    <w:rsid w:val="00C51C20"/>
    <w:rPr>
      <w:sz w:val="16"/>
      <w:szCs w:val="16"/>
    </w:rPr>
  </w:style>
  <w:style w:type="paragraph" w:styleId="Kommentartekst">
    <w:name w:val="annotation text"/>
    <w:basedOn w:val="Normal"/>
    <w:link w:val="KommentartekstTegn"/>
    <w:uiPriority w:val="99"/>
    <w:semiHidden/>
    <w:rsid w:val="00C51C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1C20"/>
    <w:rPr>
      <w:rFonts w:ascii="Garamond" w:hAnsi="Garamond"/>
      <w:sz w:val="20"/>
      <w:szCs w:val="20"/>
    </w:rPr>
  </w:style>
  <w:style w:type="paragraph" w:styleId="Kommentaremne">
    <w:name w:val="annotation subject"/>
    <w:basedOn w:val="Kommentartekst"/>
    <w:next w:val="Kommentartekst"/>
    <w:link w:val="KommentaremneTegn"/>
    <w:uiPriority w:val="99"/>
    <w:semiHidden/>
    <w:rsid w:val="00C51C20"/>
    <w:rPr>
      <w:b/>
      <w:bCs/>
    </w:rPr>
  </w:style>
  <w:style w:type="character" w:customStyle="1" w:styleId="KommentaremneTegn">
    <w:name w:val="Kommentaremne Tegn"/>
    <w:basedOn w:val="KommentartekstTegn"/>
    <w:link w:val="Kommentaremne"/>
    <w:uiPriority w:val="99"/>
    <w:semiHidden/>
    <w:rsid w:val="00C51C20"/>
    <w:rPr>
      <w:rFonts w:ascii="Garamond" w:hAnsi="Garamond"/>
      <w:b/>
      <w:bCs/>
      <w:sz w:val="20"/>
      <w:szCs w:val="20"/>
    </w:rPr>
  </w:style>
  <w:style w:type="paragraph" w:styleId="Korrektur">
    <w:name w:val="Revision"/>
    <w:hidden/>
    <w:uiPriority w:val="99"/>
    <w:semiHidden/>
    <w:rsid w:val="00C51C20"/>
    <w:pPr>
      <w:spacing w:line="240" w:lineRule="auto"/>
    </w:pPr>
    <w:rPr>
      <w:rFonts w:ascii="Garamond" w:hAnsi="Garamond"/>
      <w:sz w:val="22"/>
    </w:rPr>
  </w:style>
  <w:style w:type="paragraph" w:styleId="Listeafsnit">
    <w:name w:val="List Paragraph"/>
    <w:basedOn w:val="Normal"/>
    <w:uiPriority w:val="99"/>
    <w:semiHidden/>
    <w:qFormat/>
    <w:rsid w:val="0044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17C78"/>
    <w:rsid w:val="000E2E27"/>
    <w:rsid w:val="001916FE"/>
    <w:rsid w:val="00193136"/>
    <w:rsid w:val="001B697B"/>
    <w:rsid w:val="001C729D"/>
    <w:rsid w:val="001F06EB"/>
    <w:rsid w:val="002B55D2"/>
    <w:rsid w:val="0033222C"/>
    <w:rsid w:val="003531BE"/>
    <w:rsid w:val="003A48B6"/>
    <w:rsid w:val="00491717"/>
    <w:rsid w:val="006D2201"/>
    <w:rsid w:val="007752DF"/>
    <w:rsid w:val="00783E9E"/>
    <w:rsid w:val="00795A2C"/>
    <w:rsid w:val="007B5A3D"/>
    <w:rsid w:val="008A5454"/>
    <w:rsid w:val="00906249"/>
    <w:rsid w:val="00995AC0"/>
    <w:rsid w:val="00B14C49"/>
    <w:rsid w:val="00B93C43"/>
    <w:rsid w:val="00C1191D"/>
    <w:rsid w:val="00C16DA7"/>
    <w:rsid w:val="00C87B39"/>
    <w:rsid w:val="00D132CD"/>
    <w:rsid w:val="00D66176"/>
    <w:rsid w:val="00EB0B7B"/>
    <w:rsid w:val="00EC1A68"/>
    <w:rsid w:val="00ED4FD6"/>
    <w:rsid w:val="00EF3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914F-2919-4B2E-AAE7-17EF22AB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4202</Words>
  <Characters>25634</Characters>
  <Application>Microsoft Office Word</Application>
  <DocSecurity>0</DocSecurity>
  <Lines>213</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2015-02-04T15:25:00Z</dcterms:created>
  <dcterms:modified xsi:type="dcterms:W3CDTF">2015-02-04T15:25:00Z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Høringsskema (DOK82974589)</vt:lpwstr>
  </property>
  <property fmtid="{D5CDD505-2E9C-101B-9397-08002B2CF9AE}" pid="4" name="path">
    <vt:lpwstr>C:\Users\w18693\AppData\Local\Temp\44\Scanjour\Captia\SJ20150204133123941 [DOK82974589].DOCX</vt:lpwstr>
  </property>
  <property fmtid="{D5CDD505-2E9C-101B-9397-08002B2CF9AE}" pid="5" name="command">
    <vt:lpwstr/>
  </property>
</Properties>
</file>