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5B4BF5" w:rsidRDefault="005B4BF5" w:rsidP="00F85217">
      <w:pPr>
        <w:rPr>
          <w:rFonts w:asciiTheme="majorHAnsi" w:hAnsiTheme="majorHAnsi" w:cstheme="majorHAnsi"/>
          <w:b/>
          <w:sz w:val="24"/>
          <w:szCs w:val="24"/>
        </w:rPr>
      </w:pPr>
      <w:r>
        <w:rPr>
          <w:rFonts w:asciiTheme="majorHAnsi" w:hAnsiTheme="majorHAnsi" w:cstheme="majorHAnsi"/>
          <w:b/>
          <w:noProof/>
          <w:sz w:val="24"/>
          <w:szCs w:val="24"/>
          <w:lang w:eastAsia="da-DK"/>
        </w:rPr>
        <mc:AlternateContent>
          <mc:Choice Requires="wps">
            <w:drawing>
              <wp:anchor distT="0" distB="0" distL="114300" distR="114300" simplePos="0" relativeHeight="251776000" behindDoc="0" locked="0" layoutInCell="1" allowOverlap="1" wp14:editId="13DECEAB">
                <wp:simplePos x="0" y="0"/>
                <wp:positionH relativeFrom="margin">
                  <wp:posOffset>-381000</wp:posOffset>
                </wp:positionH>
                <wp:positionV relativeFrom="paragraph">
                  <wp:posOffset>6350</wp:posOffset>
                </wp:positionV>
                <wp:extent cx="6810375" cy="1184275"/>
                <wp:effectExtent l="0" t="0" r="9525" b="0"/>
                <wp:wrapNone/>
                <wp:docPr id="1" name="Tekstfel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0375" cy="1184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5849" w:rsidRDefault="00E95849" w:rsidP="005B4BF5">
                            <w:pPr>
                              <w:pStyle w:val="Titel"/>
                            </w:pPr>
                            <w:r>
                              <w:t>Høringsmateriale</w:t>
                            </w:r>
                          </w:p>
                          <w:p w:rsidR="00E95849" w:rsidRPr="008006E2" w:rsidRDefault="00E95849" w:rsidP="005B4BF5">
                            <w:pPr>
                              <w:pStyle w:val="Undertitel"/>
                            </w:pPr>
                            <w:r>
                              <w:t>Register for udvalgte kroniske sygdomme (RUKS)</w:t>
                            </w:r>
                          </w:p>
                          <w:p w:rsidR="00E95849" w:rsidRPr="000E0659" w:rsidRDefault="00E95849" w:rsidP="005B4BF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1" o:spid="_x0000_s1026" type="#_x0000_t202" style="position:absolute;margin-left:-30pt;margin-top:.5pt;width:536.25pt;height:93.2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" fillcolor="white [3201]" stroked="f" strokeweight=".5pt">
                <v:path arrowok="t"/>
                <v:textbox inset="0,0,0,0">
                  <w:txbxContent>
                    <w:p w:rsidR="00E95849" w:rsidRDefault="00E95849" w:rsidP="005B4BF5">
                      <w:pPr>
                        <w:pStyle w:val="Titel"/>
                      </w:pPr>
                      <w:r>
                        <w:t>Høringsmateriale</w:t>
                      </w:r>
                    </w:p>
                    <w:p w:rsidR="00E95849" w:rsidRPr="008006E2" w:rsidRDefault="00E95849" w:rsidP="005B4BF5">
                      <w:pPr>
                        <w:pStyle w:val="Undertitel"/>
                      </w:pPr>
                      <w:r>
                        <w:t>Register for udvalgte kroniske sygdomme (RUKS)</w:t>
                      </w:r>
                    </w:p>
                    <w:p w:rsidR="00E95849" w:rsidRPr="000E0659" w:rsidRDefault="00E95849" w:rsidP="005B4BF5"/>
                  </w:txbxContent>
                </v:textbox>
                <w10:wrap anchorx="margin"/>
              </v:shape>
            </w:pict>
          </mc:Fallback>
        </mc:AlternateContent>
      </w:r>
    </w:p>
    <w:p w:rsidR="005B4BF5" w:rsidRDefault="005B4BF5" w:rsidP="00F85217">
      <w:pPr>
        <w:rPr>
          <w:rFonts w:asciiTheme="majorHAnsi" w:hAnsiTheme="majorHAnsi" w:cstheme="majorHAnsi"/>
          <w:b/>
          <w:sz w:val="24"/>
          <w:szCs w:val="24"/>
        </w:rPr>
      </w:pPr>
    </w:p>
    <w:p w:rsidR="005B4BF5" w:rsidRDefault="005B4BF5" w:rsidP="00F85217">
      <w:pPr>
        <w:rPr>
          <w:rFonts w:asciiTheme="majorHAnsi" w:hAnsiTheme="majorHAnsi" w:cstheme="majorHAnsi"/>
          <w:b/>
          <w:sz w:val="24"/>
          <w:szCs w:val="24"/>
        </w:rPr>
      </w:pPr>
    </w:p>
    <w:p w:rsidR="005B4BF5" w:rsidRDefault="005B4BF5" w:rsidP="00F85217">
      <w:pPr>
        <w:rPr>
          <w:rFonts w:asciiTheme="majorHAnsi" w:hAnsiTheme="majorHAnsi" w:cstheme="majorHAnsi"/>
          <w:b/>
          <w:sz w:val="24"/>
          <w:szCs w:val="24"/>
        </w:rPr>
      </w:pPr>
    </w:p>
    <w:p w:rsidR="005B4BF5" w:rsidRDefault="005B4BF5" w:rsidP="00F85217">
      <w:pPr>
        <w:rPr>
          <w:rFonts w:asciiTheme="majorHAnsi" w:hAnsiTheme="majorHAnsi" w:cstheme="majorHAnsi"/>
          <w:b/>
          <w:sz w:val="24"/>
          <w:szCs w:val="24"/>
        </w:rPr>
      </w:pPr>
    </w:p>
    <w:p w:rsidR="005B4BF5" w:rsidRDefault="005B4BF5" w:rsidP="00F85217">
      <w:pPr>
        <w:rPr>
          <w:rFonts w:asciiTheme="majorHAnsi" w:hAnsiTheme="majorHAnsi" w:cstheme="majorHAnsi"/>
          <w:b/>
          <w:sz w:val="24"/>
          <w:szCs w:val="24"/>
        </w:rPr>
      </w:pPr>
    </w:p>
    <w:p w:rsidR="005B4BF5" w:rsidRDefault="005B4BF5" w:rsidP="00F85217">
      <w:pPr>
        <w:rPr>
          <w:rFonts w:asciiTheme="majorHAnsi" w:hAnsiTheme="majorHAnsi" w:cstheme="majorHAnsi"/>
          <w:b/>
          <w:sz w:val="24"/>
          <w:szCs w:val="24"/>
        </w:rPr>
      </w:pPr>
    </w:p>
    <w:p w:rsidR="005B4BF5" w:rsidRDefault="0064784A" w:rsidP="00F85217">
      <w:pPr>
        <w:rPr>
          <w:rFonts w:asciiTheme="majorHAnsi" w:hAnsiTheme="majorHAnsi" w:cstheme="majorHAnsi"/>
          <w:b/>
          <w:sz w:val="24"/>
          <w:szCs w:val="24"/>
        </w:rPr>
      </w:pPr>
      <w:r>
        <w:rPr>
          <w:rFonts w:asciiTheme="majorHAnsi" w:hAnsiTheme="majorHAnsi" w:cstheme="majorHAnsi"/>
          <w:b/>
          <w:noProof/>
          <w:sz w:val="24"/>
          <w:szCs w:val="24"/>
          <w:lang w:eastAsia="da-DK"/>
        </w:rPr>
        <mc:AlternateContent>
          <mc:Choice Requires="wps">
            <w:drawing>
              <wp:anchor distT="0" distB="0" distL="114300" distR="114300" simplePos="0" relativeHeight="251777024" behindDoc="0" locked="0" layoutInCell="1" allowOverlap="1" wp14:editId="3F3EAF5A">
                <wp:simplePos x="0" y="0"/>
                <wp:positionH relativeFrom="page">
                  <wp:posOffset>6124575</wp:posOffset>
                </wp:positionH>
                <wp:positionV relativeFrom="page">
                  <wp:posOffset>3305175</wp:posOffset>
                </wp:positionV>
                <wp:extent cx="1080135" cy="4962525"/>
                <wp:effectExtent l="0" t="0" r="24765" b="28575"/>
                <wp:wrapNone/>
                <wp:docPr id="9" name="Tekstfel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0135" cy="4962525"/>
                        </a:xfrm>
                        <a:prstGeom prst="rect">
                          <a:avLst/>
                        </a:prstGeom>
                        <a:solidFill>
                          <a:schemeClr val="accen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E95849" w:rsidRPr="00FC5024" w:rsidRDefault="00E95849" w:rsidP="005B4BF5">
                            <w:pPr>
                              <w:pStyle w:val="rstal-forside"/>
                            </w:pPr>
                            <w:r>
                              <w:t>2014</w:t>
                            </w:r>
                          </w:p>
                        </w:txbxContent>
                      </wps:txbx>
                      <wps:bodyPr rot="0" spcFirstLastPara="0" vertOverflow="overflow" horzOverflow="overflow" vert="vert270" wrap="square" lIns="91440" tIns="180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9" o:spid="_x0000_s1027" type="#_x0000_t202" style="position:absolute;margin-left:482.25pt;margin-top:260.25pt;width:85.05pt;height:390.7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" fillcolor="#c70000 [3204]" strokecolor="#c70000 [3204]" strokeweight=".5pt">
                <v:path arrowok="t"/>
                <v:textbox style="layout-flow:vertical;mso-layout-flow-alt:bottom-to-top" inset=",5mm">
                  <w:txbxContent>
                    <w:p w:rsidR="00E95849" w:rsidRPr="00FC5024" w:rsidRDefault="00E95849" w:rsidP="005B4BF5">
                      <w:pPr>
                        <w:pStyle w:val="rstal-forside"/>
                      </w:pPr>
                      <w:r>
                        <w:t>2014</w:t>
                      </w:r>
                    </w:p>
                  </w:txbxContent>
                </v:textbox>
                <w10:wrap anchorx="page" anchory="page"/>
              </v:shape>
            </w:pict>
          </mc:Fallback>
        </mc:AlternateContent>
      </w:r>
      <w:r w:rsidR="00030E65">
        <w:rPr>
          <w:rFonts w:asciiTheme="majorHAnsi" w:hAnsiTheme="majorHAnsi" w:cstheme="majorHAnsi"/>
          <w:b/>
          <w:noProof/>
          <w:sz w:val="24"/>
          <w:szCs w:val="24"/>
          <w:lang w:eastAsia="da-DK"/>
        </w:rPr>
        <w:drawing>
          <wp:inline distT="0" distB="0" distL="0" distR="0" wp14:anchorId="6F6880BA" wp14:editId="631C975F">
            <wp:extent cx="6486525" cy="4982845"/>
            <wp:effectExtent l="0" t="0" r="9525" b="8255"/>
            <wp:docPr id="176" name="Billed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farvede folk.png"/>
                    <pic:cNvPicPr/>
                  </pic:nvPicPr>
                  <pic:blipFill>
                    <a:blip r:embed="rId8">
                      <a:extLst>
                        <a:ext uri="{28A0092B-C50C-407E-A947-70E740481C1C}">
                          <a14:useLocalDpi xmlns:a14="http://schemas.microsoft.com/office/drawing/2010/main" val="0"/>
                        </a:ext>
                      </a:extLst>
                    </a:blip>
                    <a:stretch>
                      <a:fillRect/>
                    </a:stretch>
                  </pic:blipFill>
                  <pic:spPr>
                    <a:xfrm>
                      <a:off x="0" y="0"/>
                      <a:ext cx="6486525" cy="4982845"/>
                    </a:xfrm>
                    <a:prstGeom prst="rect">
                      <a:avLst/>
                    </a:prstGeom>
                  </pic:spPr>
                </pic:pic>
              </a:graphicData>
            </a:graphic>
          </wp:inline>
        </w:drawing>
      </w:r>
    </w:p>
    <w:p w:rsidR="005B4BF5" w:rsidRDefault="00BC116C" w:rsidP="00F85217">
      <w:pPr>
        <w:rPr>
          <w:rFonts w:asciiTheme="majorHAnsi" w:hAnsiTheme="majorHAnsi" w:cstheme="majorHAnsi"/>
          <w:b/>
          <w:sz w:val="24"/>
          <w:szCs w:val="24"/>
        </w:rPr>
      </w:pPr>
      <w:r>
        <w:rPr>
          <w:rFonts w:asciiTheme="majorHAnsi" w:hAnsiTheme="majorHAnsi" w:cstheme="majorHAnsi"/>
          <w:b/>
          <w:noProof/>
          <w:sz w:val="24"/>
          <w:szCs w:val="24"/>
          <w:lang w:eastAsia="da-DK"/>
        </w:rPr>
        <mc:AlternateContent>
          <mc:Choice Requires="wps">
            <w:drawing>
              <wp:anchor distT="0" distB="0" distL="114300" distR="114300" simplePos="0" relativeHeight="251778048" behindDoc="0" locked="0" layoutInCell="1" allowOverlap="1" wp14:editId="0181FC16">
                <wp:simplePos x="0" y="0"/>
                <wp:positionH relativeFrom="margin">
                  <wp:align>left</wp:align>
                </wp:positionH>
                <wp:positionV relativeFrom="page">
                  <wp:posOffset>8458200</wp:posOffset>
                </wp:positionV>
                <wp:extent cx="6478270" cy="1871980"/>
                <wp:effectExtent l="0" t="0" r="0" b="0"/>
                <wp:wrapNone/>
                <wp:docPr id="177" name="Rektangel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8270" cy="1871980"/>
                        </a:xfrm>
                        <a:prstGeom prst="rect">
                          <a:avLst/>
                        </a:prstGeom>
                        <a:gradFill>
                          <a:gsLst>
                            <a:gs pos="0">
                              <a:schemeClr val="bg2"/>
                            </a:gs>
                            <a:gs pos="23000">
                              <a:schemeClr val="bg2">
                                <a:lumMod val="75000"/>
                              </a:schemeClr>
                            </a:gs>
                            <a:gs pos="100000">
                              <a:schemeClr val="bg2">
                                <a:lumMod val="50000"/>
                              </a:schemeClr>
                            </a:gs>
                          </a:gsLst>
                          <a:lin ang="5400000" scaled="0"/>
                        </a:gradFill>
                        <a:ln>
                          <a:no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18940" id="Rektangel 177" o:spid="_x0000_s1026" style="position:absolute;margin-left:0;margin-top:666pt;width:510.1pt;height:147.4pt;z-index:25177804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" fillcolor="#d9dfe2 [3214]" stroked="f" strokeweight="2pt">
                <v:fill color2="#5f737c [1614]" colors="0 #d9dfe2;15073f #9aaab2;1 #60747e" focus="100%" type="gradient">
                  <o:fill v:ext="view" type="gradientUnscaled"/>
                </v:fill>
                <v:path arrowok="t"/>
                <w10:wrap anchorx="margin" anchory="page"/>
              </v:rect>
            </w:pict>
          </mc:Fallback>
        </mc:AlternateContent>
      </w:r>
    </w:p>
    <w:p w:rsidR="005B4BF5" w:rsidRDefault="005B4BF5" w:rsidP="00F85217">
      <w:pPr>
        <w:rPr>
          <w:rFonts w:asciiTheme="majorHAnsi" w:hAnsiTheme="majorHAnsi" w:cstheme="majorHAnsi"/>
          <w:b/>
          <w:sz w:val="24"/>
          <w:szCs w:val="24"/>
        </w:rPr>
      </w:pPr>
    </w:p>
    <w:p w:rsidR="005B4BF5" w:rsidRDefault="005B4BF5" w:rsidP="00F85217">
      <w:pPr>
        <w:rPr>
          <w:rFonts w:asciiTheme="majorHAnsi" w:hAnsiTheme="majorHAnsi" w:cstheme="majorHAnsi"/>
          <w:b/>
          <w:sz w:val="24"/>
          <w:szCs w:val="24"/>
        </w:rPr>
      </w:pPr>
    </w:p>
    <w:p w:rsidR="005B4BF5" w:rsidRDefault="005B4BF5" w:rsidP="00F85217">
      <w:pPr>
        <w:rPr>
          <w:rFonts w:asciiTheme="majorHAnsi" w:hAnsiTheme="majorHAnsi" w:cstheme="majorHAnsi"/>
          <w:b/>
          <w:sz w:val="24"/>
          <w:szCs w:val="24"/>
        </w:rPr>
      </w:pPr>
    </w:p>
    <w:p w:rsidR="005B4BF5" w:rsidRDefault="005B4BF5" w:rsidP="00F85217">
      <w:pPr>
        <w:rPr>
          <w:rFonts w:asciiTheme="majorHAnsi" w:hAnsiTheme="majorHAnsi" w:cstheme="majorHAnsi"/>
          <w:b/>
          <w:sz w:val="24"/>
          <w:szCs w:val="24"/>
        </w:rPr>
      </w:pPr>
    </w:p>
    <w:p w:rsidR="005B4BF5" w:rsidRDefault="005B4BF5" w:rsidP="00F85217">
      <w:pPr>
        <w:rPr>
          <w:rFonts w:asciiTheme="majorHAnsi" w:hAnsiTheme="majorHAnsi" w:cstheme="majorHAnsi"/>
          <w:b/>
          <w:sz w:val="24"/>
          <w:szCs w:val="24"/>
        </w:rPr>
      </w:pPr>
    </w:p>
    <w:p w:rsidR="00461C93" w:rsidRDefault="00461C93" w:rsidP="00F85217">
      <w:pPr>
        <w:rPr>
          <w:rFonts w:asciiTheme="majorHAnsi" w:hAnsiTheme="majorHAnsi" w:cstheme="majorHAnsi"/>
          <w:b/>
          <w:sz w:val="24"/>
          <w:szCs w:val="24"/>
        </w:rPr>
      </w:pPr>
    </w:p>
    <w:p w:rsidR="001E461C" w:rsidRPr="002D5E1B" w:rsidRDefault="001E461C" w:rsidP="00F85217">
      <w:pPr>
        <w:rPr>
          <w:rFonts w:asciiTheme="majorHAnsi" w:hAnsiTheme="majorHAnsi" w:cstheme="majorHAnsi"/>
          <w:szCs w:val="20"/>
        </w:rPr>
      </w:pPr>
      <w:r w:rsidRPr="002D5E1B">
        <w:rPr>
          <w:rFonts w:asciiTheme="majorHAnsi" w:hAnsiTheme="majorHAnsi" w:cstheme="majorHAnsi"/>
          <w:b/>
          <w:szCs w:val="20"/>
        </w:rPr>
        <w:lastRenderedPageBreak/>
        <w:t>Indledning</w:t>
      </w:r>
    </w:p>
    <w:p w:rsidR="00F85217" w:rsidRPr="002D5E1B" w:rsidRDefault="00F85217" w:rsidP="00F85217">
      <w:pPr>
        <w:rPr>
          <w:szCs w:val="20"/>
        </w:rPr>
      </w:pPr>
    </w:p>
    <w:p w:rsidR="00DE5263" w:rsidRPr="002D5E1B" w:rsidRDefault="00DE5263" w:rsidP="00DE5263">
      <w:pPr>
        <w:spacing w:line="240" w:lineRule="auto"/>
        <w:rPr>
          <w:rFonts w:ascii="Arial" w:hAnsi="Arial" w:cs="Arial"/>
          <w:szCs w:val="20"/>
        </w:rPr>
      </w:pPr>
      <w:r w:rsidRPr="002D5E1B">
        <w:rPr>
          <w:rFonts w:ascii="Arial" w:hAnsi="Arial" w:cs="Arial"/>
          <w:szCs w:val="20"/>
        </w:rPr>
        <w:t xml:space="preserve">Der er et stigende fokus på kroniske sygdomme og effekterne heraf. Flere danskere er gennem de seneste år diagnosticeret med kroniske sygdomme. Antallet af borgere med kronisk sygdom forventes endvidere at stige i de kommende år. Samtidig lever flere længere med deres kroniske sygdom i takt med bedre muligheder for diagnostik og behandling. </w:t>
      </w:r>
    </w:p>
    <w:p w:rsidR="00DE5263" w:rsidRPr="002D5E1B" w:rsidRDefault="00DE5263" w:rsidP="00DE5263">
      <w:pPr>
        <w:spacing w:line="240" w:lineRule="auto"/>
        <w:rPr>
          <w:rFonts w:ascii="Arial" w:hAnsi="Arial" w:cs="Arial"/>
          <w:szCs w:val="20"/>
        </w:rPr>
      </w:pPr>
    </w:p>
    <w:p w:rsidR="00DE5263" w:rsidRPr="002D5E1B" w:rsidRDefault="00DE5263" w:rsidP="00DE5263">
      <w:pPr>
        <w:autoSpaceDE w:val="0"/>
        <w:autoSpaceDN w:val="0"/>
        <w:adjustRightInd w:val="0"/>
        <w:spacing w:line="240" w:lineRule="auto"/>
        <w:rPr>
          <w:rFonts w:ascii="Arial" w:hAnsi="Arial" w:cs="Arial"/>
          <w:szCs w:val="20"/>
        </w:rPr>
      </w:pPr>
      <w:r w:rsidRPr="002D5E1B">
        <w:rPr>
          <w:rFonts w:ascii="Arial" w:hAnsi="Arial" w:cs="Arial"/>
          <w:szCs w:val="20"/>
        </w:rPr>
        <w:t>Udviklingen medfører et stigende ressourcepres på sundhedsvæsenet, da borgere med kroniske sygdomme oftere benytter sundhedsvæsenet end andre. Samtidig kræver kroniske sygdomme typisk behandlingsforløb på tværs af sektorgrænser og faggrupper, og kompleksiteten øges yderligere blandt borgere</w:t>
      </w:r>
      <w:r w:rsidR="00122C3A" w:rsidRPr="002D5E1B">
        <w:rPr>
          <w:rFonts w:ascii="Arial" w:hAnsi="Arial" w:cs="Arial"/>
          <w:szCs w:val="20"/>
        </w:rPr>
        <w:t>, der har flere kroniske sygdomme samtidigt</w:t>
      </w:r>
      <w:r w:rsidRPr="002D5E1B">
        <w:rPr>
          <w:rFonts w:ascii="Arial" w:hAnsi="Arial" w:cs="Arial"/>
          <w:szCs w:val="20"/>
        </w:rPr>
        <w:t xml:space="preserve">. Der er således i stigende grad behov for at opnå en viden om bl.a. forekomsten, de aktivitetsmæssige </w:t>
      </w:r>
      <w:r w:rsidR="00BE497D">
        <w:rPr>
          <w:rFonts w:ascii="Arial" w:hAnsi="Arial" w:cs="Arial"/>
          <w:szCs w:val="20"/>
        </w:rPr>
        <w:t>og udgiftsmæssige konsekvenser</w:t>
      </w:r>
      <w:r w:rsidRPr="002D5E1B">
        <w:rPr>
          <w:rFonts w:ascii="Arial" w:hAnsi="Arial" w:cs="Arial"/>
          <w:szCs w:val="20"/>
        </w:rPr>
        <w:t xml:space="preserve"> af kroniske sygdomme på tværs af sundheds</w:t>
      </w:r>
      <w:r w:rsidRPr="002D5E1B">
        <w:rPr>
          <w:rFonts w:ascii="Arial" w:hAnsi="Arial" w:cs="Arial"/>
          <w:szCs w:val="20"/>
        </w:rPr>
        <w:softHyphen/>
        <w:t xml:space="preserve">væsenet, men også om kvaliteten og omkostningseffektiviteten - ikke mindst i de samlede patientforløb for de enkelte kroniske sygdomme. </w:t>
      </w:r>
    </w:p>
    <w:p w:rsidR="00DE5263" w:rsidRPr="002D5E1B" w:rsidRDefault="00DE5263" w:rsidP="00DE5263">
      <w:pPr>
        <w:autoSpaceDE w:val="0"/>
        <w:autoSpaceDN w:val="0"/>
        <w:adjustRightInd w:val="0"/>
        <w:spacing w:line="240" w:lineRule="auto"/>
        <w:rPr>
          <w:rFonts w:ascii="Arial" w:hAnsi="Arial" w:cs="Arial"/>
          <w:szCs w:val="20"/>
        </w:rPr>
      </w:pPr>
    </w:p>
    <w:p w:rsidR="00DE5263" w:rsidRPr="002D5E1B" w:rsidRDefault="00DE5263" w:rsidP="00DE5263">
      <w:pPr>
        <w:autoSpaceDE w:val="0"/>
        <w:autoSpaceDN w:val="0"/>
        <w:adjustRightInd w:val="0"/>
        <w:spacing w:line="240" w:lineRule="auto"/>
        <w:rPr>
          <w:rFonts w:ascii="Arial" w:hAnsi="Arial" w:cs="Arial"/>
          <w:szCs w:val="20"/>
        </w:rPr>
      </w:pPr>
      <w:r w:rsidRPr="002D5E1B">
        <w:rPr>
          <w:rFonts w:ascii="Arial" w:hAnsi="Arial" w:cs="Arial"/>
          <w:szCs w:val="20"/>
        </w:rPr>
        <w:t xml:space="preserve">En registerbaseret opgørelse af udvalgte kroniske sygdomme har endvidere til formål at bidrage til viden om sundhedsvæsenets resultater. </w:t>
      </w:r>
      <w:r w:rsidRPr="002D5E1B">
        <w:rPr>
          <w:rFonts w:ascii="MetroSerif" w:hAnsi="MetroSerif" w:cs="MetroSerif"/>
          <w:szCs w:val="20"/>
        </w:rPr>
        <w:t xml:space="preserve"> </w:t>
      </w:r>
      <w:r w:rsidRPr="002D5E1B">
        <w:rPr>
          <w:rFonts w:ascii="Arial" w:hAnsi="Arial" w:cs="Arial"/>
          <w:szCs w:val="20"/>
        </w:rPr>
        <w:t xml:space="preserve">Åbenhed om resultater og kvalitet er en integreret del af styrings- og ledelsesdagsordenen – både på nationalt, regionalt og kommunalt niveau. Gennemsigtighed og systematisk sammenligning af resultater er centralt for at udbrede bedste praksis, vurdere fremdrift og for at opnå mere sundhed for pengene. </w:t>
      </w:r>
    </w:p>
    <w:p w:rsidR="00DE5263" w:rsidRPr="002D5E1B" w:rsidRDefault="00DE5263" w:rsidP="00DE5263">
      <w:pPr>
        <w:autoSpaceDE w:val="0"/>
        <w:autoSpaceDN w:val="0"/>
        <w:adjustRightInd w:val="0"/>
        <w:spacing w:line="240" w:lineRule="auto"/>
        <w:rPr>
          <w:rFonts w:ascii="Arial" w:hAnsi="Arial" w:cs="Arial"/>
          <w:szCs w:val="20"/>
        </w:rPr>
      </w:pPr>
    </w:p>
    <w:p w:rsidR="00DE5263" w:rsidRPr="002D5E1B" w:rsidRDefault="00DE5263" w:rsidP="00DE5263">
      <w:pPr>
        <w:autoSpaceDE w:val="0"/>
        <w:autoSpaceDN w:val="0"/>
        <w:adjustRightInd w:val="0"/>
        <w:spacing w:line="240" w:lineRule="auto"/>
        <w:rPr>
          <w:rFonts w:ascii="Arial" w:hAnsi="Arial" w:cs="Arial"/>
          <w:szCs w:val="20"/>
        </w:rPr>
      </w:pPr>
      <w:r w:rsidRPr="002D5E1B">
        <w:rPr>
          <w:rFonts w:ascii="Arial" w:hAnsi="Arial" w:cs="Arial"/>
          <w:szCs w:val="20"/>
        </w:rPr>
        <w:t>En registerbaseret opgørelse har således f</w:t>
      </w:r>
      <w:r w:rsidR="00E13AD7" w:rsidRPr="002D5E1B">
        <w:rPr>
          <w:rFonts w:ascii="Arial" w:hAnsi="Arial" w:cs="Arial"/>
          <w:szCs w:val="20"/>
        </w:rPr>
        <w:t>lere statistiske</w:t>
      </w:r>
      <w:r w:rsidRPr="002D5E1B">
        <w:rPr>
          <w:rFonts w:ascii="Arial" w:hAnsi="Arial" w:cs="Arial"/>
          <w:szCs w:val="20"/>
        </w:rPr>
        <w:t xml:space="preserve"> og planlægningsmæssige formål.</w:t>
      </w:r>
    </w:p>
    <w:p w:rsidR="003235B5" w:rsidRPr="002D5E1B" w:rsidRDefault="003235B5" w:rsidP="00DE5263">
      <w:pPr>
        <w:autoSpaceDE w:val="0"/>
        <w:autoSpaceDN w:val="0"/>
        <w:adjustRightInd w:val="0"/>
        <w:spacing w:line="240" w:lineRule="auto"/>
        <w:rPr>
          <w:rFonts w:ascii="Arial" w:hAnsi="Arial" w:cs="Arial"/>
          <w:szCs w:val="20"/>
        </w:rPr>
      </w:pPr>
    </w:p>
    <w:p w:rsidR="003235B5" w:rsidRDefault="003235B5" w:rsidP="00DE5263">
      <w:pPr>
        <w:autoSpaceDE w:val="0"/>
        <w:autoSpaceDN w:val="0"/>
        <w:adjustRightInd w:val="0"/>
        <w:spacing w:line="240" w:lineRule="auto"/>
        <w:rPr>
          <w:rFonts w:ascii="Arial" w:hAnsi="Arial" w:cs="Arial"/>
          <w:sz w:val="22"/>
        </w:rPr>
      </w:pPr>
    </w:p>
    <w:p w:rsidR="003235B5" w:rsidRDefault="003235B5" w:rsidP="00DE5263">
      <w:pPr>
        <w:autoSpaceDE w:val="0"/>
        <w:autoSpaceDN w:val="0"/>
        <w:adjustRightInd w:val="0"/>
        <w:spacing w:line="240" w:lineRule="auto"/>
        <w:rPr>
          <w:rFonts w:ascii="Arial" w:hAnsi="Arial" w:cs="Arial"/>
          <w:sz w:val="22"/>
        </w:rPr>
      </w:pPr>
    </w:p>
    <w:p w:rsidR="003235B5" w:rsidRDefault="003235B5" w:rsidP="00DE5263">
      <w:pPr>
        <w:autoSpaceDE w:val="0"/>
        <w:autoSpaceDN w:val="0"/>
        <w:adjustRightInd w:val="0"/>
        <w:spacing w:line="240" w:lineRule="auto"/>
        <w:rPr>
          <w:rFonts w:ascii="Arial" w:hAnsi="Arial" w:cs="Arial"/>
          <w:sz w:val="22"/>
        </w:rPr>
      </w:pPr>
    </w:p>
    <w:p w:rsidR="003235B5" w:rsidRDefault="003235B5" w:rsidP="00DE5263">
      <w:pPr>
        <w:autoSpaceDE w:val="0"/>
        <w:autoSpaceDN w:val="0"/>
        <w:adjustRightInd w:val="0"/>
        <w:spacing w:line="240" w:lineRule="auto"/>
        <w:rPr>
          <w:rFonts w:ascii="Arial" w:hAnsi="Arial" w:cs="Arial"/>
          <w:sz w:val="22"/>
        </w:rPr>
      </w:pPr>
    </w:p>
    <w:p w:rsidR="003235B5" w:rsidRDefault="003235B5" w:rsidP="00DE5263">
      <w:pPr>
        <w:autoSpaceDE w:val="0"/>
        <w:autoSpaceDN w:val="0"/>
        <w:adjustRightInd w:val="0"/>
        <w:spacing w:line="240" w:lineRule="auto"/>
        <w:rPr>
          <w:rFonts w:ascii="Arial" w:hAnsi="Arial" w:cs="Arial"/>
          <w:sz w:val="22"/>
        </w:rPr>
      </w:pPr>
    </w:p>
    <w:p w:rsidR="003235B5" w:rsidRDefault="003235B5" w:rsidP="00DE5263">
      <w:pPr>
        <w:autoSpaceDE w:val="0"/>
        <w:autoSpaceDN w:val="0"/>
        <w:adjustRightInd w:val="0"/>
        <w:spacing w:line="240" w:lineRule="auto"/>
        <w:rPr>
          <w:rFonts w:ascii="Arial" w:hAnsi="Arial" w:cs="Arial"/>
          <w:sz w:val="22"/>
        </w:rPr>
      </w:pPr>
    </w:p>
    <w:p w:rsidR="003235B5" w:rsidRDefault="003235B5" w:rsidP="00DE5263">
      <w:pPr>
        <w:autoSpaceDE w:val="0"/>
        <w:autoSpaceDN w:val="0"/>
        <w:adjustRightInd w:val="0"/>
        <w:spacing w:line="240" w:lineRule="auto"/>
        <w:rPr>
          <w:rFonts w:ascii="Arial" w:hAnsi="Arial" w:cs="Arial"/>
          <w:sz w:val="22"/>
        </w:rPr>
      </w:pPr>
    </w:p>
    <w:p w:rsidR="003235B5" w:rsidRDefault="003235B5" w:rsidP="00DE5263">
      <w:pPr>
        <w:autoSpaceDE w:val="0"/>
        <w:autoSpaceDN w:val="0"/>
        <w:adjustRightInd w:val="0"/>
        <w:spacing w:line="240" w:lineRule="auto"/>
        <w:rPr>
          <w:rFonts w:ascii="Arial" w:hAnsi="Arial" w:cs="Arial"/>
          <w:sz w:val="22"/>
        </w:rPr>
      </w:pPr>
    </w:p>
    <w:p w:rsidR="003235B5" w:rsidRDefault="003235B5" w:rsidP="00DE5263">
      <w:pPr>
        <w:autoSpaceDE w:val="0"/>
        <w:autoSpaceDN w:val="0"/>
        <w:adjustRightInd w:val="0"/>
        <w:spacing w:line="240" w:lineRule="auto"/>
        <w:rPr>
          <w:rFonts w:ascii="Arial" w:hAnsi="Arial" w:cs="Arial"/>
          <w:sz w:val="22"/>
        </w:rPr>
      </w:pPr>
    </w:p>
    <w:p w:rsidR="003235B5" w:rsidRDefault="003235B5" w:rsidP="00DE5263">
      <w:pPr>
        <w:autoSpaceDE w:val="0"/>
        <w:autoSpaceDN w:val="0"/>
        <w:adjustRightInd w:val="0"/>
        <w:spacing w:line="240" w:lineRule="auto"/>
        <w:rPr>
          <w:rFonts w:ascii="Arial" w:hAnsi="Arial" w:cs="Arial"/>
          <w:sz w:val="22"/>
        </w:rPr>
      </w:pPr>
    </w:p>
    <w:p w:rsidR="003235B5" w:rsidRDefault="003235B5" w:rsidP="00DE5263">
      <w:pPr>
        <w:autoSpaceDE w:val="0"/>
        <w:autoSpaceDN w:val="0"/>
        <w:adjustRightInd w:val="0"/>
        <w:spacing w:line="240" w:lineRule="auto"/>
        <w:rPr>
          <w:rFonts w:ascii="Arial" w:hAnsi="Arial" w:cs="Arial"/>
          <w:sz w:val="22"/>
        </w:rPr>
      </w:pPr>
    </w:p>
    <w:p w:rsidR="003235B5" w:rsidRDefault="003235B5" w:rsidP="00DE5263">
      <w:pPr>
        <w:autoSpaceDE w:val="0"/>
        <w:autoSpaceDN w:val="0"/>
        <w:adjustRightInd w:val="0"/>
        <w:spacing w:line="240" w:lineRule="auto"/>
        <w:rPr>
          <w:rFonts w:ascii="Arial" w:hAnsi="Arial" w:cs="Arial"/>
          <w:sz w:val="22"/>
        </w:rPr>
      </w:pPr>
    </w:p>
    <w:p w:rsidR="003235B5" w:rsidRDefault="003235B5" w:rsidP="00DE5263">
      <w:pPr>
        <w:autoSpaceDE w:val="0"/>
        <w:autoSpaceDN w:val="0"/>
        <w:adjustRightInd w:val="0"/>
        <w:spacing w:line="240" w:lineRule="auto"/>
        <w:rPr>
          <w:rFonts w:ascii="Arial" w:hAnsi="Arial" w:cs="Arial"/>
          <w:szCs w:val="20"/>
        </w:rPr>
      </w:pPr>
    </w:p>
    <w:p w:rsidR="002D5E1B" w:rsidRDefault="002D5E1B" w:rsidP="00DE5263">
      <w:pPr>
        <w:autoSpaceDE w:val="0"/>
        <w:autoSpaceDN w:val="0"/>
        <w:adjustRightInd w:val="0"/>
        <w:spacing w:line="240" w:lineRule="auto"/>
        <w:rPr>
          <w:rFonts w:ascii="Arial" w:hAnsi="Arial" w:cs="Arial"/>
          <w:szCs w:val="20"/>
        </w:rPr>
      </w:pPr>
    </w:p>
    <w:p w:rsidR="002D5E1B" w:rsidRDefault="002D5E1B" w:rsidP="00DE5263">
      <w:pPr>
        <w:autoSpaceDE w:val="0"/>
        <w:autoSpaceDN w:val="0"/>
        <w:adjustRightInd w:val="0"/>
        <w:spacing w:line="240" w:lineRule="auto"/>
        <w:rPr>
          <w:rFonts w:ascii="Arial" w:hAnsi="Arial" w:cs="Arial"/>
          <w:szCs w:val="20"/>
        </w:rPr>
      </w:pPr>
    </w:p>
    <w:p w:rsidR="002D5E1B" w:rsidRDefault="002D5E1B" w:rsidP="00DE5263">
      <w:pPr>
        <w:autoSpaceDE w:val="0"/>
        <w:autoSpaceDN w:val="0"/>
        <w:adjustRightInd w:val="0"/>
        <w:spacing w:line="240" w:lineRule="auto"/>
        <w:rPr>
          <w:rFonts w:ascii="Arial" w:hAnsi="Arial" w:cs="Arial"/>
          <w:szCs w:val="20"/>
        </w:rPr>
      </w:pPr>
    </w:p>
    <w:p w:rsidR="002D5E1B" w:rsidRPr="002D5E1B" w:rsidRDefault="002D5E1B" w:rsidP="00DE5263">
      <w:pPr>
        <w:autoSpaceDE w:val="0"/>
        <w:autoSpaceDN w:val="0"/>
        <w:adjustRightInd w:val="0"/>
        <w:spacing w:line="240" w:lineRule="auto"/>
        <w:rPr>
          <w:rFonts w:ascii="Arial" w:hAnsi="Arial" w:cs="Arial"/>
          <w:szCs w:val="20"/>
        </w:rPr>
      </w:pPr>
    </w:p>
    <w:p w:rsidR="003235B5" w:rsidRDefault="003235B5" w:rsidP="00DE5263">
      <w:pPr>
        <w:autoSpaceDE w:val="0"/>
        <w:autoSpaceDN w:val="0"/>
        <w:adjustRightInd w:val="0"/>
        <w:spacing w:line="240" w:lineRule="auto"/>
        <w:rPr>
          <w:rFonts w:ascii="Arial" w:hAnsi="Arial" w:cs="Arial"/>
          <w:szCs w:val="20"/>
        </w:rPr>
      </w:pPr>
    </w:p>
    <w:p w:rsidR="00DF70F4" w:rsidRDefault="00DF70F4" w:rsidP="00DE5263">
      <w:pPr>
        <w:autoSpaceDE w:val="0"/>
        <w:autoSpaceDN w:val="0"/>
        <w:adjustRightInd w:val="0"/>
        <w:spacing w:line="240" w:lineRule="auto"/>
        <w:rPr>
          <w:rFonts w:ascii="Arial" w:hAnsi="Arial" w:cs="Arial"/>
          <w:szCs w:val="20"/>
        </w:rPr>
      </w:pPr>
    </w:p>
    <w:p w:rsidR="00DF70F4" w:rsidRDefault="00DF70F4" w:rsidP="00DE5263">
      <w:pPr>
        <w:autoSpaceDE w:val="0"/>
        <w:autoSpaceDN w:val="0"/>
        <w:adjustRightInd w:val="0"/>
        <w:spacing w:line="240" w:lineRule="auto"/>
        <w:rPr>
          <w:rFonts w:ascii="Arial" w:hAnsi="Arial" w:cs="Arial"/>
          <w:szCs w:val="20"/>
        </w:rPr>
      </w:pPr>
    </w:p>
    <w:p w:rsidR="00DF70F4" w:rsidRDefault="00DF70F4" w:rsidP="00DE5263">
      <w:pPr>
        <w:autoSpaceDE w:val="0"/>
        <w:autoSpaceDN w:val="0"/>
        <w:adjustRightInd w:val="0"/>
        <w:spacing w:line="240" w:lineRule="auto"/>
        <w:rPr>
          <w:rFonts w:ascii="Arial" w:hAnsi="Arial" w:cs="Arial"/>
          <w:szCs w:val="20"/>
        </w:rPr>
      </w:pPr>
    </w:p>
    <w:p w:rsidR="00853594" w:rsidRDefault="00853594" w:rsidP="00DE5263">
      <w:pPr>
        <w:autoSpaceDE w:val="0"/>
        <w:autoSpaceDN w:val="0"/>
        <w:adjustRightInd w:val="0"/>
        <w:spacing w:line="240" w:lineRule="auto"/>
        <w:rPr>
          <w:rFonts w:ascii="Arial" w:hAnsi="Arial" w:cs="Arial"/>
          <w:szCs w:val="20"/>
        </w:rPr>
      </w:pPr>
    </w:p>
    <w:p w:rsidR="00853594" w:rsidRDefault="00853594" w:rsidP="00DE5263">
      <w:pPr>
        <w:autoSpaceDE w:val="0"/>
        <w:autoSpaceDN w:val="0"/>
        <w:adjustRightInd w:val="0"/>
        <w:spacing w:line="240" w:lineRule="auto"/>
        <w:rPr>
          <w:rFonts w:ascii="Arial" w:hAnsi="Arial" w:cs="Arial"/>
          <w:szCs w:val="20"/>
        </w:rPr>
      </w:pPr>
    </w:p>
    <w:p w:rsidR="00853594" w:rsidRDefault="00853594" w:rsidP="00DE5263">
      <w:pPr>
        <w:autoSpaceDE w:val="0"/>
        <w:autoSpaceDN w:val="0"/>
        <w:adjustRightInd w:val="0"/>
        <w:spacing w:line="240" w:lineRule="auto"/>
        <w:rPr>
          <w:rFonts w:ascii="Arial" w:hAnsi="Arial" w:cs="Arial"/>
          <w:szCs w:val="20"/>
        </w:rPr>
      </w:pPr>
    </w:p>
    <w:p w:rsidR="00853594" w:rsidRDefault="00853594" w:rsidP="00DE5263">
      <w:pPr>
        <w:autoSpaceDE w:val="0"/>
        <w:autoSpaceDN w:val="0"/>
        <w:adjustRightInd w:val="0"/>
        <w:spacing w:line="240" w:lineRule="auto"/>
        <w:rPr>
          <w:rFonts w:ascii="Arial" w:hAnsi="Arial" w:cs="Arial"/>
          <w:szCs w:val="20"/>
        </w:rPr>
      </w:pPr>
    </w:p>
    <w:p w:rsidR="00DF70F4" w:rsidRPr="002D5E1B" w:rsidRDefault="00DF70F4" w:rsidP="00DE5263">
      <w:pPr>
        <w:autoSpaceDE w:val="0"/>
        <w:autoSpaceDN w:val="0"/>
        <w:adjustRightInd w:val="0"/>
        <w:spacing w:line="240" w:lineRule="auto"/>
        <w:rPr>
          <w:rFonts w:ascii="Arial" w:hAnsi="Arial" w:cs="Arial"/>
          <w:szCs w:val="20"/>
        </w:rPr>
      </w:pPr>
    </w:p>
    <w:p w:rsidR="009336EF" w:rsidRPr="00317068" w:rsidRDefault="00317068" w:rsidP="00F85217">
      <w:pPr>
        <w:rPr>
          <w:szCs w:val="20"/>
        </w:rPr>
      </w:pPr>
      <w:r>
        <w:rPr>
          <w:szCs w:val="20"/>
        </w:rPr>
        <w:t xml:space="preserve">Statens Serum Institut, </w:t>
      </w:r>
      <w:r w:rsidR="00C039AF">
        <w:rPr>
          <w:szCs w:val="20"/>
        </w:rPr>
        <w:t xml:space="preserve">National Sundhedsdokumentation, </w:t>
      </w:r>
      <w:r>
        <w:rPr>
          <w:szCs w:val="20"/>
        </w:rPr>
        <w:t>juni 2014</w:t>
      </w:r>
    </w:p>
    <w:sdt>
      <w:sdtPr>
        <w:rPr>
          <w:rFonts w:asciiTheme="minorHAnsi" w:eastAsiaTheme="minorHAnsi" w:hAnsiTheme="minorHAnsi" w:cstheme="minorBidi"/>
          <w:b w:val="0"/>
          <w:bCs w:val="0"/>
          <w:color w:val="auto"/>
          <w:sz w:val="20"/>
          <w:szCs w:val="20"/>
        </w:rPr>
        <w:id w:val="-1316940886"/>
        <w:docPartObj>
          <w:docPartGallery w:val="Table of Contents"/>
          <w:docPartUnique/>
        </w:docPartObj>
      </w:sdtPr>
      <w:sdtEndPr/>
      <w:sdtContent>
        <w:p w:rsidR="007B1873" w:rsidRPr="005E026E" w:rsidRDefault="007B1873" w:rsidP="007B1873">
          <w:pPr>
            <w:pStyle w:val="Overskrift"/>
            <w:rPr>
              <w:b w:val="0"/>
            </w:rPr>
          </w:pPr>
          <w:r w:rsidRPr="005E026E">
            <w:rPr>
              <w:b w:val="0"/>
            </w:rPr>
            <w:t>Indhold</w:t>
          </w:r>
        </w:p>
        <w:p w:rsidR="004421B6" w:rsidRPr="004421B6" w:rsidRDefault="007B1873">
          <w:pPr>
            <w:pStyle w:val="Indholdsfortegnelse1"/>
            <w:tabs>
              <w:tab w:val="right" w:leader="dot" w:pos="9628"/>
            </w:tabs>
            <w:rPr>
              <w:noProof/>
              <w:lang w:eastAsia="da-DK"/>
            </w:rPr>
          </w:pPr>
          <w:r w:rsidRPr="005064F8">
            <w:rPr>
              <w:sz w:val="20"/>
              <w:szCs w:val="20"/>
            </w:rPr>
            <w:fldChar w:fldCharType="begin"/>
          </w:r>
          <w:r w:rsidRPr="005064F8">
            <w:rPr>
              <w:sz w:val="20"/>
              <w:szCs w:val="20"/>
            </w:rPr>
            <w:instrText xml:space="preserve"> TOC \o "1-3" \h \z \u </w:instrText>
          </w:r>
          <w:r w:rsidRPr="005064F8">
            <w:rPr>
              <w:sz w:val="20"/>
              <w:szCs w:val="20"/>
            </w:rPr>
            <w:fldChar w:fldCharType="separate"/>
          </w:r>
          <w:hyperlink w:anchor="_Toc391624641" w:history="1">
            <w:r w:rsidR="004421B6" w:rsidRPr="004421B6">
              <w:rPr>
                <w:rStyle w:val="Hyperlink"/>
                <w:rFonts w:cstheme="majorHAnsi"/>
                <w:noProof/>
              </w:rPr>
              <w:t>Baggrund</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_Toc391624641 \h </w:instrText>
            </w:r>
            <w:r w:rsidR="004421B6" w:rsidRPr="004421B6">
              <w:rPr>
                <w:noProof/>
                <w:webHidden/>
              </w:rPr>
            </w:r>
            <w:r w:rsidR="004421B6" w:rsidRPr="004421B6">
              <w:rPr>
                <w:noProof/>
                <w:webHidden/>
              </w:rPr>
              <w:fldChar w:fldCharType="separate"/>
            </w:r>
            <w:r w:rsidR="00581054">
              <w:rPr>
                <w:noProof/>
                <w:webHidden/>
              </w:rPr>
              <w:t>6</w:t>
            </w:r>
            <w:r w:rsidR="004421B6" w:rsidRPr="004421B6">
              <w:rPr>
                <w:noProof/>
                <w:webHidden/>
              </w:rPr>
              <w:fldChar w:fldCharType="end"/>
            </w:r>
          </w:hyperlink>
        </w:p>
        <w:p w:rsidR="004421B6" w:rsidRPr="004421B6" w:rsidRDefault="00581054">
          <w:pPr>
            <w:pStyle w:val="Indholdsfortegnelse1"/>
            <w:tabs>
              <w:tab w:val="right" w:leader="dot" w:pos="9628"/>
            </w:tabs>
            <w:rPr>
              <w:noProof/>
              <w:lang w:eastAsia="da-DK"/>
            </w:rPr>
          </w:pPr>
          <w:hyperlink w:anchor="_Toc391624642" w:history="1">
            <w:r w:rsidR="004421B6" w:rsidRPr="004421B6">
              <w:rPr>
                <w:rStyle w:val="Hyperlink"/>
                <w:rFonts w:cstheme="majorHAnsi"/>
                <w:noProof/>
              </w:rPr>
              <w:t>Det nye Register for Udvalgte Kroniske Sygdomme (RUKS)</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_Toc391624642 \h </w:instrText>
            </w:r>
            <w:r w:rsidR="004421B6" w:rsidRPr="004421B6">
              <w:rPr>
                <w:noProof/>
                <w:webHidden/>
              </w:rPr>
            </w:r>
            <w:r w:rsidR="004421B6" w:rsidRPr="004421B6">
              <w:rPr>
                <w:noProof/>
                <w:webHidden/>
              </w:rPr>
              <w:fldChar w:fldCharType="separate"/>
            </w:r>
            <w:r>
              <w:rPr>
                <w:noProof/>
                <w:webHidden/>
              </w:rPr>
              <w:t>6</w:t>
            </w:r>
            <w:r w:rsidR="004421B6" w:rsidRPr="004421B6">
              <w:rPr>
                <w:noProof/>
                <w:webHidden/>
              </w:rPr>
              <w:fldChar w:fldCharType="end"/>
            </w:r>
          </w:hyperlink>
        </w:p>
        <w:p w:rsidR="004421B6" w:rsidRPr="004421B6" w:rsidRDefault="00581054">
          <w:pPr>
            <w:pStyle w:val="Indholdsfortegnelse1"/>
            <w:tabs>
              <w:tab w:val="right" w:leader="dot" w:pos="9628"/>
            </w:tabs>
            <w:rPr>
              <w:noProof/>
              <w:lang w:eastAsia="da-DK"/>
            </w:rPr>
          </w:pPr>
          <w:hyperlink w:anchor="_Toc391624643" w:history="1">
            <w:r w:rsidR="004421B6" w:rsidRPr="004421B6">
              <w:rPr>
                <w:rStyle w:val="Hyperlink"/>
                <w:rFonts w:cstheme="majorHAnsi"/>
                <w:noProof/>
              </w:rPr>
              <w:t>Opbygning af beskrivelsen af de enkelte udtræksalgoritmer for kroniske sygdomme.</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_Toc391624643 \h </w:instrText>
            </w:r>
            <w:r w:rsidR="004421B6" w:rsidRPr="004421B6">
              <w:rPr>
                <w:noProof/>
                <w:webHidden/>
              </w:rPr>
            </w:r>
            <w:r w:rsidR="004421B6" w:rsidRPr="004421B6">
              <w:rPr>
                <w:noProof/>
                <w:webHidden/>
              </w:rPr>
              <w:fldChar w:fldCharType="separate"/>
            </w:r>
            <w:r>
              <w:rPr>
                <w:noProof/>
                <w:webHidden/>
              </w:rPr>
              <w:t>8</w:t>
            </w:r>
            <w:r w:rsidR="004421B6" w:rsidRPr="004421B6">
              <w:rPr>
                <w:noProof/>
                <w:webHidden/>
              </w:rPr>
              <w:fldChar w:fldCharType="end"/>
            </w:r>
          </w:hyperlink>
        </w:p>
        <w:p w:rsidR="004421B6" w:rsidRPr="004421B6" w:rsidRDefault="00581054">
          <w:pPr>
            <w:pStyle w:val="Indholdsfortegnelse1"/>
            <w:tabs>
              <w:tab w:val="right" w:leader="dot" w:pos="9628"/>
            </w:tabs>
            <w:rPr>
              <w:noProof/>
              <w:lang w:eastAsia="da-DK"/>
            </w:rPr>
          </w:pPr>
          <w:hyperlink w:anchor="_Toc391624644" w:history="1">
            <w:r w:rsidR="004421B6" w:rsidRPr="004421B6">
              <w:rPr>
                <w:rStyle w:val="Hyperlink"/>
                <w:noProof/>
              </w:rPr>
              <w:t>1. Diabetes</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_Toc391624644 \h </w:instrText>
            </w:r>
            <w:r w:rsidR="004421B6" w:rsidRPr="004421B6">
              <w:rPr>
                <w:noProof/>
                <w:webHidden/>
              </w:rPr>
            </w:r>
            <w:r w:rsidR="004421B6" w:rsidRPr="004421B6">
              <w:rPr>
                <w:noProof/>
                <w:webHidden/>
              </w:rPr>
              <w:fldChar w:fldCharType="separate"/>
            </w:r>
            <w:r>
              <w:rPr>
                <w:noProof/>
                <w:webHidden/>
              </w:rPr>
              <w:t>10</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645" w:history="1">
            <w:r w:rsidR="004421B6" w:rsidRPr="004421B6">
              <w:rPr>
                <w:rStyle w:val="Hyperlink"/>
                <w:noProof/>
              </w:rPr>
              <w:t>Årsag til udvælgelse</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_Toc391624645 \h </w:instrText>
            </w:r>
            <w:r w:rsidR="004421B6" w:rsidRPr="004421B6">
              <w:rPr>
                <w:noProof/>
                <w:webHidden/>
              </w:rPr>
            </w:r>
            <w:r w:rsidR="004421B6" w:rsidRPr="004421B6">
              <w:rPr>
                <w:noProof/>
                <w:webHidden/>
              </w:rPr>
              <w:fldChar w:fldCharType="separate"/>
            </w:r>
            <w:r>
              <w:rPr>
                <w:noProof/>
                <w:webHidden/>
              </w:rPr>
              <w:t>10</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646" w:history="1">
            <w:r w:rsidR="004421B6" w:rsidRPr="004421B6">
              <w:rPr>
                <w:rStyle w:val="Hyperlink"/>
                <w:noProof/>
              </w:rPr>
              <w:t>Rationale for udvælgelsesmetode og registre</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_Toc391624646 \h </w:instrText>
            </w:r>
            <w:r w:rsidR="004421B6" w:rsidRPr="004421B6">
              <w:rPr>
                <w:noProof/>
                <w:webHidden/>
              </w:rPr>
            </w:r>
            <w:r w:rsidR="004421B6" w:rsidRPr="004421B6">
              <w:rPr>
                <w:noProof/>
                <w:webHidden/>
              </w:rPr>
              <w:fldChar w:fldCharType="separate"/>
            </w:r>
            <w:r>
              <w:rPr>
                <w:noProof/>
                <w:webHidden/>
              </w:rPr>
              <w:t>10</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647" w:history="1">
            <w:r w:rsidR="004421B6" w:rsidRPr="004421B6">
              <w:rPr>
                <w:rStyle w:val="Hyperlink"/>
                <w:noProof/>
              </w:rPr>
              <w:t>Inklusion- og eksklusionskoder fra registre</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_Toc391624647 \h </w:instrText>
            </w:r>
            <w:r w:rsidR="004421B6" w:rsidRPr="004421B6">
              <w:rPr>
                <w:noProof/>
                <w:webHidden/>
              </w:rPr>
            </w:r>
            <w:r w:rsidR="004421B6" w:rsidRPr="004421B6">
              <w:rPr>
                <w:noProof/>
                <w:webHidden/>
              </w:rPr>
              <w:fldChar w:fldCharType="separate"/>
            </w:r>
            <w:r>
              <w:rPr>
                <w:noProof/>
                <w:webHidden/>
              </w:rPr>
              <w:t>11</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648" w:history="1">
            <w:r w:rsidR="004421B6" w:rsidRPr="004421B6">
              <w:rPr>
                <w:rStyle w:val="Hyperlink"/>
                <w:noProof/>
              </w:rPr>
              <w:t>Flowdiagram for dannelse af diabetes populationerne i RUKS pr. 1. januar 2013</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_Toc391624648 \h </w:instrText>
            </w:r>
            <w:r w:rsidR="004421B6" w:rsidRPr="004421B6">
              <w:rPr>
                <w:noProof/>
                <w:webHidden/>
              </w:rPr>
            </w:r>
            <w:r w:rsidR="004421B6" w:rsidRPr="004421B6">
              <w:rPr>
                <w:noProof/>
                <w:webHidden/>
              </w:rPr>
              <w:fldChar w:fldCharType="separate"/>
            </w:r>
            <w:r>
              <w:rPr>
                <w:noProof/>
                <w:webHidden/>
              </w:rPr>
              <w:t>12</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649" w:history="1">
            <w:r w:rsidR="004421B6" w:rsidRPr="004421B6">
              <w:rPr>
                <w:rStyle w:val="Hyperlink"/>
                <w:noProof/>
              </w:rPr>
              <w:t>Beskrivelse af den fundne population</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_Toc391624649 \h </w:instrText>
            </w:r>
            <w:r w:rsidR="004421B6" w:rsidRPr="004421B6">
              <w:rPr>
                <w:noProof/>
                <w:webHidden/>
              </w:rPr>
            </w:r>
            <w:r w:rsidR="004421B6" w:rsidRPr="004421B6">
              <w:rPr>
                <w:noProof/>
                <w:webHidden/>
              </w:rPr>
              <w:fldChar w:fldCharType="separate"/>
            </w:r>
            <w:r>
              <w:rPr>
                <w:noProof/>
                <w:webHidden/>
              </w:rPr>
              <w:t>13</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650" w:history="1">
            <w:r w:rsidR="004421B6" w:rsidRPr="004421B6">
              <w:rPr>
                <w:rStyle w:val="Hyperlink"/>
                <w:noProof/>
              </w:rPr>
              <w:t>Antal personer med type 2-diabetes og type 1-diabetes i perioden 2007 til 2013 i RUKS</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_Toc391624650 \h </w:instrText>
            </w:r>
            <w:r w:rsidR="004421B6" w:rsidRPr="004421B6">
              <w:rPr>
                <w:noProof/>
                <w:webHidden/>
              </w:rPr>
            </w:r>
            <w:r w:rsidR="004421B6" w:rsidRPr="004421B6">
              <w:rPr>
                <w:noProof/>
                <w:webHidden/>
              </w:rPr>
              <w:fldChar w:fldCharType="separate"/>
            </w:r>
            <w:r>
              <w:rPr>
                <w:noProof/>
                <w:webHidden/>
              </w:rPr>
              <w:t>13</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651" w:history="1">
            <w:r w:rsidR="004421B6" w:rsidRPr="004421B6">
              <w:rPr>
                <w:rStyle w:val="Hyperlink"/>
                <w:noProof/>
              </w:rPr>
              <w:t>Andre kilders oplysninger</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_Toc391624651 \h </w:instrText>
            </w:r>
            <w:r w:rsidR="004421B6" w:rsidRPr="004421B6">
              <w:rPr>
                <w:noProof/>
                <w:webHidden/>
              </w:rPr>
            </w:r>
            <w:r w:rsidR="004421B6" w:rsidRPr="004421B6">
              <w:rPr>
                <w:noProof/>
                <w:webHidden/>
              </w:rPr>
              <w:fldChar w:fldCharType="separate"/>
            </w:r>
            <w:r>
              <w:rPr>
                <w:noProof/>
                <w:webHidden/>
              </w:rPr>
              <w:t>17</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652" w:history="1">
            <w:r w:rsidR="004421B6" w:rsidRPr="004421B6">
              <w:rPr>
                <w:rStyle w:val="Hyperlink"/>
                <w:noProof/>
              </w:rPr>
              <w:t>Forbehold ved udvælgelsen</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_Toc391624652 \h </w:instrText>
            </w:r>
            <w:r w:rsidR="004421B6" w:rsidRPr="004421B6">
              <w:rPr>
                <w:noProof/>
                <w:webHidden/>
              </w:rPr>
            </w:r>
            <w:r w:rsidR="004421B6" w:rsidRPr="004421B6">
              <w:rPr>
                <w:noProof/>
                <w:webHidden/>
              </w:rPr>
              <w:fldChar w:fldCharType="separate"/>
            </w:r>
            <w:r>
              <w:rPr>
                <w:noProof/>
                <w:webHidden/>
              </w:rPr>
              <w:t>17</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653" w:history="1">
            <w:r w:rsidR="004421B6" w:rsidRPr="004421B6">
              <w:rPr>
                <w:rStyle w:val="Hyperlink"/>
                <w:noProof/>
              </w:rPr>
              <w:t>Fremtidig udbygning</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_Toc391624653 \h </w:instrText>
            </w:r>
            <w:r w:rsidR="004421B6" w:rsidRPr="004421B6">
              <w:rPr>
                <w:noProof/>
                <w:webHidden/>
              </w:rPr>
            </w:r>
            <w:r w:rsidR="004421B6" w:rsidRPr="004421B6">
              <w:rPr>
                <w:noProof/>
                <w:webHidden/>
              </w:rPr>
              <w:fldChar w:fldCharType="separate"/>
            </w:r>
            <w:r>
              <w:rPr>
                <w:noProof/>
                <w:webHidden/>
              </w:rPr>
              <w:t>19</w:t>
            </w:r>
            <w:r w:rsidR="004421B6" w:rsidRPr="004421B6">
              <w:rPr>
                <w:noProof/>
                <w:webHidden/>
              </w:rPr>
              <w:fldChar w:fldCharType="end"/>
            </w:r>
          </w:hyperlink>
        </w:p>
        <w:p w:rsidR="004421B6" w:rsidRPr="004421B6" w:rsidRDefault="00581054">
          <w:pPr>
            <w:pStyle w:val="Indholdsfortegnelse1"/>
            <w:tabs>
              <w:tab w:val="right" w:leader="dot" w:pos="9628"/>
            </w:tabs>
            <w:rPr>
              <w:noProof/>
              <w:lang w:eastAsia="da-DK"/>
            </w:rPr>
          </w:pPr>
          <w:hyperlink w:anchor="_Toc391624654" w:history="1">
            <w:r w:rsidR="004421B6" w:rsidRPr="004421B6">
              <w:rPr>
                <w:rStyle w:val="Hyperlink"/>
                <w:noProof/>
              </w:rPr>
              <w:t>2. Kronisk obstruktiv lungesygdom (KOL)</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_Toc391624654 \h </w:instrText>
            </w:r>
            <w:r w:rsidR="004421B6" w:rsidRPr="004421B6">
              <w:rPr>
                <w:noProof/>
                <w:webHidden/>
              </w:rPr>
            </w:r>
            <w:r w:rsidR="004421B6" w:rsidRPr="004421B6">
              <w:rPr>
                <w:noProof/>
                <w:webHidden/>
              </w:rPr>
              <w:fldChar w:fldCharType="separate"/>
            </w:r>
            <w:r>
              <w:rPr>
                <w:noProof/>
                <w:webHidden/>
              </w:rPr>
              <w:t>20</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655" w:history="1">
            <w:r w:rsidR="004421B6" w:rsidRPr="004421B6">
              <w:rPr>
                <w:rStyle w:val="Hyperlink"/>
                <w:noProof/>
              </w:rPr>
              <w:t>Årsag til udvælgelse</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_Toc391624655 \h </w:instrText>
            </w:r>
            <w:r w:rsidR="004421B6" w:rsidRPr="004421B6">
              <w:rPr>
                <w:noProof/>
                <w:webHidden/>
              </w:rPr>
            </w:r>
            <w:r w:rsidR="004421B6" w:rsidRPr="004421B6">
              <w:rPr>
                <w:noProof/>
                <w:webHidden/>
              </w:rPr>
              <w:fldChar w:fldCharType="separate"/>
            </w:r>
            <w:r>
              <w:rPr>
                <w:noProof/>
                <w:webHidden/>
              </w:rPr>
              <w:t>20</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656" w:history="1">
            <w:r w:rsidR="004421B6" w:rsidRPr="004421B6">
              <w:rPr>
                <w:rStyle w:val="Hyperlink"/>
                <w:noProof/>
              </w:rPr>
              <w:t>Rationale for udvælgelsesmetode og registre</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_Toc391624656 \h </w:instrText>
            </w:r>
            <w:r w:rsidR="004421B6" w:rsidRPr="004421B6">
              <w:rPr>
                <w:noProof/>
                <w:webHidden/>
              </w:rPr>
            </w:r>
            <w:r w:rsidR="004421B6" w:rsidRPr="004421B6">
              <w:rPr>
                <w:noProof/>
                <w:webHidden/>
              </w:rPr>
              <w:fldChar w:fldCharType="separate"/>
            </w:r>
            <w:r>
              <w:rPr>
                <w:noProof/>
                <w:webHidden/>
              </w:rPr>
              <w:t>20</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657" w:history="1">
            <w:r w:rsidR="004421B6" w:rsidRPr="004421B6">
              <w:rPr>
                <w:rStyle w:val="Hyperlink"/>
                <w:noProof/>
              </w:rPr>
              <w:t>Inklusion og eksklusionskoder fra registre</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_Toc391624657 \h </w:instrText>
            </w:r>
            <w:r w:rsidR="004421B6" w:rsidRPr="004421B6">
              <w:rPr>
                <w:noProof/>
                <w:webHidden/>
              </w:rPr>
            </w:r>
            <w:r w:rsidR="004421B6" w:rsidRPr="004421B6">
              <w:rPr>
                <w:noProof/>
                <w:webHidden/>
              </w:rPr>
              <w:fldChar w:fldCharType="separate"/>
            </w:r>
            <w:r>
              <w:rPr>
                <w:noProof/>
                <w:webHidden/>
              </w:rPr>
              <w:t>20</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658" w:history="1">
            <w:r w:rsidR="004421B6" w:rsidRPr="004421B6">
              <w:rPr>
                <w:rStyle w:val="Hyperlink"/>
                <w:noProof/>
              </w:rPr>
              <w:t>Flowdiagram for dannelse af KOL population pr. 1. januar 2013</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_Toc391624658 \h </w:instrText>
            </w:r>
            <w:r w:rsidR="004421B6" w:rsidRPr="004421B6">
              <w:rPr>
                <w:noProof/>
                <w:webHidden/>
              </w:rPr>
            </w:r>
            <w:r w:rsidR="004421B6" w:rsidRPr="004421B6">
              <w:rPr>
                <w:noProof/>
                <w:webHidden/>
              </w:rPr>
              <w:fldChar w:fldCharType="separate"/>
            </w:r>
            <w:r>
              <w:rPr>
                <w:noProof/>
                <w:webHidden/>
              </w:rPr>
              <w:t>22</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659" w:history="1">
            <w:r w:rsidR="004421B6" w:rsidRPr="004421B6">
              <w:rPr>
                <w:rStyle w:val="Hyperlink"/>
                <w:noProof/>
              </w:rPr>
              <w:t>Antal personer med KOL 2007 til 2013 i RUKS</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_Toc391624659 \h </w:instrText>
            </w:r>
            <w:r w:rsidR="004421B6" w:rsidRPr="004421B6">
              <w:rPr>
                <w:noProof/>
                <w:webHidden/>
              </w:rPr>
            </w:r>
            <w:r w:rsidR="004421B6" w:rsidRPr="004421B6">
              <w:rPr>
                <w:noProof/>
                <w:webHidden/>
              </w:rPr>
              <w:fldChar w:fldCharType="separate"/>
            </w:r>
            <w:r>
              <w:rPr>
                <w:noProof/>
                <w:webHidden/>
              </w:rPr>
              <w:t>24</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660" w:history="1">
            <w:r w:rsidR="004421B6" w:rsidRPr="004421B6">
              <w:rPr>
                <w:rStyle w:val="Hyperlink"/>
                <w:noProof/>
              </w:rPr>
              <w:t>Andre kilders oplysninger</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_Toc391624660 \h </w:instrText>
            </w:r>
            <w:r w:rsidR="004421B6" w:rsidRPr="004421B6">
              <w:rPr>
                <w:noProof/>
                <w:webHidden/>
              </w:rPr>
            </w:r>
            <w:r w:rsidR="004421B6" w:rsidRPr="004421B6">
              <w:rPr>
                <w:noProof/>
                <w:webHidden/>
              </w:rPr>
              <w:fldChar w:fldCharType="separate"/>
            </w:r>
            <w:r>
              <w:rPr>
                <w:noProof/>
                <w:webHidden/>
              </w:rPr>
              <w:t>25</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661" w:history="1">
            <w:r w:rsidR="004421B6" w:rsidRPr="004421B6">
              <w:rPr>
                <w:rStyle w:val="Hyperlink"/>
                <w:noProof/>
              </w:rPr>
              <w:t>Forbehold ved udvælgelsen</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_Toc391624661 \h </w:instrText>
            </w:r>
            <w:r w:rsidR="004421B6" w:rsidRPr="004421B6">
              <w:rPr>
                <w:noProof/>
                <w:webHidden/>
              </w:rPr>
            </w:r>
            <w:r w:rsidR="004421B6" w:rsidRPr="004421B6">
              <w:rPr>
                <w:noProof/>
                <w:webHidden/>
              </w:rPr>
              <w:fldChar w:fldCharType="separate"/>
            </w:r>
            <w:r>
              <w:rPr>
                <w:noProof/>
                <w:webHidden/>
              </w:rPr>
              <w:t>26</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662" w:history="1">
            <w:r w:rsidR="004421B6" w:rsidRPr="004421B6">
              <w:rPr>
                <w:rStyle w:val="Hyperlink"/>
                <w:noProof/>
              </w:rPr>
              <w:t>Fremtidig udbygning</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_Toc391624662 \h </w:instrText>
            </w:r>
            <w:r w:rsidR="004421B6" w:rsidRPr="004421B6">
              <w:rPr>
                <w:noProof/>
                <w:webHidden/>
              </w:rPr>
            </w:r>
            <w:r w:rsidR="004421B6" w:rsidRPr="004421B6">
              <w:rPr>
                <w:noProof/>
                <w:webHidden/>
              </w:rPr>
              <w:fldChar w:fldCharType="separate"/>
            </w:r>
            <w:r>
              <w:rPr>
                <w:noProof/>
                <w:webHidden/>
              </w:rPr>
              <w:t>29</w:t>
            </w:r>
            <w:r w:rsidR="004421B6" w:rsidRPr="004421B6">
              <w:rPr>
                <w:noProof/>
                <w:webHidden/>
              </w:rPr>
              <w:fldChar w:fldCharType="end"/>
            </w:r>
          </w:hyperlink>
        </w:p>
        <w:p w:rsidR="004421B6" w:rsidRPr="004421B6" w:rsidRDefault="00581054">
          <w:pPr>
            <w:pStyle w:val="Indholdsfortegnelse1"/>
            <w:tabs>
              <w:tab w:val="right" w:leader="dot" w:pos="9628"/>
            </w:tabs>
            <w:rPr>
              <w:noProof/>
              <w:lang w:eastAsia="da-DK"/>
            </w:rPr>
          </w:pPr>
          <w:hyperlink w:anchor="_Toc391624663" w:history="1">
            <w:r w:rsidR="004421B6" w:rsidRPr="004421B6">
              <w:rPr>
                <w:rStyle w:val="Hyperlink"/>
                <w:noProof/>
              </w:rPr>
              <w:t>3. Astma</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_Toc391624663 \h </w:instrText>
            </w:r>
            <w:r w:rsidR="004421B6" w:rsidRPr="004421B6">
              <w:rPr>
                <w:noProof/>
                <w:webHidden/>
              </w:rPr>
            </w:r>
            <w:r w:rsidR="004421B6" w:rsidRPr="004421B6">
              <w:rPr>
                <w:noProof/>
                <w:webHidden/>
              </w:rPr>
              <w:fldChar w:fldCharType="separate"/>
            </w:r>
            <w:r>
              <w:rPr>
                <w:noProof/>
                <w:webHidden/>
              </w:rPr>
              <w:t>30</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664" w:history="1">
            <w:r w:rsidR="004421B6" w:rsidRPr="004421B6">
              <w:rPr>
                <w:rStyle w:val="Hyperlink"/>
                <w:noProof/>
              </w:rPr>
              <w:t>Årsag til udvælgelse</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_Toc391624664 \h </w:instrText>
            </w:r>
            <w:r w:rsidR="004421B6" w:rsidRPr="004421B6">
              <w:rPr>
                <w:noProof/>
                <w:webHidden/>
              </w:rPr>
            </w:r>
            <w:r w:rsidR="004421B6" w:rsidRPr="004421B6">
              <w:rPr>
                <w:noProof/>
                <w:webHidden/>
              </w:rPr>
              <w:fldChar w:fldCharType="separate"/>
            </w:r>
            <w:r>
              <w:rPr>
                <w:noProof/>
                <w:webHidden/>
              </w:rPr>
              <w:t>30</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665" w:history="1">
            <w:r w:rsidR="004421B6" w:rsidRPr="004421B6">
              <w:rPr>
                <w:rStyle w:val="Hyperlink"/>
                <w:noProof/>
              </w:rPr>
              <w:t>Rationale for udvælgelsesmetode og registre</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_Toc391624665 \h </w:instrText>
            </w:r>
            <w:r w:rsidR="004421B6" w:rsidRPr="004421B6">
              <w:rPr>
                <w:noProof/>
                <w:webHidden/>
              </w:rPr>
            </w:r>
            <w:r w:rsidR="004421B6" w:rsidRPr="004421B6">
              <w:rPr>
                <w:noProof/>
                <w:webHidden/>
              </w:rPr>
              <w:fldChar w:fldCharType="separate"/>
            </w:r>
            <w:r>
              <w:rPr>
                <w:noProof/>
                <w:webHidden/>
              </w:rPr>
              <w:t>30</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666" w:history="1">
            <w:r w:rsidR="004421B6" w:rsidRPr="004421B6">
              <w:rPr>
                <w:rStyle w:val="Hyperlink"/>
                <w:noProof/>
              </w:rPr>
              <w:t>Inklusion og eksklusionskoder fra registre</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_Toc391624666 \h </w:instrText>
            </w:r>
            <w:r w:rsidR="004421B6" w:rsidRPr="004421B6">
              <w:rPr>
                <w:noProof/>
                <w:webHidden/>
              </w:rPr>
            </w:r>
            <w:r w:rsidR="004421B6" w:rsidRPr="004421B6">
              <w:rPr>
                <w:noProof/>
                <w:webHidden/>
              </w:rPr>
              <w:fldChar w:fldCharType="separate"/>
            </w:r>
            <w:r>
              <w:rPr>
                <w:noProof/>
                <w:webHidden/>
              </w:rPr>
              <w:t>30</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667" w:history="1">
            <w:r w:rsidR="004421B6" w:rsidRPr="004421B6">
              <w:rPr>
                <w:rStyle w:val="Hyperlink"/>
                <w:noProof/>
              </w:rPr>
              <w:t>Flowdiagram for dannelse af astma population pr. 1. januar 2013</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_Toc391624667 \h </w:instrText>
            </w:r>
            <w:r w:rsidR="004421B6" w:rsidRPr="004421B6">
              <w:rPr>
                <w:noProof/>
                <w:webHidden/>
              </w:rPr>
            </w:r>
            <w:r w:rsidR="004421B6" w:rsidRPr="004421B6">
              <w:rPr>
                <w:noProof/>
                <w:webHidden/>
              </w:rPr>
              <w:fldChar w:fldCharType="separate"/>
            </w:r>
            <w:r>
              <w:rPr>
                <w:noProof/>
                <w:webHidden/>
              </w:rPr>
              <w:t>32</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668" w:history="1">
            <w:r w:rsidR="004421B6" w:rsidRPr="004421B6">
              <w:rPr>
                <w:rStyle w:val="Hyperlink"/>
                <w:noProof/>
              </w:rPr>
              <w:t>Beskrivelse af den fundne population</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_Toc391624668 \h </w:instrText>
            </w:r>
            <w:r w:rsidR="004421B6" w:rsidRPr="004421B6">
              <w:rPr>
                <w:noProof/>
                <w:webHidden/>
              </w:rPr>
            </w:r>
            <w:r w:rsidR="004421B6" w:rsidRPr="004421B6">
              <w:rPr>
                <w:noProof/>
                <w:webHidden/>
              </w:rPr>
              <w:fldChar w:fldCharType="separate"/>
            </w:r>
            <w:r>
              <w:rPr>
                <w:noProof/>
                <w:webHidden/>
              </w:rPr>
              <w:t>33</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669" w:history="1">
            <w:r w:rsidR="004421B6" w:rsidRPr="004421B6">
              <w:rPr>
                <w:rStyle w:val="Hyperlink"/>
                <w:noProof/>
              </w:rPr>
              <w:t>Antal personer med astma 2007 til 2013 i RUKS</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_Toc391624669 \h </w:instrText>
            </w:r>
            <w:r w:rsidR="004421B6" w:rsidRPr="004421B6">
              <w:rPr>
                <w:noProof/>
                <w:webHidden/>
              </w:rPr>
            </w:r>
            <w:r w:rsidR="004421B6" w:rsidRPr="004421B6">
              <w:rPr>
                <w:noProof/>
                <w:webHidden/>
              </w:rPr>
              <w:fldChar w:fldCharType="separate"/>
            </w:r>
            <w:r>
              <w:rPr>
                <w:noProof/>
                <w:webHidden/>
              </w:rPr>
              <w:t>34</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670" w:history="1">
            <w:r w:rsidR="004421B6" w:rsidRPr="004421B6">
              <w:rPr>
                <w:rStyle w:val="Hyperlink"/>
                <w:noProof/>
              </w:rPr>
              <w:t>Andre kilders oplysninger</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_Toc391624670 \h </w:instrText>
            </w:r>
            <w:r w:rsidR="004421B6" w:rsidRPr="004421B6">
              <w:rPr>
                <w:noProof/>
                <w:webHidden/>
              </w:rPr>
            </w:r>
            <w:r w:rsidR="004421B6" w:rsidRPr="004421B6">
              <w:rPr>
                <w:noProof/>
                <w:webHidden/>
              </w:rPr>
              <w:fldChar w:fldCharType="separate"/>
            </w:r>
            <w:r>
              <w:rPr>
                <w:noProof/>
                <w:webHidden/>
              </w:rPr>
              <w:t>34</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671" w:history="1">
            <w:r w:rsidR="004421B6" w:rsidRPr="004421B6">
              <w:rPr>
                <w:rStyle w:val="Hyperlink"/>
                <w:noProof/>
              </w:rPr>
              <w:t>Forbehold ved udvælgelsen</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_Toc391624671 \h </w:instrText>
            </w:r>
            <w:r w:rsidR="004421B6" w:rsidRPr="004421B6">
              <w:rPr>
                <w:noProof/>
                <w:webHidden/>
              </w:rPr>
            </w:r>
            <w:r w:rsidR="004421B6" w:rsidRPr="004421B6">
              <w:rPr>
                <w:noProof/>
                <w:webHidden/>
              </w:rPr>
              <w:fldChar w:fldCharType="separate"/>
            </w:r>
            <w:r>
              <w:rPr>
                <w:noProof/>
                <w:webHidden/>
              </w:rPr>
              <w:t>35</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672" w:history="1">
            <w:r w:rsidR="004421B6" w:rsidRPr="004421B6">
              <w:rPr>
                <w:rStyle w:val="Hyperlink"/>
                <w:noProof/>
              </w:rPr>
              <w:t>Fremtidig udbygning</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_Toc391624672 \h </w:instrText>
            </w:r>
            <w:r w:rsidR="004421B6" w:rsidRPr="004421B6">
              <w:rPr>
                <w:noProof/>
                <w:webHidden/>
              </w:rPr>
            </w:r>
            <w:r w:rsidR="004421B6" w:rsidRPr="004421B6">
              <w:rPr>
                <w:noProof/>
                <w:webHidden/>
              </w:rPr>
              <w:fldChar w:fldCharType="separate"/>
            </w:r>
            <w:r>
              <w:rPr>
                <w:noProof/>
                <w:webHidden/>
              </w:rPr>
              <w:t>40</w:t>
            </w:r>
            <w:r w:rsidR="004421B6" w:rsidRPr="004421B6">
              <w:rPr>
                <w:noProof/>
                <w:webHidden/>
              </w:rPr>
              <w:fldChar w:fldCharType="end"/>
            </w:r>
          </w:hyperlink>
        </w:p>
        <w:p w:rsidR="004421B6" w:rsidRPr="004421B6" w:rsidRDefault="00581054">
          <w:pPr>
            <w:pStyle w:val="Indholdsfortegnelse1"/>
            <w:tabs>
              <w:tab w:val="right" w:leader="dot" w:pos="9628"/>
            </w:tabs>
            <w:rPr>
              <w:noProof/>
              <w:lang w:eastAsia="da-DK"/>
            </w:rPr>
          </w:pPr>
          <w:hyperlink w:anchor="_Toc391624673" w:history="1">
            <w:r w:rsidR="004421B6" w:rsidRPr="004421B6">
              <w:rPr>
                <w:rStyle w:val="Hyperlink"/>
                <w:noProof/>
              </w:rPr>
              <w:t>4. Osteoporose (knogleskørhed)</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_Toc391624673 \h </w:instrText>
            </w:r>
            <w:r w:rsidR="004421B6" w:rsidRPr="004421B6">
              <w:rPr>
                <w:noProof/>
                <w:webHidden/>
              </w:rPr>
            </w:r>
            <w:r w:rsidR="004421B6" w:rsidRPr="004421B6">
              <w:rPr>
                <w:noProof/>
                <w:webHidden/>
              </w:rPr>
              <w:fldChar w:fldCharType="separate"/>
            </w:r>
            <w:r>
              <w:rPr>
                <w:noProof/>
                <w:webHidden/>
              </w:rPr>
              <w:t>41</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674" w:history="1">
            <w:r w:rsidR="004421B6" w:rsidRPr="004421B6">
              <w:rPr>
                <w:rStyle w:val="Hyperlink"/>
                <w:noProof/>
              </w:rPr>
              <w:t>Årsag til udvælgelse</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_Toc391624674 \h </w:instrText>
            </w:r>
            <w:r w:rsidR="004421B6" w:rsidRPr="004421B6">
              <w:rPr>
                <w:noProof/>
                <w:webHidden/>
              </w:rPr>
            </w:r>
            <w:r w:rsidR="004421B6" w:rsidRPr="004421B6">
              <w:rPr>
                <w:noProof/>
                <w:webHidden/>
              </w:rPr>
              <w:fldChar w:fldCharType="separate"/>
            </w:r>
            <w:r>
              <w:rPr>
                <w:noProof/>
                <w:webHidden/>
              </w:rPr>
              <w:t>41</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675" w:history="1">
            <w:r w:rsidR="004421B6" w:rsidRPr="004421B6">
              <w:rPr>
                <w:rStyle w:val="Hyperlink"/>
                <w:noProof/>
              </w:rPr>
              <w:t>Rationale for udvælgelsesmetode og registre</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_Toc391624675 \h </w:instrText>
            </w:r>
            <w:r w:rsidR="004421B6" w:rsidRPr="004421B6">
              <w:rPr>
                <w:noProof/>
                <w:webHidden/>
              </w:rPr>
            </w:r>
            <w:r w:rsidR="004421B6" w:rsidRPr="004421B6">
              <w:rPr>
                <w:noProof/>
                <w:webHidden/>
              </w:rPr>
              <w:fldChar w:fldCharType="separate"/>
            </w:r>
            <w:r>
              <w:rPr>
                <w:noProof/>
                <w:webHidden/>
              </w:rPr>
              <w:t>41</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676" w:history="1">
            <w:r w:rsidR="004421B6" w:rsidRPr="004421B6">
              <w:rPr>
                <w:rStyle w:val="Hyperlink"/>
                <w:noProof/>
              </w:rPr>
              <w:t>Inklusion- og eksklusionskoder fra registre</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_Toc391624676 \h </w:instrText>
            </w:r>
            <w:r w:rsidR="004421B6" w:rsidRPr="004421B6">
              <w:rPr>
                <w:noProof/>
                <w:webHidden/>
              </w:rPr>
            </w:r>
            <w:r w:rsidR="004421B6" w:rsidRPr="004421B6">
              <w:rPr>
                <w:noProof/>
                <w:webHidden/>
              </w:rPr>
              <w:fldChar w:fldCharType="separate"/>
            </w:r>
            <w:r>
              <w:rPr>
                <w:noProof/>
                <w:webHidden/>
              </w:rPr>
              <w:t>41</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677" w:history="1">
            <w:r w:rsidR="004421B6" w:rsidRPr="004421B6">
              <w:rPr>
                <w:rStyle w:val="Hyperlink"/>
                <w:noProof/>
              </w:rPr>
              <w:t>Flowdiagram for dannelse af osteoporose population pr. 1. januar 2013</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_Toc391624677 \h </w:instrText>
            </w:r>
            <w:r w:rsidR="004421B6" w:rsidRPr="004421B6">
              <w:rPr>
                <w:noProof/>
                <w:webHidden/>
              </w:rPr>
            </w:r>
            <w:r w:rsidR="004421B6" w:rsidRPr="004421B6">
              <w:rPr>
                <w:noProof/>
                <w:webHidden/>
              </w:rPr>
              <w:fldChar w:fldCharType="separate"/>
            </w:r>
            <w:r>
              <w:rPr>
                <w:noProof/>
                <w:webHidden/>
              </w:rPr>
              <w:t>43</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678" w:history="1">
            <w:r w:rsidR="004421B6" w:rsidRPr="004421B6">
              <w:rPr>
                <w:rStyle w:val="Hyperlink"/>
                <w:noProof/>
              </w:rPr>
              <w:t>Beskrivelse af den fundende population</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_Toc391624678 \h </w:instrText>
            </w:r>
            <w:r w:rsidR="004421B6" w:rsidRPr="004421B6">
              <w:rPr>
                <w:noProof/>
                <w:webHidden/>
              </w:rPr>
            </w:r>
            <w:r w:rsidR="004421B6" w:rsidRPr="004421B6">
              <w:rPr>
                <w:noProof/>
                <w:webHidden/>
              </w:rPr>
              <w:fldChar w:fldCharType="separate"/>
            </w:r>
            <w:r>
              <w:rPr>
                <w:noProof/>
                <w:webHidden/>
              </w:rPr>
              <w:t>44</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679" w:history="1">
            <w:r w:rsidR="004421B6" w:rsidRPr="004421B6">
              <w:rPr>
                <w:rStyle w:val="Hyperlink"/>
                <w:rFonts w:cstheme="minorHAnsi"/>
                <w:noProof/>
              </w:rPr>
              <w:t>Antal personer med osteoporose år 2007- 2013</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_Toc391624679 \h </w:instrText>
            </w:r>
            <w:r w:rsidR="004421B6" w:rsidRPr="004421B6">
              <w:rPr>
                <w:noProof/>
                <w:webHidden/>
              </w:rPr>
            </w:r>
            <w:r w:rsidR="004421B6" w:rsidRPr="004421B6">
              <w:rPr>
                <w:noProof/>
                <w:webHidden/>
              </w:rPr>
              <w:fldChar w:fldCharType="separate"/>
            </w:r>
            <w:r>
              <w:rPr>
                <w:noProof/>
                <w:webHidden/>
              </w:rPr>
              <w:t>45</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680" w:history="1">
            <w:r w:rsidR="004421B6" w:rsidRPr="004421B6">
              <w:rPr>
                <w:rStyle w:val="Hyperlink"/>
                <w:noProof/>
              </w:rPr>
              <w:t>Andre kilders oplysninger</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_Toc391624680 \h </w:instrText>
            </w:r>
            <w:r w:rsidR="004421B6" w:rsidRPr="004421B6">
              <w:rPr>
                <w:noProof/>
                <w:webHidden/>
              </w:rPr>
            </w:r>
            <w:r w:rsidR="004421B6" w:rsidRPr="004421B6">
              <w:rPr>
                <w:noProof/>
                <w:webHidden/>
              </w:rPr>
              <w:fldChar w:fldCharType="separate"/>
            </w:r>
            <w:r>
              <w:rPr>
                <w:noProof/>
                <w:webHidden/>
              </w:rPr>
              <w:t>45</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681" w:history="1">
            <w:r w:rsidR="004421B6" w:rsidRPr="004421B6">
              <w:rPr>
                <w:rStyle w:val="Hyperlink"/>
                <w:noProof/>
              </w:rPr>
              <w:t>Forbehold ved udvælgelsen</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_Toc391624681 \h </w:instrText>
            </w:r>
            <w:r w:rsidR="004421B6" w:rsidRPr="004421B6">
              <w:rPr>
                <w:noProof/>
                <w:webHidden/>
              </w:rPr>
            </w:r>
            <w:r w:rsidR="004421B6" w:rsidRPr="004421B6">
              <w:rPr>
                <w:noProof/>
                <w:webHidden/>
              </w:rPr>
              <w:fldChar w:fldCharType="separate"/>
            </w:r>
            <w:r>
              <w:rPr>
                <w:noProof/>
                <w:webHidden/>
              </w:rPr>
              <w:t>46</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682" w:history="1">
            <w:r w:rsidR="004421B6" w:rsidRPr="004421B6">
              <w:rPr>
                <w:rStyle w:val="Hyperlink"/>
                <w:noProof/>
              </w:rPr>
              <w:t>Fremtidig udbygning</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_Toc391624682 \h </w:instrText>
            </w:r>
            <w:r w:rsidR="004421B6" w:rsidRPr="004421B6">
              <w:rPr>
                <w:noProof/>
                <w:webHidden/>
              </w:rPr>
            </w:r>
            <w:r w:rsidR="004421B6" w:rsidRPr="004421B6">
              <w:rPr>
                <w:noProof/>
                <w:webHidden/>
              </w:rPr>
              <w:fldChar w:fldCharType="separate"/>
            </w:r>
            <w:r>
              <w:rPr>
                <w:noProof/>
                <w:webHidden/>
              </w:rPr>
              <w:t>46</w:t>
            </w:r>
            <w:r w:rsidR="004421B6" w:rsidRPr="004421B6">
              <w:rPr>
                <w:noProof/>
                <w:webHidden/>
              </w:rPr>
              <w:fldChar w:fldCharType="end"/>
            </w:r>
          </w:hyperlink>
        </w:p>
        <w:p w:rsidR="004421B6" w:rsidRPr="004421B6" w:rsidRDefault="00581054">
          <w:pPr>
            <w:pStyle w:val="Indholdsfortegnelse1"/>
            <w:tabs>
              <w:tab w:val="right" w:leader="dot" w:pos="9628"/>
            </w:tabs>
            <w:rPr>
              <w:noProof/>
              <w:lang w:eastAsia="da-DK"/>
            </w:rPr>
          </w:pPr>
          <w:hyperlink w:anchor="_Toc391624683" w:history="1">
            <w:r w:rsidR="004421B6" w:rsidRPr="004421B6">
              <w:rPr>
                <w:rStyle w:val="Hyperlink"/>
                <w:noProof/>
              </w:rPr>
              <w:t>5. Leddegigt</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_Toc391624683 \h </w:instrText>
            </w:r>
            <w:r w:rsidR="004421B6" w:rsidRPr="004421B6">
              <w:rPr>
                <w:noProof/>
                <w:webHidden/>
              </w:rPr>
            </w:r>
            <w:r w:rsidR="004421B6" w:rsidRPr="004421B6">
              <w:rPr>
                <w:noProof/>
                <w:webHidden/>
              </w:rPr>
              <w:fldChar w:fldCharType="separate"/>
            </w:r>
            <w:r>
              <w:rPr>
                <w:noProof/>
                <w:webHidden/>
              </w:rPr>
              <w:t>47</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684" w:history="1">
            <w:r w:rsidR="004421B6" w:rsidRPr="004421B6">
              <w:rPr>
                <w:rStyle w:val="Hyperlink"/>
                <w:noProof/>
              </w:rPr>
              <w:t>Årsag til udvælgelse</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_Toc391624684 \h </w:instrText>
            </w:r>
            <w:r w:rsidR="004421B6" w:rsidRPr="004421B6">
              <w:rPr>
                <w:noProof/>
                <w:webHidden/>
              </w:rPr>
            </w:r>
            <w:r w:rsidR="004421B6" w:rsidRPr="004421B6">
              <w:rPr>
                <w:noProof/>
                <w:webHidden/>
              </w:rPr>
              <w:fldChar w:fldCharType="separate"/>
            </w:r>
            <w:r>
              <w:rPr>
                <w:noProof/>
                <w:webHidden/>
              </w:rPr>
              <w:t>47</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685" w:history="1">
            <w:r w:rsidR="004421B6" w:rsidRPr="004421B6">
              <w:rPr>
                <w:rStyle w:val="Hyperlink"/>
                <w:noProof/>
              </w:rPr>
              <w:t>Rationale for udvælgelsesmetode og registre</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_Toc391624685 \h </w:instrText>
            </w:r>
            <w:r w:rsidR="004421B6" w:rsidRPr="004421B6">
              <w:rPr>
                <w:noProof/>
                <w:webHidden/>
              </w:rPr>
            </w:r>
            <w:r w:rsidR="004421B6" w:rsidRPr="004421B6">
              <w:rPr>
                <w:noProof/>
                <w:webHidden/>
              </w:rPr>
              <w:fldChar w:fldCharType="separate"/>
            </w:r>
            <w:r>
              <w:rPr>
                <w:noProof/>
                <w:webHidden/>
              </w:rPr>
              <w:t>47</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686" w:history="1">
            <w:r w:rsidR="004421B6" w:rsidRPr="004421B6">
              <w:rPr>
                <w:rStyle w:val="Hyperlink"/>
                <w:noProof/>
              </w:rPr>
              <w:t>Inklusion og eksklusionskoder fra registre</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_Toc391624686 \h </w:instrText>
            </w:r>
            <w:r w:rsidR="004421B6" w:rsidRPr="004421B6">
              <w:rPr>
                <w:noProof/>
                <w:webHidden/>
              </w:rPr>
            </w:r>
            <w:r w:rsidR="004421B6" w:rsidRPr="004421B6">
              <w:rPr>
                <w:noProof/>
                <w:webHidden/>
              </w:rPr>
              <w:fldChar w:fldCharType="separate"/>
            </w:r>
            <w:r>
              <w:rPr>
                <w:noProof/>
                <w:webHidden/>
              </w:rPr>
              <w:t>47</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687" w:history="1">
            <w:r w:rsidR="004421B6" w:rsidRPr="004421B6">
              <w:rPr>
                <w:rStyle w:val="Hyperlink"/>
                <w:noProof/>
              </w:rPr>
              <w:t>Flowdiagram for dannelse af leddegigt population pr. 1. januar 2013</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_Toc391624687 \h </w:instrText>
            </w:r>
            <w:r w:rsidR="004421B6" w:rsidRPr="004421B6">
              <w:rPr>
                <w:noProof/>
                <w:webHidden/>
              </w:rPr>
            </w:r>
            <w:r w:rsidR="004421B6" w:rsidRPr="004421B6">
              <w:rPr>
                <w:noProof/>
                <w:webHidden/>
              </w:rPr>
              <w:fldChar w:fldCharType="separate"/>
            </w:r>
            <w:r>
              <w:rPr>
                <w:noProof/>
                <w:webHidden/>
              </w:rPr>
              <w:t>48</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688" w:history="1">
            <w:r w:rsidR="004421B6" w:rsidRPr="004421B6">
              <w:rPr>
                <w:rStyle w:val="Hyperlink"/>
                <w:noProof/>
              </w:rPr>
              <w:t>Beskrivelse af den fundne population</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_Toc391624688 \h </w:instrText>
            </w:r>
            <w:r w:rsidR="004421B6" w:rsidRPr="004421B6">
              <w:rPr>
                <w:noProof/>
                <w:webHidden/>
              </w:rPr>
            </w:r>
            <w:r w:rsidR="004421B6" w:rsidRPr="004421B6">
              <w:rPr>
                <w:noProof/>
                <w:webHidden/>
              </w:rPr>
              <w:fldChar w:fldCharType="separate"/>
            </w:r>
            <w:r>
              <w:rPr>
                <w:noProof/>
                <w:webHidden/>
              </w:rPr>
              <w:t>49</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689" w:history="1">
            <w:r w:rsidR="004421B6" w:rsidRPr="004421B6">
              <w:rPr>
                <w:rStyle w:val="Hyperlink"/>
                <w:noProof/>
              </w:rPr>
              <w:t>Antal personer med leddegigt 2007 til 2013 i RUKS</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_Toc391624689 \h </w:instrText>
            </w:r>
            <w:r w:rsidR="004421B6" w:rsidRPr="004421B6">
              <w:rPr>
                <w:noProof/>
                <w:webHidden/>
              </w:rPr>
            </w:r>
            <w:r w:rsidR="004421B6" w:rsidRPr="004421B6">
              <w:rPr>
                <w:noProof/>
                <w:webHidden/>
              </w:rPr>
              <w:fldChar w:fldCharType="separate"/>
            </w:r>
            <w:r>
              <w:rPr>
                <w:noProof/>
                <w:webHidden/>
              </w:rPr>
              <w:t>49</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690" w:history="1">
            <w:r w:rsidR="004421B6" w:rsidRPr="004421B6">
              <w:rPr>
                <w:rStyle w:val="Hyperlink"/>
                <w:noProof/>
              </w:rPr>
              <w:t>Andre kilders oplysninger</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_Toc391624690 \h </w:instrText>
            </w:r>
            <w:r w:rsidR="004421B6" w:rsidRPr="004421B6">
              <w:rPr>
                <w:noProof/>
                <w:webHidden/>
              </w:rPr>
            </w:r>
            <w:r w:rsidR="004421B6" w:rsidRPr="004421B6">
              <w:rPr>
                <w:noProof/>
                <w:webHidden/>
              </w:rPr>
              <w:fldChar w:fldCharType="separate"/>
            </w:r>
            <w:r>
              <w:rPr>
                <w:noProof/>
                <w:webHidden/>
              </w:rPr>
              <w:t>50</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691" w:history="1">
            <w:r w:rsidR="004421B6" w:rsidRPr="004421B6">
              <w:rPr>
                <w:rStyle w:val="Hyperlink"/>
                <w:noProof/>
              </w:rPr>
              <w:t>Forbehold ved udvælgelsen</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_Toc391624691 \h </w:instrText>
            </w:r>
            <w:r w:rsidR="004421B6" w:rsidRPr="004421B6">
              <w:rPr>
                <w:noProof/>
                <w:webHidden/>
              </w:rPr>
            </w:r>
            <w:r w:rsidR="004421B6" w:rsidRPr="004421B6">
              <w:rPr>
                <w:noProof/>
                <w:webHidden/>
              </w:rPr>
              <w:fldChar w:fldCharType="separate"/>
            </w:r>
            <w:r>
              <w:rPr>
                <w:noProof/>
                <w:webHidden/>
              </w:rPr>
              <w:t>50</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692" w:history="1">
            <w:r w:rsidR="004421B6" w:rsidRPr="004421B6">
              <w:rPr>
                <w:rStyle w:val="Hyperlink"/>
                <w:noProof/>
              </w:rPr>
              <w:t>Fremtidig udbygning</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_Toc391624692 \h </w:instrText>
            </w:r>
            <w:r w:rsidR="004421B6" w:rsidRPr="004421B6">
              <w:rPr>
                <w:noProof/>
                <w:webHidden/>
              </w:rPr>
            </w:r>
            <w:r w:rsidR="004421B6" w:rsidRPr="004421B6">
              <w:rPr>
                <w:noProof/>
                <w:webHidden/>
              </w:rPr>
              <w:fldChar w:fldCharType="separate"/>
            </w:r>
            <w:r>
              <w:rPr>
                <w:noProof/>
                <w:webHidden/>
              </w:rPr>
              <w:t>52</w:t>
            </w:r>
            <w:r w:rsidR="004421B6" w:rsidRPr="004421B6">
              <w:rPr>
                <w:noProof/>
                <w:webHidden/>
              </w:rPr>
              <w:fldChar w:fldCharType="end"/>
            </w:r>
          </w:hyperlink>
        </w:p>
        <w:p w:rsidR="004421B6" w:rsidRPr="004421B6" w:rsidRDefault="00581054">
          <w:pPr>
            <w:pStyle w:val="Indholdsfortegnelse1"/>
            <w:tabs>
              <w:tab w:val="right" w:leader="dot" w:pos="9628"/>
            </w:tabs>
            <w:rPr>
              <w:noProof/>
              <w:lang w:eastAsia="da-DK"/>
            </w:rPr>
          </w:pPr>
          <w:hyperlink w:anchor="_Toc391624693" w:history="1">
            <w:r w:rsidR="004421B6" w:rsidRPr="004421B6">
              <w:rPr>
                <w:rStyle w:val="Hyperlink"/>
                <w:noProof/>
              </w:rPr>
              <w:t>6. Skizofreni</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_Toc391624693 \h </w:instrText>
            </w:r>
            <w:r w:rsidR="004421B6" w:rsidRPr="004421B6">
              <w:rPr>
                <w:noProof/>
                <w:webHidden/>
              </w:rPr>
            </w:r>
            <w:r w:rsidR="004421B6" w:rsidRPr="004421B6">
              <w:rPr>
                <w:noProof/>
                <w:webHidden/>
              </w:rPr>
              <w:fldChar w:fldCharType="separate"/>
            </w:r>
            <w:r>
              <w:rPr>
                <w:noProof/>
                <w:webHidden/>
              </w:rPr>
              <w:t>53</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694" w:history="1">
            <w:r w:rsidR="004421B6" w:rsidRPr="004421B6">
              <w:rPr>
                <w:rStyle w:val="Hyperlink"/>
                <w:noProof/>
              </w:rPr>
              <w:t>Årsag til udvælgelse</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_Toc391624694 \h </w:instrText>
            </w:r>
            <w:r w:rsidR="004421B6" w:rsidRPr="004421B6">
              <w:rPr>
                <w:noProof/>
                <w:webHidden/>
              </w:rPr>
            </w:r>
            <w:r w:rsidR="004421B6" w:rsidRPr="004421B6">
              <w:rPr>
                <w:noProof/>
                <w:webHidden/>
              </w:rPr>
              <w:fldChar w:fldCharType="separate"/>
            </w:r>
            <w:r>
              <w:rPr>
                <w:noProof/>
                <w:webHidden/>
              </w:rPr>
              <w:t>53</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695" w:history="1">
            <w:r w:rsidR="004421B6" w:rsidRPr="004421B6">
              <w:rPr>
                <w:rStyle w:val="Hyperlink"/>
                <w:noProof/>
              </w:rPr>
              <w:t>Rationale for udvælgelsesmetode og registre</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_Toc391624695 \h </w:instrText>
            </w:r>
            <w:r w:rsidR="004421B6" w:rsidRPr="004421B6">
              <w:rPr>
                <w:noProof/>
                <w:webHidden/>
              </w:rPr>
            </w:r>
            <w:r w:rsidR="004421B6" w:rsidRPr="004421B6">
              <w:rPr>
                <w:noProof/>
                <w:webHidden/>
              </w:rPr>
              <w:fldChar w:fldCharType="separate"/>
            </w:r>
            <w:r>
              <w:rPr>
                <w:noProof/>
                <w:webHidden/>
              </w:rPr>
              <w:t>53</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696" w:history="1">
            <w:r w:rsidR="004421B6" w:rsidRPr="004421B6">
              <w:rPr>
                <w:rStyle w:val="Hyperlink"/>
                <w:noProof/>
              </w:rPr>
              <w:t>Inklusion- og eksklusionskoder fra registre</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_Toc391624696 \h </w:instrText>
            </w:r>
            <w:r w:rsidR="004421B6" w:rsidRPr="004421B6">
              <w:rPr>
                <w:noProof/>
                <w:webHidden/>
              </w:rPr>
            </w:r>
            <w:r w:rsidR="004421B6" w:rsidRPr="004421B6">
              <w:rPr>
                <w:noProof/>
                <w:webHidden/>
              </w:rPr>
              <w:fldChar w:fldCharType="separate"/>
            </w:r>
            <w:r>
              <w:rPr>
                <w:noProof/>
                <w:webHidden/>
              </w:rPr>
              <w:t>53</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697" w:history="1">
            <w:r w:rsidR="004421B6" w:rsidRPr="004421B6">
              <w:rPr>
                <w:rStyle w:val="Hyperlink"/>
                <w:noProof/>
              </w:rPr>
              <w:t>Flowdiagram for dannelse af skizofreni population pr. 1. januar 2013</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_Toc391624697 \h </w:instrText>
            </w:r>
            <w:r w:rsidR="004421B6" w:rsidRPr="004421B6">
              <w:rPr>
                <w:noProof/>
                <w:webHidden/>
              </w:rPr>
            </w:r>
            <w:r w:rsidR="004421B6" w:rsidRPr="004421B6">
              <w:rPr>
                <w:noProof/>
                <w:webHidden/>
              </w:rPr>
              <w:fldChar w:fldCharType="separate"/>
            </w:r>
            <w:r>
              <w:rPr>
                <w:noProof/>
                <w:webHidden/>
              </w:rPr>
              <w:t>54</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698" w:history="1">
            <w:r w:rsidR="004421B6" w:rsidRPr="004421B6">
              <w:rPr>
                <w:rStyle w:val="Hyperlink"/>
                <w:noProof/>
              </w:rPr>
              <w:t>Beskrivelse af den fundne population</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_Toc391624698 \h </w:instrText>
            </w:r>
            <w:r w:rsidR="004421B6" w:rsidRPr="004421B6">
              <w:rPr>
                <w:noProof/>
                <w:webHidden/>
              </w:rPr>
            </w:r>
            <w:r w:rsidR="004421B6" w:rsidRPr="004421B6">
              <w:rPr>
                <w:noProof/>
                <w:webHidden/>
              </w:rPr>
              <w:fldChar w:fldCharType="separate"/>
            </w:r>
            <w:r>
              <w:rPr>
                <w:noProof/>
                <w:webHidden/>
              </w:rPr>
              <w:t>55</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699" w:history="1">
            <w:r w:rsidR="004421B6" w:rsidRPr="004421B6">
              <w:rPr>
                <w:rStyle w:val="Hyperlink"/>
                <w:noProof/>
              </w:rPr>
              <w:t>Antal personer med skizofreni 2007 til 2013</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_Toc391624699 \h </w:instrText>
            </w:r>
            <w:r w:rsidR="004421B6" w:rsidRPr="004421B6">
              <w:rPr>
                <w:noProof/>
                <w:webHidden/>
              </w:rPr>
            </w:r>
            <w:r w:rsidR="004421B6" w:rsidRPr="004421B6">
              <w:rPr>
                <w:noProof/>
                <w:webHidden/>
              </w:rPr>
              <w:fldChar w:fldCharType="separate"/>
            </w:r>
            <w:r>
              <w:rPr>
                <w:noProof/>
                <w:webHidden/>
              </w:rPr>
              <w:t>55</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700" w:history="1">
            <w:r w:rsidR="004421B6" w:rsidRPr="004421B6">
              <w:rPr>
                <w:rStyle w:val="Hyperlink"/>
                <w:noProof/>
              </w:rPr>
              <w:t>Andre kilders oplysninger</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_Toc391624700 \h </w:instrText>
            </w:r>
            <w:r w:rsidR="004421B6" w:rsidRPr="004421B6">
              <w:rPr>
                <w:noProof/>
                <w:webHidden/>
              </w:rPr>
            </w:r>
            <w:r w:rsidR="004421B6" w:rsidRPr="004421B6">
              <w:rPr>
                <w:noProof/>
                <w:webHidden/>
              </w:rPr>
              <w:fldChar w:fldCharType="separate"/>
            </w:r>
            <w:r>
              <w:rPr>
                <w:noProof/>
                <w:webHidden/>
              </w:rPr>
              <w:t>56</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701" w:history="1">
            <w:r w:rsidR="004421B6" w:rsidRPr="004421B6">
              <w:rPr>
                <w:rStyle w:val="Hyperlink"/>
                <w:noProof/>
              </w:rPr>
              <w:t>Fremtidig udbygning</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_Toc391624701 \h </w:instrText>
            </w:r>
            <w:r w:rsidR="004421B6" w:rsidRPr="004421B6">
              <w:rPr>
                <w:noProof/>
                <w:webHidden/>
              </w:rPr>
            </w:r>
            <w:r w:rsidR="004421B6" w:rsidRPr="004421B6">
              <w:rPr>
                <w:noProof/>
                <w:webHidden/>
              </w:rPr>
              <w:fldChar w:fldCharType="separate"/>
            </w:r>
            <w:r>
              <w:rPr>
                <w:noProof/>
                <w:webHidden/>
              </w:rPr>
              <w:t>57</w:t>
            </w:r>
            <w:r w:rsidR="004421B6" w:rsidRPr="004421B6">
              <w:rPr>
                <w:noProof/>
                <w:webHidden/>
              </w:rPr>
              <w:fldChar w:fldCharType="end"/>
            </w:r>
          </w:hyperlink>
        </w:p>
        <w:p w:rsidR="004421B6" w:rsidRPr="004421B6" w:rsidRDefault="00581054">
          <w:pPr>
            <w:pStyle w:val="Indholdsfortegnelse1"/>
            <w:tabs>
              <w:tab w:val="right" w:leader="dot" w:pos="9628"/>
            </w:tabs>
            <w:rPr>
              <w:noProof/>
              <w:lang w:eastAsia="da-DK"/>
            </w:rPr>
          </w:pPr>
          <w:hyperlink w:anchor="_Toc391624702" w:history="1">
            <w:r w:rsidR="004421B6" w:rsidRPr="004421B6">
              <w:rPr>
                <w:rStyle w:val="Hyperlink"/>
                <w:noProof/>
              </w:rPr>
              <w:t>7. Demens i RUKS</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_Toc391624702 \h </w:instrText>
            </w:r>
            <w:r w:rsidR="004421B6" w:rsidRPr="004421B6">
              <w:rPr>
                <w:noProof/>
                <w:webHidden/>
              </w:rPr>
            </w:r>
            <w:r w:rsidR="004421B6" w:rsidRPr="004421B6">
              <w:rPr>
                <w:noProof/>
                <w:webHidden/>
              </w:rPr>
              <w:fldChar w:fldCharType="separate"/>
            </w:r>
            <w:r>
              <w:rPr>
                <w:noProof/>
                <w:webHidden/>
              </w:rPr>
              <w:t>58</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703" w:history="1">
            <w:r w:rsidR="004421B6" w:rsidRPr="004421B6">
              <w:rPr>
                <w:rStyle w:val="Hyperlink"/>
                <w:noProof/>
              </w:rPr>
              <w:t>Årsag til udvælgelse</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_Toc391624703 \h </w:instrText>
            </w:r>
            <w:r w:rsidR="004421B6" w:rsidRPr="004421B6">
              <w:rPr>
                <w:noProof/>
                <w:webHidden/>
              </w:rPr>
            </w:r>
            <w:r w:rsidR="004421B6" w:rsidRPr="004421B6">
              <w:rPr>
                <w:noProof/>
                <w:webHidden/>
              </w:rPr>
              <w:fldChar w:fldCharType="separate"/>
            </w:r>
            <w:r>
              <w:rPr>
                <w:noProof/>
                <w:webHidden/>
              </w:rPr>
              <w:t>58</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704" w:history="1">
            <w:r w:rsidR="004421B6" w:rsidRPr="004421B6">
              <w:rPr>
                <w:rStyle w:val="Hyperlink"/>
                <w:noProof/>
              </w:rPr>
              <w:t>Rationale for udvælgelsesmetode og registre</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_Toc391624704 \h </w:instrText>
            </w:r>
            <w:r w:rsidR="004421B6" w:rsidRPr="004421B6">
              <w:rPr>
                <w:noProof/>
                <w:webHidden/>
              </w:rPr>
            </w:r>
            <w:r w:rsidR="004421B6" w:rsidRPr="004421B6">
              <w:rPr>
                <w:noProof/>
                <w:webHidden/>
              </w:rPr>
              <w:fldChar w:fldCharType="separate"/>
            </w:r>
            <w:r>
              <w:rPr>
                <w:noProof/>
                <w:webHidden/>
              </w:rPr>
              <w:t>58</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705" w:history="1">
            <w:r w:rsidR="004421B6" w:rsidRPr="004421B6">
              <w:rPr>
                <w:rStyle w:val="Hyperlink"/>
                <w:noProof/>
              </w:rPr>
              <w:t>Inklusion og eksklusionskoder fra registre</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_Toc391624705 \h </w:instrText>
            </w:r>
            <w:r w:rsidR="004421B6" w:rsidRPr="004421B6">
              <w:rPr>
                <w:noProof/>
                <w:webHidden/>
              </w:rPr>
            </w:r>
            <w:r w:rsidR="004421B6" w:rsidRPr="004421B6">
              <w:rPr>
                <w:noProof/>
                <w:webHidden/>
              </w:rPr>
              <w:fldChar w:fldCharType="separate"/>
            </w:r>
            <w:r>
              <w:rPr>
                <w:noProof/>
                <w:webHidden/>
              </w:rPr>
              <w:t>59</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706" w:history="1">
            <w:r w:rsidR="004421B6" w:rsidRPr="004421B6">
              <w:rPr>
                <w:rStyle w:val="Hyperlink"/>
                <w:noProof/>
              </w:rPr>
              <w:t>Flowdiagram for dannelse af demens population pr. 1. januar 2013</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_Toc391624706 \h </w:instrText>
            </w:r>
            <w:r w:rsidR="004421B6" w:rsidRPr="004421B6">
              <w:rPr>
                <w:noProof/>
                <w:webHidden/>
              </w:rPr>
            </w:r>
            <w:r w:rsidR="004421B6" w:rsidRPr="004421B6">
              <w:rPr>
                <w:noProof/>
                <w:webHidden/>
              </w:rPr>
              <w:fldChar w:fldCharType="separate"/>
            </w:r>
            <w:r>
              <w:rPr>
                <w:noProof/>
                <w:webHidden/>
              </w:rPr>
              <w:t>60</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707" w:history="1">
            <w:r w:rsidR="004421B6" w:rsidRPr="004421B6">
              <w:rPr>
                <w:rStyle w:val="Hyperlink"/>
                <w:noProof/>
              </w:rPr>
              <w:t>Beskrivelse af den fundne population</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_Toc391624707 \h </w:instrText>
            </w:r>
            <w:r w:rsidR="004421B6" w:rsidRPr="004421B6">
              <w:rPr>
                <w:noProof/>
                <w:webHidden/>
              </w:rPr>
            </w:r>
            <w:r w:rsidR="004421B6" w:rsidRPr="004421B6">
              <w:rPr>
                <w:noProof/>
                <w:webHidden/>
              </w:rPr>
              <w:fldChar w:fldCharType="separate"/>
            </w:r>
            <w:r>
              <w:rPr>
                <w:noProof/>
                <w:webHidden/>
              </w:rPr>
              <w:t>61</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708" w:history="1">
            <w:r w:rsidR="004421B6" w:rsidRPr="004421B6">
              <w:rPr>
                <w:rStyle w:val="Hyperlink"/>
                <w:noProof/>
              </w:rPr>
              <w:t>Antal personer med demens år 2007-2013</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_Toc391624708 \h </w:instrText>
            </w:r>
            <w:r w:rsidR="004421B6" w:rsidRPr="004421B6">
              <w:rPr>
                <w:noProof/>
                <w:webHidden/>
              </w:rPr>
            </w:r>
            <w:r w:rsidR="004421B6" w:rsidRPr="004421B6">
              <w:rPr>
                <w:noProof/>
                <w:webHidden/>
              </w:rPr>
              <w:fldChar w:fldCharType="separate"/>
            </w:r>
            <w:r>
              <w:rPr>
                <w:noProof/>
                <w:webHidden/>
              </w:rPr>
              <w:t>62</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709" w:history="1">
            <w:r w:rsidR="004421B6" w:rsidRPr="004421B6">
              <w:rPr>
                <w:rStyle w:val="Hyperlink"/>
                <w:noProof/>
              </w:rPr>
              <w:t>Andre kilders oplysninger</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_Toc391624709 \h </w:instrText>
            </w:r>
            <w:r w:rsidR="004421B6" w:rsidRPr="004421B6">
              <w:rPr>
                <w:noProof/>
                <w:webHidden/>
              </w:rPr>
            </w:r>
            <w:r w:rsidR="004421B6" w:rsidRPr="004421B6">
              <w:rPr>
                <w:noProof/>
                <w:webHidden/>
              </w:rPr>
              <w:fldChar w:fldCharType="separate"/>
            </w:r>
            <w:r>
              <w:rPr>
                <w:noProof/>
                <w:webHidden/>
              </w:rPr>
              <w:t>63</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710" w:history="1">
            <w:r w:rsidR="004421B6" w:rsidRPr="004421B6">
              <w:rPr>
                <w:rStyle w:val="Hyperlink"/>
                <w:noProof/>
              </w:rPr>
              <w:t>Forbehold ved udvælgelsen</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_Toc391624710 \h </w:instrText>
            </w:r>
            <w:r w:rsidR="004421B6" w:rsidRPr="004421B6">
              <w:rPr>
                <w:noProof/>
                <w:webHidden/>
              </w:rPr>
            </w:r>
            <w:r w:rsidR="004421B6" w:rsidRPr="004421B6">
              <w:rPr>
                <w:noProof/>
                <w:webHidden/>
              </w:rPr>
              <w:fldChar w:fldCharType="separate"/>
            </w:r>
            <w:r>
              <w:rPr>
                <w:noProof/>
                <w:webHidden/>
              </w:rPr>
              <w:t>64</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711" w:history="1">
            <w:r w:rsidR="004421B6" w:rsidRPr="004421B6">
              <w:rPr>
                <w:rStyle w:val="Hyperlink"/>
                <w:noProof/>
              </w:rPr>
              <w:t>Fremtidig udbygning</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_Toc391624711 \h </w:instrText>
            </w:r>
            <w:r w:rsidR="004421B6" w:rsidRPr="004421B6">
              <w:rPr>
                <w:noProof/>
                <w:webHidden/>
              </w:rPr>
            </w:r>
            <w:r w:rsidR="004421B6" w:rsidRPr="004421B6">
              <w:rPr>
                <w:noProof/>
                <w:webHidden/>
              </w:rPr>
              <w:fldChar w:fldCharType="separate"/>
            </w:r>
            <w:r>
              <w:rPr>
                <w:noProof/>
                <w:webHidden/>
              </w:rPr>
              <w:t>64</w:t>
            </w:r>
            <w:r w:rsidR="004421B6" w:rsidRPr="004421B6">
              <w:rPr>
                <w:noProof/>
                <w:webHidden/>
              </w:rPr>
              <w:fldChar w:fldCharType="end"/>
            </w:r>
          </w:hyperlink>
        </w:p>
        <w:p w:rsidR="004421B6" w:rsidRPr="004421B6" w:rsidRDefault="00581054">
          <w:pPr>
            <w:pStyle w:val="Indholdsfortegnelse1"/>
            <w:tabs>
              <w:tab w:val="right" w:leader="dot" w:pos="9628"/>
            </w:tabs>
            <w:rPr>
              <w:noProof/>
              <w:lang w:eastAsia="da-DK"/>
            </w:rPr>
          </w:pPr>
          <w:hyperlink w:anchor="_Toc391624712" w:history="1">
            <w:r w:rsidR="004421B6" w:rsidRPr="004421B6">
              <w:rPr>
                <w:rStyle w:val="Hyperlink"/>
                <w:noProof/>
              </w:rPr>
              <w:t>8. Hjerteinsufficiens (hjertesvigt)</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_Toc391624712 \h </w:instrText>
            </w:r>
            <w:r w:rsidR="004421B6" w:rsidRPr="004421B6">
              <w:rPr>
                <w:noProof/>
                <w:webHidden/>
              </w:rPr>
            </w:r>
            <w:r w:rsidR="004421B6" w:rsidRPr="004421B6">
              <w:rPr>
                <w:noProof/>
                <w:webHidden/>
              </w:rPr>
              <w:fldChar w:fldCharType="separate"/>
            </w:r>
            <w:r>
              <w:rPr>
                <w:noProof/>
                <w:webHidden/>
              </w:rPr>
              <w:t>65</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713" w:history="1">
            <w:r w:rsidR="004421B6" w:rsidRPr="004421B6">
              <w:rPr>
                <w:rStyle w:val="Hyperlink"/>
                <w:noProof/>
              </w:rPr>
              <w:t>Årsag til udvælgelse</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_Toc391624713 \h </w:instrText>
            </w:r>
            <w:r w:rsidR="004421B6" w:rsidRPr="004421B6">
              <w:rPr>
                <w:noProof/>
                <w:webHidden/>
              </w:rPr>
            </w:r>
            <w:r w:rsidR="004421B6" w:rsidRPr="004421B6">
              <w:rPr>
                <w:noProof/>
                <w:webHidden/>
              </w:rPr>
              <w:fldChar w:fldCharType="separate"/>
            </w:r>
            <w:r>
              <w:rPr>
                <w:noProof/>
                <w:webHidden/>
              </w:rPr>
              <w:t>65</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714" w:history="1">
            <w:r w:rsidR="004421B6" w:rsidRPr="004421B6">
              <w:rPr>
                <w:rStyle w:val="Hyperlink"/>
                <w:noProof/>
              </w:rPr>
              <w:t>Rationale for udvælgelsesmetode og registre</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_Toc391624714 \h </w:instrText>
            </w:r>
            <w:r w:rsidR="004421B6" w:rsidRPr="004421B6">
              <w:rPr>
                <w:noProof/>
                <w:webHidden/>
              </w:rPr>
            </w:r>
            <w:r w:rsidR="004421B6" w:rsidRPr="004421B6">
              <w:rPr>
                <w:noProof/>
                <w:webHidden/>
              </w:rPr>
              <w:fldChar w:fldCharType="separate"/>
            </w:r>
            <w:r>
              <w:rPr>
                <w:noProof/>
                <w:webHidden/>
              </w:rPr>
              <w:t>65</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715" w:history="1">
            <w:r w:rsidR="004421B6" w:rsidRPr="004421B6">
              <w:rPr>
                <w:rStyle w:val="Hyperlink"/>
                <w:rFonts w:cstheme="majorHAnsi"/>
                <w:noProof/>
              </w:rPr>
              <w:t>Inklusion og eksklusionskoder fra registre</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_Toc391624715 \h </w:instrText>
            </w:r>
            <w:r w:rsidR="004421B6" w:rsidRPr="004421B6">
              <w:rPr>
                <w:noProof/>
                <w:webHidden/>
              </w:rPr>
            </w:r>
            <w:r w:rsidR="004421B6" w:rsidRPr="004421B6">
              <w:rPr>
                <w:noProof/>
                <w:webHidden/>
              </w:rPr>
              <w:fldChar w:fldCharType="separate"/>
            </w:r>
            <w:r>
              <w:rPr>
                <w:noProof/>
                <w:webHidden/>
              </w:rPr>
              <w:t>65</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716" w:history="1">
            <w:r w:rsidR="004421B6" w:rsidRPr="004421B6">
              <w:rPr>
                <w:rStyle w:val="Hyperlink"/>
                <w:rFonts w:asciiTheme="majorHAnsi" w:hAnsiTheme="majorHAnsi" w:cstheme="majorHAnsi"/>
                <w:noProof/>
              </w:rPr>
              <w:t>Flowdiagram for dannelse af hjerteinsufficiens population i RUKS pr. 1. januar 2013</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_Toc391624716 \h </w:instrText>
            </w:r>
            <w:r w:rsidR="004421B6" w:rsidRPr="004421B6">
              <w:rPr>
                <w:noProof/>
                <w:webHidden/>
              </w:rPr>
            </w:r>
            <w:r w:rsidR="004421B6" w:rsidRPr="004421B6">
              <w:rPr>
                <w:noProof/>
                <w:webHidden/>
              </w:rPr>
              <w:fldChar w:fldCharType="separate"/>
            </w:r>
            <w:r>
              <w:rPr>
                <w:noProof/>
                <w:webHidden/>
              </w:rPr>
              <w:t>67</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717" w:history="1">
            <w:r w:rsidR="004421B6" w:rsidRPr="004421B6">
              <w:rPr>
                <w:rStyle w:val="Hyperlink"/>
                <w:rFonts w:cstheme="majorHAnsi"/>
                <w:noProof/>
              </w:rPr>
              <w:t>Beskrivelse af den fundne population</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_Toc391624717 \h </w:instrText>
            </w:r>
            <w:r w:rsidR="004421B6" w:rsidRPr="004421B6">
              <w:rPr>
                <w:noProof/>
                <w:webHidden/>
              </w:rPr>
            </w:r>
            <w:r w:rsidR="004421B6" w:rsidRPr="004421B6">
              <w:rPr>
                <w:noProof/>
                <w:webHidden/>
              </w:rPr>
              <w:fldChar w:fldCharType="separate"/>
            </w:r>
            <w:r>
              <w:rPr>
                <w:noProof/>
                <w:webHidden/>
              </w:rPr>
              <w:t>68</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718" w:history="1">
            <w:r w:rsidR="004421B6" w:rsidRPr="004421B6">
              <w:rPr>
                <w:rStyle w:val="Hyperlink"/>
                <w:rFonts w:cstheme="majorHAnsi"/>
                <w:noProof/>
              </w:rPr>
              <w:t>Antal personer med kronisk hjertesvigt i perioden 2007 til 2013 i RUKS</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_Toc391624718 \h </w:instrText>
            </w:r>
            <w:r w:rsidR="004421B6" w:rsidRPr="004421B6">
              <w:rPr>
                <w:noProof/>
                <w:webHidden/>
              </w:rPr>
            </w:r>
            <w:r w:rsidR="004421B6" w:rsidRPr="004421B6">
              <w:rPr>
                <w:noProof/>
                <w:webHidden/>
              </w:rPr>
              <w:fldChar w:fldCharType="separate"/>
            </w:r>
            <w:r>
              <w:rPr>
                <w:noProof/>
                <w:webHidden/>
              </w:rPr>
              <w:t>68</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719" w:history="1">
            <w:r w:rsidR="004421B6" w:rsidRPr="004421B6">
              <w:rPr>
                <w:rStyle w:val="Hyperlink"/>
                <w:rFonts w:cstheme="majorHAnsi"/>
                <w:noProof/>
              </w:rPr>
              <w:t>Andre kilders oplysninger</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_Toc391624719 \h </w:instrText>
            </w:r>
            <w:r w:rsidR="004421B6" w:rsidRPr="004421B6">
              <w:rPr>
                <w:noProof/>
                <w:webHidden/>
              </w:rPr>
            </w:r>
            <w:r w:rsidR="004421B6" w:rsidRPr="004421B6">
              <w:rPr>
                <w:noProof/>
                <w:webHidden/>
              </w:rPr>
              <w:fldChar w:fldCharType="separate"/>
            </w:r>
            <w:r>
              <w:rPr>
                <w:noProof/>
                <w:webHidden/>
              </w:rPr>
              <w:t>69</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720" w:history="1">
            <w:r w:rsidR="004421B6" w:rsidRPr="004421B6">
              <w:rPr>
                <w:rStyle w:val="Hyperlink"/>
                <w:rFonts w:cstheme="majorHAnsi"/>
                <w:noProof/>
              </w:rPr>
              <w:t>Forbehold ved udvælgelsen</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_Toc391624720 \h </w:instrText>
            </w:r>
            <w:r w:rsidR="004421B6" w:rsidRPr="004421B6">
              <w:rPr>
                <w:noProof/>
                <w:webHidden/>
              </w:rPr>
            </w:r>
            <w:r w:rsidR="004421B6" w:rsidRPr="004421B6">
              <w:rPr>
                <w:noProof/>
                <w:webHidden/>
              </w:rPr>
              <w:fldChar w:fldCharType="separate"/>
            </w:r>
            <w:r>
              <w:rPr>
                <w:noProof/>
                <w:webHidden/>
              </w:rPr>
              <w:t>70</w:t>
            </w:r>
            <w:r w:rsidR="004421B6" w:rsidRPr="004421B6">
              <w:rPr>
                <w:noProof/>
                <w:webHidden/>
              </w:rPr>
              <w:fldChar w:fldCharType="end"/>
            </w:r>
          </w:hyperlink>
        </w:p>
        <w:p w:rsidR="004421B6" w:rsidRPr="004421B6" w:rsidRDefault="00581054">
          <w:pPr>
            <w:pStyle w:val="Indholdsfortegnelse2"/>
            <w:tabs>
              <w:tab w:val="right" w:leader="dot" w:pos="9628"/>
            </w:tabs>
            <w:rPr>
              <w:noProof/>
              <w:lang w:eastAsia="da-DK"/>
            </w:rPr>
          </w:pPr>
          <w:hyperlink w:anchor="_Toc391624721" w:history="1">
            <w:r w:rsidR="004421B6" w:rsidRPr="004421B6">
              <w:rPr>
                <w:rStyle w:val="Hyperlink"/>
                <w:noProof/>
              </w:rPr>
              <w:t>Fremtidig udbygning</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_Toc391624721 \h </w:instrText>
            </w:r>
            <w:r w:rsidR="004421B6" w:rsidRPr="004421B6">
              <w:rPr>
                <w:noProof/>
                <w:webHidden/>
              </w:rPr>
            </w:r>
            <w:r w:rsidR="004421B6" w:rsidRPr="004421B6">
              <w:rPr>
                <w:noProof/>
                <w:webHidden/>
              </w:rPr>
              <w:fldChar w:fldCharType="separate"/>
            </w:r>
            <w:r>
              <w:rPr>
                <w:noProof/>
                <w:webHidden/>
              </w:rPr>
              <w:t>70</w:t>
            </w:r>
            <w:r w:rsidR="004421B6" w:rsidRPr="004421B6">
              <w:rPr>
                <w:noProof/>
                <w:webHidden/>
              </w:rPr>
              <w:fldChar w:fldCharType="end"/>
            </w:r>
          </w:hyperlink>
        </w:p>
        <w:p w:rsidR="004421B6" w:rsidRDefault="00581054">
          <w:pPr>
            <w:pStyle w:val="Indholdsfortegnelse1"/>
            <w:tabs>
              <w:tab w:val="right" w:leader="dot" w:pos="9628"/>
            </w:tabs>
            <w:rPr>
              <w:noProof/>
              <w:lang w:eastAsia="da-DK"/>
            </w:rPr>
          </w:pPr>
          <w:hyperlink w:anchor="_Toc391624722" w:history="1">
            <w:r w:rsidR="004421B6" w:rsidRPr="004421B6">
              <w:rPr>
                <w:rStyle w:val="Hyperlink"/>
                <w:noProof/>
              </w:rPr>
              <w:t>Referencer</w:t>
            </w:r>
            <w:r w:rsidR="004421B6" w:rsidRPr="004421B6">
              <w:rPr>
                <w:noProof/>
                <w:webHidden/>
              </w:rPr>
              <w:tab/>
            </w:r>
            <w:r w:rsidR="004421B6" w:rsidRPr="004421B6">
              <w:rPr>
                <w:noProof/>
                <w:webHidden/>
              </w:rPr>
              <w:fldChar w:fldCharType="begin"/>
            </w:r>
            <w:r w:rsidR="004421B6" w:rsidRPr="004421B6">
              <w:rPr>
                <w:noProof/>
                <w:webHidden/>
              </w:rPr>
              <w:instrText xml:space="preserve"> PAGEREF _Toc391624722 \h </w:instrText>
            </w:r>
            <w:r w:rsidR="004421B6" w:rsidRPr="004421B6">
              <w:rPr>
                <w:noProof/>
                <w:webHidden/>
              </w:rPr>
            </w:r>
            <w:r w:rsidR="004421B6" w:rsidRPr="004421B6">
              <w:rPr>
                <w:noProof/>
                <w:webHidden/>
              </w:rPr>
              <w:fldChar w:fldCharType="separate"/>
            </w:r>
            <w:r>
              <w:rPr>
                <w:noProof/>
                <w:webHidden/>
              </w:rPr>
              <w:t>71</w:t>
            </w:r>
            <w:r w:rsidR="004421B6" w:rsidRPr="004421B6">
              <w:rPr>
                <w:noProof/>
                <w:webHidden/>
              </w:rPr>
              <w:fldChar w:fldCharType="end"/>
            </w:r>
          </w:hyperlink>
        </w:p>
        <w:p w:rsidR="007B1873" w:rsidRPr="005064F8" w:rsidRDefault="007B1873" w:rsidP="007B1873">
          <w:pPr>
            <w:rPr>
              <w:bCs/>
              <w:szCs w:val="20"/>
            </w:rPr>
          </w:pPr>
          <w:r w:rsidRPr="005064F8">
            <w:rPr>
              <w:bCs/>
              <w:szCs w:val="20"/>
            </w:rPr>
            <w:fldChar w:fldCharType="end"/>
          </w:r>
        </w:p>
      </w:sdtContent>
    </w:sdt>
    <w:p w:rsidR="007B1873" w:rsidRPr="005064F8" w:rsidRDefault="007B1873" w:rsidP="00F85217">
      <w:pPr>
        <w:rPr>
          <w:szCs w:val="20"/>
        </w:rPr>
      </w:pPr>
    </w:p>
    <w:p w:rsidR="00264164" w:rsidRPr="005064F8" w:rsidRDefault="00264164" w:rsidP="00F85217">
      <w:pPr>
        <w:rPr>
          <w:szCs w:val="20"/>
        </w:rPr>
      </w:pPr>
    </w:p>
    <w:p w:rsidR="00264164" w:rsidRPr="005064F8" w:rsidRDefault="00264164" w:rsidP="00F85217">
      <w:pPr>
        <w:rPr>
          <w:szCs w:val="20"/>
        </w:rPr>
      </w:pPr>
    </w:p>
    <w:p w:rsidR="00264164" w:rsidRPr="002D5E1B" w:rsidRDefault="00264164" w:rsidP="00F85217">
      <w:pPr>
        <w:rPr>
          <w:b/>
          <w:szCs w:val="20"/>
        </w:rPr>
      </w:pPr>
    </w:p>
    <w:p w:rsidR="00264164" w:rsidRPr="002D5E1B" w:rsidRDefault="00264164" w:rsidP="00F85217">
      <w:pPr>
        <w:rPr>
          <w:b/>
          <w:szCs w:val="20"/>
        </w:rPr>
      </w:pPr>
    </w:p>
    <w:p w:rsidR="00264164" w:rsidRPr="002D5E1B" w:rsidRDefault="00264164" w:rsidP="00F85217">
      <w:pPr>
        <w:rPr>
          <w:b/>
          <w:szCs w:val="20"/>
        </w:rPr>
      </w:pPr>
    </w:p>
    <w:p w:rsidR="00264164" w:rsidRPr="002D5E1B" w:rsidRDefault="00264164" w:rsidP="00F85217">
      <w:pPr>
        <w:rPr>
          <w:b/>
          <w:szCs w:val="20"/>
        </w:rPr>
      </w:pPr>
    </w:p>
    <w:p w:rsidR="00264164" w:rsidRPr="002D5E1B" w:rsidRDefault="00264164" w:rsidP="00F85217">
      <w:pPr>
        <w:rPr>
          <w:b/>
          <w:szCs w:val="20"/>
        </w:rPr>
      </w:pPr>
    </w:p>
    <w:p w:rsidR="00264164" w:rsidRPr="002D5E1B" w:rsidRDefault="00264164" w:rsidP="00F85217">
      <w:pPr>
        <w:rPr>
          <w:b/>
          <w:szCs w:val="20"/>
        </w:rPr>
      </w:pPr>
    </w:p>
    <w:p w:rsidR="00264164" w:rsidRPr="002D5E1B" w:rsidRDefault="00264164" w:rsidP="00F85217">
      <w:pPr>
        <w:rPr>
          <w:b/>
          <w:szCs w:val="20"/>
        </w:rPr>
      </w:pPr>
    </w:p>
    <w:p w:rsidR="00264164" w:rsidRPr="002D5E1B" w:rsidRDefault="00264164" w:rsidP="00F85217">
      <w:pPr>
        <w:rPr>
          <w:b/>
          <w:szCs w:val="20"/>
        </w:rPr>
      </w:pPr>
    </w:p>
    <w:p w:rsidR="00074F87" w:rsidRPr="002D5E1B" w:rsidRDefault="00F85217" w:rsidP="002D5E1B">
      <w:pPr>
        <w:pStyle w:val="Overskrift1"/>
        <w:rPr>
          <w:b/>
          <w:sz w:val="20"/>
          <w:szCs w:val="20"/>
        </w:rPr>
      </w:pPr>
      <w:bookmarkStart w:id="1" w:name="_Toc391624641"/>
      <w:r w:rsidRPr="002D5E1B">
        <w:rPr>
          <w:rFonts w:cstheme="majorHAnsi"/>
          <w:b/>
          <w:sz w:val="20"/>
          <w:szCs w:val="20"/>
        </w:rPr>
        <w:t>Baggrund</w:t>
      </w:r>
      <w:bookmarkEnd w:id="1"/>
    </w:p>
    <w:p w:rsidR="00F85217" w:rsidRPr="002D5E1B" w:rsidRDefault="00F85217" w:rsidP="00F85217">
      <w:pPr>
        <w:rPr>
          <w:szCs w:val="20"/>
        </w:rPr>
      </w:pPr>
      <w:r w:rsidRPr="002D5E1B">
        <w:rPr>
          <w:szCs w:val="20"/>
        </w:rPr>
        <w:t>Sundhedsstyrelsen udviklede i 2011 en algoritme i projektet om den forstærkede indsats for kronisk sygdom. Algoritmen er anvendt til monitorering af kronisk sygdom og inkluderede fem populationer:</w:t>
      </w:r>
    </w:p>
    <w:p w:rsidR="009B1F70" w:rsidRPr="002D5E1B" w:rsidRDefault="009B1F70" w:rsidP="00F85217">
      <w:pPr>
        <w:rPr>
          <w:szCs w:val="20"/>
        </w:rPr>
      </w:pPr>
    </w:p>
    <w:p w:rsidR="00F85217" w:rsidRPr="002D5E1B" w:rsidRDefault="00F85217" w:rsidP="00F85217">
      <w:pPr>
        <w:pStyle w:val="Listeafsnit"/>
        <w:numPr>
          <w:ilvl w:val="0"/>
          <w:numId w:val="6"/>
        </w:numPr>
        <w:spacing w:after="200" w:line="276" w:lineRule="auto"/>
        <w:rPr>
          <w:szCs w:val="20"/>
        </w:rPr>
      </w:pPr>
      <w:r w:rsidRPr="002D5E1B">
        <w:rPr>
          <w:szCs w:val="20"/>
        </w:rPr>
        <w:t>Diabetes</w:t>
      </w:r>
    </w:p>
    <w:p w:rsidR="00F85217" w:rsidRPr="002D5E1B" w:rsidRDefault="00F85217" w:rsidP="00F85217">
      <w:pPr>
        <w:pStyle w:val="Listeafsnit"/>
        <w:numPr>
          <w:ilvl w:val="0"/>
          <w:numId w:val="6"/>
        </w:numPr>
        <w:spacing w:after="200" w:line="276" w:lineRule="auto"/>
        <w:rPr>
          <w:szCs w:val="20"/>
        </w:rPr>
      </w:pPr>
      <w:r w:rsidRPr="002D5E1B">
        <w:rPr>
          <w:szCs w:val="20"/>
        </w:rPr>
        <w:t>Hjertekarsygdomme</w:t>
      </w:r>
    </w:p>
    <w:p w:rsidR="00F85217" w:rsidRPr="002D5E1B" w:rsidRDefault="00F85217" w:rsidP="00F85217">
      <w:pPr>
        <w:pStyle w:val="Listeafsnit"/>
        <w:numPr>
          <w:ilvl w:val="0"/>
          <w:numId w:val="6"/>
        </w:numPr>
        <w:spacing w:after="200" w:line="276" w:lineRule="auto"/>
        <w:rPr>
          <w:szCs w:val="20"/>
        </w:rPr>
      </w:pPr>
      <w:r w:rsidRPr="002D5E1B">
        <w:rPr>
          <w:szCs w:val="20"/>
        </w:rPr>
        <w:t>Kroniske lungesygdomme</w:t>
      </w:r>
    </w:p>
    <w:p w:rsidR="00F85217" w:rsidRPr="002D5E1B" w:rsidRDefault="00F85217" w:rsidP="00F85217">
      <w:pPr>
        <w:pStyle w:val="Listeafsnit"/>
        <w:numPr>
          <w:ilvl w:val="0"/>
          <w:numId w:val="6"/>
        </w:numPr>
        <w:spacing w:after="200" w:line="276" w:lineRule="auto"/>
        <w:rPr>
          <w:szCs w:val="20"/>
        </w:rPr>
      </w:pPr>
      <w:r w:rsidRPr="002D5E1B">
        <w:rPr>
          <w:szCs w:val="20"/>
        </w:rPr>
        <w:t>Knoglesygdomme og leddegigt</w:t>
      </w:r>
    </w:p>
    <w:p w:rsidR="00F85217" w:rsidRPr="002D5E1B" w:rsidRDefault="00F85217" w:rsidP="00F85217">
      <w:pPr>
        <w:pStyle w:val="Listeafsnit"/>
        <w:numPr>
          <w:ilvl w:val="0"/>
          <w:numId w:val="6"/>
        </w:numPr>
        <w:spacing w:after="200" w:line="276" w:lineRule="auto"/>
        <w:rPr>
          <w:szCs w:val="20"/>
        </w:rPr>
      </w:pPr>
      <w:r w:rsidRPr="002D5E1B">
        <w:rPr>
          <w:szCs w:val="20"/>
        </w:rPr>
        <w:t>Psykiske sygdomme (bestående af skizofreni, affektive sindslidelser og demens)</w:t>
      </w:r>
    </w:p>
    <w:p w:rsidR="009F764A" w:rsidRPr="002D5E1B" w:rsidRDefault="00433411" w:rsidP="007C51E5">
      <w:pPr>
        <w:autoSpaceDE w:val="0"/>
        <w:autoSpaceDN w:val="0"/>
        <w:adjustRightInd w:val="0"/>
        <w:spacing w:line="240" w:lineRule="auto"/>
        <w:rPr>
          <w:rFonts w:cstheme="minorHAnsi"/>
          <w:szCs w:val="20"/>
        </w:rPr>
      </w:pPr>
      <w:r w:rsidRPr="002D5E1B">
        <w:rPr>
          <w:rFonts w:cstheme="minorHAnsi"/>
          <w:szCs w:val="20"/>
        </w:rPr>
        <w:t>Sundhedsstyrelsen valgte s</w:t>
      </w:r>
      <w:r w:rsidR="0020482C" w:rsidRPr="002D5E1B">
        <w:rPr>
          <w:rFonts w:cstheme="minorHAnsi"/>
          <w:szCs w:val="20"/>
        </w:rPr>
        <w:t>ygdomsgrupperne ud fra, at de er relativt udbredte kroniske sygdomme, hvor registerdata samtidig er tilgængelige, og der arbejdes med forløbsprogrammer i</w:t>
      </w:r>
      <w:r w:rsidRPr="002D5E1B">
        <w:rPr>
          <w:rFonts w:cstheme="minorHAnsi"/>
          <w:szCs w:val="20"/>
        </w:rPr>
        <w:t xml:space="preserve"> </w:t>
      </w:r>
      <w:r w:rsidR="0020482C" w:rsidRPr="002D5E1B">
        <w:rPr>
          <w:rFonts w:cstheme="minorHAnsi"/>
          <w:szCs w:val="20"/>
        </w:rPr>
        <w:t>sundhedsvæsnet</w:t>
      </w:r>
      <w:r w:rsidRPr="002D5E1B">
        <w:rPr>
          <w:rStyle w:val="Slutnotehenvisning"/>
          <w:rFonts w:cstheme="minorHAnsi"/>
          <w:szCs w:val="20"/>
        </w:rPr>
        <w:endnoteReference w:id="1"/>
      </w:r>
      <w:r w:rsidR="0020482C" w:rsidRPr="002D5E1B">
        <w:rPr>
          <w:rFonts w:cstheme="minorHAnsi"/>
          <w:szCs w:val="20"/>
        </w:rPr>
        <w:t>.</w:t>
      </w:r>
    </w:p>
    <w:p w:rsidR="00433411" w:rsidRPr="002D5E1B" w:rsidRDefault="00433411" w:rsidP="00F85217">
      <w:pPr>
        <w:rPr>
          <w:szCs w:val="20"/>
        </w:rPr>
      </w:pPr>
    </w:p>
    <w:p w:rsidR="00F85217" w:rsidRPr="002D5E1B" w:rsidRDefault="00870FB7" w:rsidP="00F85217">
      <w:pPr>
        <w:rPr>
          <w:szCs w:val="20"/>
        </w:rPr>
      </w:pPr>
      <w:r>
        <w:rPr>
          <w:szCs w:val="20"/>
        </w:rPr>
        <w:t>Statens Serum Institut (</w:t>
      </w:r>
      <w:r w:rsidR="00F85217" w:rsidRPr="002D5E1B">
        <w:rPr>
          <w:szCs w:val="20"/>
        </w:rPr>
        <w:t>SSI</w:t>
      </w:r>
      <w:r>
        <w:rPr>
          <w:szCs w:val="20"/>
        </w:rPr>
        <w:t>)</w:t>
      </w:r>
      <w:r w:rsidR="00F85217" w:rsidRPr="002D5E1B">
        <w:rPr>
          <w:szCs w:val="20"/>
        </w:rPr>
        <w:t xml:space="preserve"> vil i første omgang tage udgangspunkt i de sygdomme, der var med i Sundhedsstyrelsens monitorering, men ønsker at øge anvendeligheden af registeret ved at underopdele og videreudvikle Sundhedsstyrelsens sygdomsalgoritmer, således at forskellige typer af sygdomme – </w:t>
      </w:r>
      <w:r w:rsidR="000147A5" w:rsidRPr="002D5E1B">
        <w:rPr>
          <w:szCs w:val="20"/>
        </w:rPr>
        <w:t>fx</w:t>
      </w:r>
      <w:r w:rsidR="00F85217" w:rsidRPr="002D5E1B">
        <w:rPr>
          <w:szCs w:val="20"/>
        </w:rPr>
        <w:t xml:space="preserve"> autoimmune og mere livsstilsbetingede, forebyggelige sygdomme – adskilles og </w:t>
      </w:r>
      <w:r w:rsidR="009F764A" w:rsidRPr="002D5E1B">
        <w:rPr>
          <w:szCs w:val="20"/>
        </w:rPr>
        <w:t xml:space="preserve">at </w:t>
      </w:r>
      <w:r w:rsidR="00F85217" w:rsidRPr="002D5E1B">
        <w:rPr>
          <w:szCs w:val="20"/>
        </w:rPr>
        <w:t>de inkluderede personer med højere sandsynlighed har de udvalgte kroniske sygdomme.</w:t>
      </w:r>
    </w:p>
    <w:p w:rsidR="00DC60A2" w:rsidRPr="002D5E1B" w:rsidRDefault="00DC60A2" w:rsidP="00F85217">
      <w:pPr>
        <w:rPr>
          <w:szCs w:val="20"/>
        </w:rPr>
      </w:pPr>
    </w:p>
    <w:p w:rsidR="00104A95" w:rsidRPr="002D5E1B" w:rsidRDefault="00104A95" w:rsidP="00264164">
      <w:pPr>
        <w:pStyle w:val="Overskrift1"/>
        <w:rPr>
          <w:b/>
          <w:sz w:val="20"/>
          <w:szCs w:val="20"/>
        </w:rPr>
      </w:pPr>
      <w:bookmarkStart w:id="2" w:name="_Toc391624642"/>
      <w:r w:rsidRPr="002D5E1B">
        <w:rPr>
          <w:rFonts w:cstheme="majorHAnsi"/>
          <w:b/>
          <w:sz w:val="20"/>
          <w:szCs w:val="20"/>
        </w:rPr>
        <w:t>Det nye Register for Udvalgte Kroniske Sygdomme (RUKS)</w:t>
      </w:r>
      <w:bookmarkEnd w:id="2"/>
    </w:p>
    <w:p w:rsidR="00F85217" w:rsidRPr="002D5E1B" w:rsidRDefault="00F85217" w:rsidP="00F85217">
      <w:pPr>
        <w:rPr>
          <w:szCs w:val="20"/>
        </w:rPr>
      </w:pPr>
      <w:r w:rsidRPr="002D5E1B">
        <w:rPr>
          <w:szCs w:val="20"/>
        </w:rPr>
        <w:t>Registeret vil i første udgave indeholde følgende subpopulationer</w:t>
      </w:r>
      <w:r w:rsidRPr="002D5E1B">
        <w:rPr>
          <w:rStyle w:val="Fodnotehenvisning"/>
          <w:szCs w:val="20"/>
        </w:rPr>
        <w:footnoteReference w:id="1"/>
      </w:r>
      <w:r w:rsidRPr="002D5E1B">
        <w:rPr>
          <w:szCs w:val="20"/>
        </w:rPr>
        <w:t xml:space="preserve">: </w:t>
      </w:r>
    </w:p>
    <w:p w:rsidR="007317EA" w:rsidRPr="002D5E1B" w:rsidRDefault="007317EA" w:rsidP="00F85217">
      <w:pPr>
        <w:rPr>
          <w:szCs w:val="20"/>
        </w:rPr>
      </w:pPr>
    </w:p>
    <w:p w:rsidR="00F85217" w:rsidRPr="002D5E1B" w:rsidRDefault="00F85217" w:rsidP="00F85217">
      <w:pPr>
        <w:pStyle w:val="Listeafsnit"/>
        <w:numPr>
          <w:ilvl w:val="0"/>
          <w:numId w:val="7"/>
        </w:numPr>
        <w:spacing w:after="200" w:line="276" w:lineRule="auto"/>
        <w:rPr>
          <w:szCs w:val="20"/>
        </w:rPr>
      </w:pPr>
      <w:r w:rsidRPr="002D5E1B">
        <w:rPr>
          <w:szCs w:val="20"/>
        </w:rPr>
        <w:t>Type 2 – diabetes</w:t>
      </w:r>
    </w:p>
    <w:p w:rsidR="00F85217" w:rsidRPr="002D5E1B" w:rsidRDefault="00433E50" w:rsidP="00F85217">
      <w:pPr>
        <w:pStyle w:val="Listeafsnit"/>
        <w:numPr>
          <w:ilvl w:val="0"/>
          <w:numId w:val="7"/>
        </w:numPr>
        <w:spacing w:after="200" w:line="276" w:lineRule="auto"/>
        <w:rPr>
          <w:szCs w:val="20"/>
        </w:rPr>
      </w:pPr>
      <w:r w:rsidRPr="002D5E1B">
        <w:rPr>
          <w:szCs w:val="20"/>
        </w:rPr>
        <w:t>Type 1 – diabetes</w:t>
      </w:r>
    </w:p>
    <w:p w:rsidR="00F85217" w:rsidRPr="002D5E1B" w:rsidRDefault="00F85217" w:rsidP="007C51E5">
      <w:pPr>
        <w:pStyle w:val="Listeafsnit"/>
        <w:numPr>
          <w:ilvl w:val="0"/>
          <w:numId w:val="7"/>
        </w:numPr>
        <w:spacing w:after="200" w:line="276" w:lineRule="auto"/>
        <w:rPr>
          <w:szCs w:val="20"/>
        </w:rPr>
      </w:pPr>
      <w:r w:rsidRPr="002D5E1B">
        <w:rPr>
          <w:szCs w:val="20"/>
        </w:rPr>
        <w:t>Hjerteinsufficiens</w:t>
      </w:r>
    </w:p>
    <w:p w:rsidR="00F85217" w:rsidRPr="002D5E1B" w:rsidRDefault="00F85217" w:rsidP="00F85217">
      <w:pPr>
        <w:pStyle w:val="Listeafsnit"/>
        <w:numPr>
          <w:ilvl w:val="0"/>
          <w:numId w:val="7"/>
        </w:numPr>
        <w:spacing w:after="200" w:line="276" w:lineRule="auto"/>
        <w:rPr>
          <w:szCs w:val="20"/>
        </w:rPr>
      </w:pPr>
      <w:r w:rsidRPr="002D5E1B">
        <w:rPr>
          <w:szCs w:val="20"/>
        </w:rPr>
        <w:t>Kronisk obstruktiv lungesygdom (KOL)</w:t>
      </w:r>
    </w:p>
    <w:p w:rsidR="00F85217" w:rsidRPr="002D5E1B" w:rsidRDefault="00F85217" w:rsidP="00F85217">
      <w:pPr>
        <w:pStyle w:val="Listeafsnit"/>
        <w:numPr>
          <w:ilvl w:val="0"/>
          <w:numId w:val="7"/>
        </w:numPr>
        <w:spacing w:after="200" w:line="276" w:lineRule="auto"/>
        <w:rPr>
          <w:szCs w:val="20"/>
        </w:rPr>
      </w:pPr>
      <w:r w:rsidRPr="002D5E1B">
        <w:rPr>
          <w:szCs w:val="20"/>
        </w:rPr>
        <w:t>Astma</w:t>
      </w:r>
    </w:p>
    <w:p w:rsidR="00F85217" w:rsidRPr="002D5E1B" w:rsidRDefault="00F85217" w:rsidP="00F85217">
      <w:pPr>
        <w:pStyle w:val="Listeafsnit"/>
        <w:numPr>
          <w:ilvl w:val="0"/>
          <w:numId w:val="7"/>
        </w:numPr>
        <w:spacing w:after="200" w:line="276" w:lineRule="auto"/>
        <w:rPr>
          <w:szCs w:val="20"/>
        </w:rPr>
      </w:pPr>
      <w:r w:rsidRPr="002D5E1B">
        <w:rPr>
          <w:szCs w:val="20"/>
        </w:rPr>
        <w:t>Knogleskørhed</w:t>
      </w:r>
    </w:p>
    <w:p w:rsidR="00F85217" w:rsidRPr="002D5E1B" w:rsidRDefault="00F85217" w:rsidP="00F85217">
      <w:pPr>
        <w:pStyle w:val="Listeafsnit"/>
        <w:numPr>
          <w:ilvl w:val="0"/>
          <w:numId w:val="7"/>
        </w:numPr>
        <w:spacing w:after="200" w:line="276" w:lineRule="auto"/>
        <w:rPr>
          <w:szCs w:val="20"/>
        </w:rPr>
      </w:pPr>
      <w:r w:rsidRPr="002D5E1B">
        <w:rPr>
          <w:szCs w:val="20"/>
        </w:rPr>
        <w:t>Leddegigt</w:t>
      </w:r>
    </w:p>
    <w:p w:rsidR="00F85217" w:rsidRPr="002D5E1B" w:rsidRDefault="00F85217" w:rsidP="00F85217">
      <w:pPr>
        <w:pStyle w:val="Listeafsnit"/>
        <w:numPr>
          <w:ilvl w:val="0"/>
          <w:numId w:val="7"/>
        </w:numPr>
        <w:spacing w:after="200" w:line="276" w:lineRule="auto"/>
        <w:rPr>
          <w:szCs w:val="20"/>
        </w:rPr>
      </w:pPr>
      <w:r w:rsidRPr="002D5E1B">
        <w:rPr>
          <w:szCs w:val="20"/>
        </w:rPr>
        <w:t>Skizofreni</w:t>
      </w:r>
    </w:p>
    <w:p w:rsidR="00F85217" w:rsidRPr="002D5E1B" w:rsidRDefault="00F85217" w:rsidP="00F85217">
      <w:pPr>
        <w:pStyle w:val="Listeafsnit"/>
        <w:numPr>
          <w:ilvl w:val="0"/>
          <w:numId w:val="7"/>
        </w:numPr>
        <w:spacing w:after="200" w:line="276" w:lineRule="auto"/>
        <w:rPr>
          <w:szCs w:val="20"/>
        </w:rPr>
      </w:pPr>
      <w:r w:rsidRPr="002D5E1B">
        <w:rPr>
          <w:szCs w:val="20"/>
        </w:rPr>
        <w:t>Demens</w:t>
      </w:r>
    </w:p>
    <w:p w:rsidR="00F85217" w:rsidRPr="002D5E1B" w:rsidRDefault="00F85217" w:rsidP="00F85217">
      <w:pPr>
        <w:pStyle w:val="Listeafsnit"/>
        <w:ind w:left="1440"/>
        <w:rPr>
          <w:szCs w:val="20"/>
        </w:rPr>
      </w:pPr>
    </w:p>
    <w:p w:rsidR="00F85217" w:rsidRPr="002D5E1B" w:rsidRDefault="00F85217" w:rsidP="00F85217">
      <w:pPr>
        <w:rPr>
          <w:szCs w:val="20"/>
        </w:rPr>
      </w:pPr>
      <w:r w:rsidRPr="002D5E1B">
        <w:rPr>
          <w:szCs w:val="20"/>
        </w:rPr>
        <w:t>I udvælgelsen af patienter er det vægtet højere, at de udvalgte personer med høj sandsynlighed har den pågældende sygdom frem for at få alle med. Forekomsten fundet ved denne udvælgelse kan derfor være underestimeret i forhold til</w:t>
      </w:r>
      <w:r w:rsidR="009F764A" w:rsidRPr="002D5E1B">
        <w:rPr>
          <w:szCs w:val="20"/>
        </w:rPr>
        <w:t xml:space="preserve"> </w:t>
      </w:r>
      <w:r w:rsidRPr="002D5E1B">
        <w:rPr>
          <w:szCs w:val="20"/>
        </w:rPr>
        <w:t>forekomst</w:t>
      </w:r>
      <w:r w:rsidR="000D7509" w:rsidRPr="002D5E1B">
        <w:rPr>
          <w:szCs w:val="20"/>
        </w:rPr>
        <w:t>en fundet ved andre metoder.</w:t>
      </w:r>
      <w:r w:rsidRPr="002D5E1B">
        <w:rPr>
          <w:szCs w:val="20"/>
        </w:rPr>
        <w:t xml:space="preserve"> Til gengæld vil analyseresultater på baggrund af populationerne ikke blive fordrejede</w:t>
      </w:r>
      <w:r w:rsidR="007317EA" w:rsidRPr="002D5E1B">
        <w:rPr>
          <w:szCs w:val="20"/>
        </w:rPr>
        <w:t xml:space="preserve"> eller udvandede</w:t>
      </w:r>
      <w:r w:rsidRPr="002D5E1B">
        <w:rPr>
          <w:szCs w:val="20"/>
        </w:rPr>
        <w:t xml:space="preserve"> af</w:t>
      </w:r>
      <w:r w:rsidR="00787D31" w:rsidRPr="002D5E1B">
        <w:rPr>
          <w:szCs w:val="20"/>
        </w:rPr>
        <w:t>,</w:t>
      </w:r>
      <w:r w:rsidRPr="002D5E1B">
        <w:rPr>
          <w:szCs w:val="20"/>
        </w:rPr>
        <w:t xml:space="preserve"> at der er medtaget for mange personer</w:t>
      </w:r>
      <w:r w:rsidR="007317EA" w:rsidRPr="002D5E1B">
        <w:rPr>
          <w:szCs w:val="20"/>
        </w:rPr>
        <w:t>,</w:t>
      </w:r>
      <w:r w:rsidRPr="002D5E1B">
        <w:rPr>
          <w:szCs w:val="20"/>
        </w:rPr>
        <w:t xml:space="preserve"> der ikke har den pågældende sygdom. Hvor sto</w:t>
      </w:r>
      <w:r w:rsidR="00B473D7" w:rsidRPr="002D5E1B">
        <w:rPr>
          <w:szCs w:val="20"/>
        </w:rPr>
        <w:t>r den eventuelle underestimering</w:t>
      </w:r>
      <w:r w:rsidRPr="002D5E1B">
        <w:rPr>
          <w:szCs w:val="20"/>
        </w:rPr>
        <w:t xml:space="preserve"> er, kan vurderes for den enkelte sygdom.</w:t>
      </w:r>
    </w:p>
    <w:p w:rsidR="00400EA7" w:rsidRPr="002D5E1B" w:rsidRDefault="00400EA7" w:rsidP="00F85217">
      <w:pPr>
        <w:rPr>
          <w:szCs w:val="20"/>
        </w:rPr>
      </w:pPr>
    </w:p>
    <w:p w:rsidR="00F85217" w:rsidRPr="002D5E1B" w:rsidRDefault="00F85217" w:rsidP="00F85217">
      <w:pPr>
        <w:rPr>
          <w:szCs w:val="20"/>
        </w:rPr>
      </w:pPr>
      <w:r w:rsidRPr="002D5E1B">
        <w:rPr>
          <w:szCs w:val="20"/>
        </w:rPr>
        <w:t xml:space="preserve">Udvælgelsen er sket på baggrund af en udtræksalgoritme fra registre. </w:t>
      </w:r>
      <w:r w:rsidR="006924F1" w:rsidRPr="002D5E1B">
        <w:rPr>
          <w:szCs w:val="20"/>
        </w:rPr>
        <w:t xml:space="preserve">Udvælgelsesalgoritmerne </w:t>
      </w:r>
      <w:r w:rsidR="00A6269D" w:rsidRPr="002D5E1B">
        <w:rPr>
          <w:szCs w:val="20"/>
        </w:rPr>
        <w:t>tager</w:t>
      </w:r>
      <w:r w:rsidR="006924F1" w:rsidRPr="002D5E1B">
        <w:rPr>
          <w:szCs w:val="20"/>
        </w:rPr>
        <w:t xml:space="preserve"> udgangspunkt i de enkelte sygdomme og det allerede indberettede data, der er til rådighed. </w:t>
      </w:r>
      <w:r w:rsidR="007215F6" w:rsidRPr="002D5E1B">
        <w:rPr>
          <w:szCs w:val="20"/>
        </w:rPr>
        <w:t xml:space="preserve">Dannelsen af registeret vil således ikke fordre yderligere registreringer i kommuner og regioner. </w:t>
      </w:r>
      <w:r w:rsidRPr="002D5E1B">
        <w:rPr>
          <w:szCs w:val="20"/>
        </w:rPr>
        <w:t>Udtræksalgoritmen er ikke valideret. Validering vil kræve journalgennemgang af journaler på sygehuse og hos læger i primærsektoren.</w:t>
      </w:r>
    </w:p>
    <w:p w:rsidR="006924F1" w:rsidRPr="002D5E1B" w:rsidRDefault="006924F1" w:rsidP="00F85217">
      <w:pPr>
        <w:rPr>
          <w:szCs w:val="20"/>
        </w:rPr>
      </w:pPr>
    </w:p>
    <w:p w:rsidR="005A5F47" w:rsidRPr="002D5E1B" w:rsidRDefault="00F85217" w:rsidP="00F85217">
      <w:pPr>
        <w:rPr>
          <w:szCs w:val="20"/>
        </w:rPr>
      </w:pPr>
      <w:r w:rsidRPr="002D5E1B">
        <w:rPr>
          <w:szCs w:val="20"/>
        </w:rPr>
        <w:t>Udvælgelseskriterierne er forskellige fra sygdom til sygdom og bl.a. afhængig af om medicin anvendt til sygdommen udelukkende anvendes til denne sygdom eller har flere indikationer</w:t>
      </w:r>
      <w:r w:rsidR="002D62A8" w:rsidRPr="002D5E1B">
        <w:rPr>
          <w:szCs w:val="20"/>
        </w:rPr>
        <w:t>. Om der er</w:t>
      </w:r>
      <w:r w:rsidRPr="002D5E1B">
        <w:rPr>
          <w:szCs w:val="20"/>
        </w:rPr>
        <w:t xml:space="preserve"> </w:t>
      </w:r>
      <w:r w:rsidR="007C51E5" w:rsidRPr="002D5E1B">
        <w:rPr>
          <w:szCs w:val="20"/>
        </w:rPr>
        <w:t>s</w:t>
      </w:r>
      <w:r w:rsidR="002D62A8" w:rsidRPr="002D5E1B">
        <w:rPr>
          <w:szCs w:val="20"/>
        </w:rPr>
        <w:t>ygdoms</w:t>
      </w:r>
      <w:r w:rsidRPr="002D5E1B">
        <w:rPr>
          <w:szCs w:val="20"/>
        </w:rPr>
        <w:t xml:space="preserve">specifikke indikationskoder </w:t>
      </w:r>
      <w:r w:rsidR="0018475B">
        <w:rPr>
          <w:szCs w:val="20"/>
        </w:rPr>
        <w:t>og indikationstekster</w:t>
      </w:r>
      <w:r w:rsidR="005A5F47" w:rsidRPr="002D5E1B">
        <w:rPr>
          <w:szCs w:val="20"/>
        </w:rPr>
        <w:t xml:space="preserve"> </w:t>
      </w:r>
      <w:r w:rsidRPr="002D5E1B">
        <w:rPr>
          <w:szCs w:val="20"/>
        </w:rPr>
        <w:t xml:space="preserve">tilknyttet lægemidlerne og </w:t>
      </w:r>
      <w:r w:rsidR="00244BD0" w:rsidRPr="002D5E1B">
        <w:rPr>
          <w:szCs w:val="20"/>
        </w:rPr>
        <w:t xml:space="preserve">om </w:t>
      </w:r>
      <w:r w:rsidRPr="002D5E1B">
        <w:rPr>
          <w:szCs w:val="20"/>
        </w:rPr>
        <w:t>disse anvendes</w:t>
      </w:r>
      <w:r w:rsidR="00991EB9" w:rsidRPr="002D5E1B">
        <w:rPr>
          <w:szCs w:val="20"/>
        </w:rPr>
        <w:t xml:space="preserve"> ved udskrivning af medicinen. Indikationsteksterne svarer til de indikationer som lægen kan vælge imellem i deres lægepraksissys</w:t>
      </w:r>
      <w:r w:rsidR="00241380" w:rsidRPr="002D5E1B">
        <w:rPr>
          <w:szCs w:val="20"/>
        </w:rPr>
        <w:t>temer</w:t>
      </w:r>
      <w:r w:rsidR="0018475B">
        <w:rPr>
          <w:szCs w:val="20"/>
        </w:rPr>
        <w:t>,</w:t>
      </w:r>
      <w:r w:rsidR="00241380" w:rsidRPr="002D5E1B">
        <w:rPr>
          <w:szCs w:val="20"/>
        </w:rPr>
        <w:t xml:space="preserve"> og som kan ses på de etik</w:t>
      </w:r>
      <w:r w:rsidR="00991EB9" w:rsidRPr="002D5E1B">
        <w:rPr>
          <w:szCs w:val="20"/>
        </w:rPr>
        <w:t>ettetekster</w:t>
      </w:r>
      <w:r w:rsidR="00241380" w:rsidRPr="002D5E1B">
        <w:rPr>
          <w:szCs w:val="20"/>
        </w:rPr>
        <w:t>, som apoteket sætter på lægemiddelpakningerne ved ekspedition.</w:t>
      </w:r>
      <w:r w:rsidRPr="002D5E1B">
        <w:rPr>
          <w:szCs w:val="20"/>
        </w:rPr>
        <w:t xml:space="preserve"> </w:t>
      </w:r>
      <w:r w:rsidR="00244BD0" w:rsidRPr="002D5E1B">
        <w:rPr>
          <w:szCs w:val="20"/>
        </w:rPr>
        <w:t xml:space="preserve">Nogle indikationstekster er specifikke i forhold til sygdomme, mens andre beskriver symptomer. </w:t>
      </w:r>
      <w:r w:rsidR="00496CF0" w:rsidRPr="002D5E1B">
        <w:rPr>
          <w:szCs w:val="20"/>
        </w:rPr>
        <w:t xml:space="preserve">Af diskretionshensyn </w:t>
      </w:r>
      <w:r w:rsidR="0018475B">
        <w:rPr>
          <w:szCs w:val="20"/>
        </w:rPr>
        <w:t xml:space="preserve">er der lægemidler, </w:t>
      </w:r>
      <w:r w:rsidR="00496CF0" w:rsidRPr="002D5E1B">
        <w:rPr>
          <w:szCs w:val="20"/>
        </w:rPr>
        <w:t>der ikke har sygdomsspecifikke indikationstekster</w:t>
      </w:r>
      <w:r w:rsidR="00C76F1F" w:rsidRPr="002D5E1B">
        <w:rPr>
          <w:szCs w:val="20"/>
        </w:rPr>
        <w:t>. For nogle sygdomme er der kendt</w:t>
      </w:r>
      <w:r w:rsidRPr="002D5E1B">
        <w:rPr>
          <w:szCs w:val="20"/>
        </w:rPr>
        <w:t xml:space="preserve"> risiko for misklassifikation</w:t>
      </w:r>
      <w:r w:rsidR="00C76F1F" w:rsidRPr="002D5E1B">
        <w:rPr>
          <w:szCs w:val="20"/>
        </w:rPr>
        <w:t xml:space="preserve"> i Landspatientregisteret</w:t>
      </w:r>
      <w:r w:rsidRPr="002D5E1B">
        <w:rPr>
          <w:szCs w:val="20"/>
        </w:rPr>
        <w:t xml:space="preserve"> ved diagnosticering.</w:t>
      </w:r>
      <w:r w:rsidR="006924F1" w:rsidRPr="002D5E1B">
        <w:rPr>
          <w:szCs w:val="20"/>
        </w:rPr>
        <w:t xml:space="preserve"> </w:t>
      </w:r>
      <w:r w:rsidR="0018475B">
        <w:rPr>
          <w:szCs w:val="20"/>
        </w:rPr>
        <w:t>I udvælgelseskriterierne er der taget hensyn til denne viden, hvor den har været tilgængelig.</w:t>
      </w:r>
    </w:p>
    <w:p w:rsidR="005A5F47" w:rsidRPr="002D5E1B" w:rsidRDefault="005A5F47" w:rsidP="00F85217">
      <w:pPr>
        <w:rPr>
          <w:szCs w:val="20"/>
        </w:rPr>
      </w:pPr>
    </w:p>
    <w:p w:rsidR="00F85217" w:rsidRPr="002D5E1B" w:rsidRDefault="006924F1" w:rsidP="00F85217">
      <w:pPr>
        <w:rPr>
          <w:szCs w:val="20"/>
        </w:rPr>
      </w:pPr>
      <w:r w:rsidRPr="002D5E1B">
        <w:rPr>
          <w:szCs w:val="20"/>
        </w:rPr>
        <w:t>Typen af oplysninger, der er anvendt til at afgrænse de enkelte sygdomme er således forskellig fra sygdom til sygdom</w:t>
      </w:r>
      <w:r w:rsidR="002B4097" w:rsidRPr="002D5E1B">
        <w:rPr>
          <w:szCs w:val="20"/>
        </w:rPr>
        <w:t xml:space="preserve"> og afhængig af </w:t>
      </w:r>
      <w:r w:rsidR="008128B9" w:rsidRPr="002D5E1B">
        <w:rPr>
          <w:szCs w:val="20"/>
        </w:rPr>
        <w:t>brugbarhed og kvalitet</w:t>
      </w:r>
      <w:r w:rsidR="002B4097" w:rsidRPr="002D5E1B">
        <w:rPr>
          <w:szCs w:val="20"/>
        </w:rPr>
        <w:t xml:space="preserve"> af de indberette</w:t>
      </w:r>
      <w:r w:rsidR="008128B9" w:rsidRPr="002D5E1B">
        <w:rPr>
          <w:szCs w:val="20"/>
        </w:rPr>
        <w:t>de</w:t>
      </w:r>
      <w:r w:rsidR="002B4097" w:rsidRPr="002D5E1B">
        <w:rPr>
          <w:szCs w:val="20"/>
        </w:rPr>
        <w:t xml:space="preserve"> data</w:t>
      </w:r>
      <w:r w:rsidR="00433E50" w:rsidRPr="002D5E1B">
        <w:rPr>
          <w:szCs w:val="20"/>
        </w:rPr>
        <w:t>.</w:t>
      </w:r>
      <w:r w:rsidR="008128B9" w:rsidRPr="002D5E1B">
        <w:rPr>
          <w:szCs w:val="20"/>
        </w:rPr>
        <w:t xml:space="preserve"> </w:t>
      </w:r>
      <w:r w:rsidR="00C76F1F" w:rsidRPr="002D5E1B">
        <w:rPr>
          <w:szCs w:val="20"/>
        </w:rPr>
        <w:t>Eksempelvis er s</w:t>
      </w:r>
      <w:r w:rsidRPr="002D5E1B">
        <w:rPr>
          <w:szCs w:val="20"/>
        </w:rPr>
        <w:t>kizofreni afgrænset udelukkende ved brug af</w:t>
      </w:r>
      <w:r w:rsidR="007C3E9D" w:rsidRPr="002D5E1B">
        <w:rPr>
          <w:szCs w:val="20"/>
        </w:rPr>
        <w:t xml:space="preserve"> </w:t>
      </w:r>
      <w:r w:rsidRPr="002D5E1B">
        <w:rPr>
          <w:szCs w:val="20"/>
        </w:rPr>
        <w:t>diagnoser fra Landspatientregisteret, da lægemidler anvendt til skizofreni også anvendes til andre psykiske sygdomme og der ikke er specifikke indikationskoder og indikationstekster for skizofreni knyttet til lægemidler</w:t>
      </w:r>
      <w:r w:rsidR="007C3E9D" w:rsidRPr="002D5E1B">
        <w:rPr>
          <w:szCs w:val="20"/>
        </w:rPr>
        <w:t>ne</w:t>
      </w:r>
      <w:r w:rsidRPr="002D5E1B">
        <w:rPr>
          <w:szCs w:val="20"/>
        </w:rPr>
        <w:t>, der kan anvendes af lægerne ved udskrivning af</w:t>
      </w:r>
      <w:r w:rsidR="007C3E9D" w:rsidRPr="002D5E1B">
        <w:rPr>
          <w:szCs w:val="20"/>
        </w:rPr>
        <w:t xml:space="preserve"> lægemidlerne. Type 2 </w:t>
      </w:r>
      <w:r w:rsidR="002F687C" w:rsidRPr="002D5E1B">
        <w:rPr>
          <w:szCs w:val="20"/>
        </w:rPr>
        <w:t xml:space="preserve">- </w:t>
      </w:r>
      <w:r w:rsidR="007C3E9D" w:rsidRPr="002D5E1B">
        <w:rPr>
          <w:szCs w:val="20"/>
        </w:rPr>
        <w:t>diabetes o</w:t>
      </w:r>
      <w:r w:rsidR="005A5F47" w:rsidRPr="002D5E1B">
        <w:rPr>
          <w:szCs w:val="20"/>
        </w:rPr>
        <w:t>g type 1-diabetes</w:t>
      </w:r>
      <w:r w:rsidR="007C3E9D" w:rsidRPr="002D5E1B">
        <w:rPr>
          <w:szCs w:val="20"/>
        </w:rPr>
        <w:t xml:space="preserve"> er inkluderet udelukkende på baggrund af medicinkøb i Lægemiddelstatistikregisteret</w:t>
      </w:r>
      <w:r w:rsidR="00A1498E" w:rsidRPr="002D5E1B">
        <w:rPr>
          <w:szCs w:val="20"/>
        </w:rPr>
        <w:t>. Landspatientregisteret er kun anvendt til at eksludere graviditetsdiabetes pga. misklassifikation mellem diagnoser for type 1 og type 2 – diabetes i Landspatientregisteret.</w:t>
      </w:r>
      <w:r w:rsidR="004D59ED" w:rsidRPr="002D5E1B">
        <w:rPr>
          <w:szCs w:val="20"/>
        </w:rPr>
        <w:t xml:space="preserve"> I dannelsen af astma, kronisk obstruktiv lungesygdom (KOL) og leddegigt populationerne er der anvendt indikationskoder, foruden medicinkøb og diagnoser.</w:t>
      </w:r>
      <w:r w:rsidR="00997A96" w:rsidRPr="002D5E1B">
        <w:rPr>
          <w:szCs w:val="20"/>
        </w:rPr>
        <w:t xml:space="preserve"> </w:t>
      </w:r>
      <w:r w:rsidR="00FE15F9" w:rsidRPr="002D5E1B">
        <w:rPr>
          <w:szCs w:val="20"/>
        </w:rPr>
        <w:t>Der kan læses nærmere om udvælgelseskriterierne og forbeholdene under de enkelte sygdomme.</w:t>
      </w:r>
    </w:p>
    <w:p w:rsidR="00400EA7" w:rsidRPr="002D5E1B" w:rsidRDefault="00400EA7" w:rsidP="00F85217">
      <w:pPr>
        <w:rPr>
          <w:szCs w:val="20"/>
        </w:rPr>
      </w:pPr>
    </w:p>
    <w:p w:rsidR="00F85217" w:rsidRPr="002D5E1B" w:rsidRDefault="00F85217" w:rsidP="00F85217">
      <w:pPr>
        <w:rPr>
          <w:szCs w:val="20"/>
        </w:rPr>
      </w:pPr>
      <w:r w:rsidRPr="002D5E1B">
        <w:rPr>
          <w:szCs w:val="20"/>
        </w:rPr>
        <w:t xml:space="preserve">For de fleste sygdomme, vil tilgangen af nye patienter falde jo nærmere opgørelsen vil være på opdateringstidspunktet, da personer først bliver udvalgt med den pågældende sygdom, når der er indsamlet en vis mængde information. Det kan for eksempel kræves, at personen skal have købt bestemte lægemidler et vist antal gange. Klassificeringen foregår derefter bagudrettet. Det anbefales derfor at opgørelsestidspunkt for mål som </w:t>
      </w:r>
      <w:r w:rsidR="000147A5" w:rsidRPr="002D5E1B">
        <w:rPr>
          <w:szCs w:val="20"/>
        </w:rPr>
        <w:t>fx</w:t>
      </w:r>
      <w:r w:rsidRPr="002D5E1B">
        <w:rPr>
          <w:szCs w:val="20"/>
        </w:rPr>
        <w:t xml:space="preserve"> forekomst (prævalens) og tilgang af nye patienter (incidens) ligger mindst 1 år før seneste opdatering. Hvad der udløser debut i registeret er forskellig fra sygdom til sygdom, det kan være indløsning af en bestemt type medicin eller en mere eller mindre specifik diagnose. Debuten kan ligge langt før medtagelse i registeret pga. den konservative, men bagudrettede klassifikation.</w:t>
      </w:r>
      <w:r w:rsidR="00787D31" w:rsidRPr="002D5E1B">
        <w:rPr>
          <w:szCs w:val="20"/>
        </w:rPr>
        <w:t xml:space="preserve"> </w:t>
      </w:r>
      <w:r w:rsidR="004A6C5A" w:rsidRPr="002D5E1B">
        <w:rPr>
          <w:szCs w:val="20"/>
        </w:rPr>
        <w:t>Denne konservativ</w:t>
      </w:r>
      <w:r w:rsidR="00787D31" w:rsidRPr="002D5E1B">
        <w:rPr>
          <w:szCs w:val="20"/>
        </w:rPr>
        <w:t>e tilgang er valgt, for at sikre personer ikke optræder i registeret med mindre</w:t>
      </w:r>
      <w:r w:rsidR="004A6C5A" w:rsidRPr="002D5E1B">
        <w:rPr>
          <w:szCs w:val="20"/>
        </w:rPr>
        <w:t>,</w:t>
      </w:r>
      <w:r w:rsidR="00787D31" w:rsidRPr="002D5E1B">
        <w:rPr>
          <w:szCs w:val="20"/>
        </w:rPr>
        <w:t xml:space="preserve"> der er en meget høj sandsynlighed</w:t>
      </w:r>
      <w:r w:rsidR="004A6C5A" w:rsidRPr="002D5E1B">
        <w:rPr>
          <w:szCs w:val="20"/>
        </w:rPr>
        <w:t>,</w:t>
      </w:r>
      <w:r w:rsidR="00787D31" w:rsidRPr="002D5E1B">
        <w:rPr>
          <w:szCs w:val="20"/>
        </w:rPr>
        <w:t xml:space="preserve"> for at de har en af de udvalgte kroniske sygdomme.</w:t>
      </w:r>
    </w:p>
    <w:p w:rsidR="002126CD" w:rsidRPr="002D5E1B" w:rsidRDefault="002126CD" w:rsidP="00F85217">
      <w:pPr>
        <w:rPr>
          <w:szCs w:val="20"/>
        </w:rPr>
      </w:pPr>
    </w:p>
    <w:p w:rsidR="00F85217" w:rsidRPr="002D5E1B" w:rsidRDefault="00F85217" w:rsidP="00F85217">
      <w:pPr>
        <w:rPr>
          <w:szCs w:val="20"/>
        </w:rPr>
      </w:pPr>
      <w:r w:rsidRPr="002D5E1B">
        <w:rPr>
          <w:szCs w:val="20"/>
        </w:rPr>
        <w:t>Populationsudvælgelsen kan forbedres ved forbedret datakvalitet (</w:t>
      </w:r>
      <w:r w:rsidR="000147A5" w:rsidRPr="002D5E1B">
        <w:rPr>
          <w:szCs w:val="20"/>
        </w:rPr>
        <w:t>fx</w:t>
      </w:r>
      <w:r w:rsidRPr="002D5E1B">
        <w:rPr>
          <w:szCs w:val="20"/>
        </w:rPr>
        <w:t xml:space="preserve"> forbedret indberetning og mere specifikke indikationer på lægemidler) og ved at udbygge brugen af nye datakilder, som </w:t>
      </w:r>
      <w:r w:rsidR="000147A5" w:rsidRPr="002D5E1B">
        <w:rPr>
          <w:szCs w:val="20"/>
        </w:rPr>
        <w:t>fx</w:t>
      </w:r>
      <w:r w:rsidRPr="002D5E1B">
        <w:rPr>
          <w:szCs w:val="20"/>
        </w:rPr>
        <w:t xml:space="preserve"> DAK-E.</w:t>
      </w:r>
    </w:p>
    <w:p w:rsidR="00104A95" w:rsidRPr="002D5E1B" w:rsidRDefault="00104A95" w:rsidP="00F85217">
      <w:pPr>
        <w:rPr>
          <w:szCs w:val="20"/>
        </w:rPr>
      </w:pPr>
    </w:p>
    <w:p w:rsidR="00F85217" w:rsidRPr="002D5E1B" w:rsidRDefault="00F85217" w:rsidP="00F85217">
      <w:pPr>
        <w:rPr>
          <w:szCs w:val="20"/>
        </w:rPr>
      </w:pPr>
      <w:r w:rsidRPr="002D5E1B">
        <w:rPr>
          <w:szCs w:val="20"/>
        </w:rPr>
        <w:t xml:space="preserve">Algoritmerne er ikke statiske men vil </w:t>
      </w:r>
      <w:r w:rsidR="000147A5" w:rsidRPr="002D5E1B">
        <w:rPr>
          <w:szCs w:val="20"/>
        </w:rPr>
        <w:t>fx</w:t>
      </w:r>
      <w:r w:rsidRPr="002D5E1B">
        <w:rPr>
          <w:szCs w:val="20"/>
        </w:rPr>
        <w:t xml:space="preserve"> udbygges med nye lægemidler eller skulle justeres ved indikationsudvidelser</w:t>
      </w:r>
      <w:r w:rsidR="009B3F4D" w:rsidRPr="002D5E1B">
        <w:rPr>
          <w:szCs w:val="20"/>
        </w:rPr>
        <w:t xml:space="preserve"> ved hver opdatering</w:t>
      </w:r>
      <w:r w:rsidRPr="002D5E1B">
        <w:rPr>
          <w:szCs w:val="20"/>
        </w:rPr>
        <w:t>. Både den bagudrettede klassifikationsmetode og den gradvise udbygning gør</w:t>
      </w:r>
      <w:r w:rsidR="00047E1B">
        <w:rPr>
          <w:szCs w:val="20"/>
        </w:rPr>
        <w:t>,</w:t>
      </w:r>
      <w:r w:rsidRPr="002D5E1B">
        <w:rPr>
          <w:szCs w:val="20"/>
        </w:rPr>
        <w:t xml:space="preserve"> at registeret skal betragtes som et dynamisk register. De enkelte sygdomsalgoritmer skal ses som det bedste bud på det indeværende datamateriale.</w:t>
      </w:r>
    </w:p>
    <w:p w:rsidR="00213AA6" w:rsidRPr="002D5E1B" w:rsidRDefault="00213AA6" w:rsidP="00F85217">
      <w:pPr>
        <w:rPr>
          <w:szCs w:val="20"/>
        </w:rPr>
      </w:pPr>
    </w:p>
    <w:p w:rsidR="009B3F4D" w:rsidRPr="002D5E1B" w:rsidRDefault="00213AA6" w:rsidP="00F85217">
      <w:pPr>
        <w:rPr>
          <w:szCs w:val="20"/>
        </w:rPr>
      </w:pPr>
      <w:r w:rsidRPr="002D5E1B">
        <w:rPr>
          <w:szCs w:val="20"/>
        </w:rPr>
        <w:t xml:space="preserve">Registeret vil indeholde </w:t>
      </w:r>
      <w:r w:rsidR="00786060" w:rsidRPr="002D5E1B">
        <w:rPr>
          <w:szCs w:val="20"/>
        </w:rPr>
        <w:t xml:space="preserve">personer med et gyldigt CPR-nummer, der er eller har været bosat i Danmark i opgørelsesperioden. Variablerne vil omfatte </w:t>
      </w:r>
      <w:r w:rsidR="00701778" w:rsidRPr="002D5E1B">
        <w:rPr>
          <w:szCs w:val="20"/>
        </w:rPr>
        <w:t>person id (anonymiseret</w:t>
      </w:r>
      <w:r w:rsidR="009B3F4D" w:rsidRPr="002D5E1B">
        <w:rPr>
          <w:rStyle w:val="Fodnotehenvisning"/>
          <w:szCs w:val="20"/>
        </w:rPr>
        <w:footnoteReference w:id="2"/>
      </w:r>
      <w:r w:rsidRPr="002D5E1B">
        <w:rPr>
          <w:szCs w:val="20"/>
        </w:rPr>
        <w:t xml:space="preserve">), fødselsdato, kronisk sygdom, opdateringsdato for inklusion i registeret, debutdato, </w:t>
      </w:r>
      <w:r w:rsidR="00515D02" w:rsidRPr="002D5E1B">
        <w:rPr>
          <w:szCs w:val="20"/>
        </w:rPr>
        <w:t>alder ved debut</w:t>
      </w:r>
      <w:r w:rsidR="00515D02" w:rsidRPr="002D5E1B">
        <w:rPr>
          <w:rStyle w:val="Fodnotehenvisning"/>
          <w:szCs w:val="20"/>
        </w:rPr>
        <w:footnoteReference w:id="3"/>
      </w:r>
      <w:r w:rsidR="00515D02" w:rsidRPr="002D5E1B">
        <w:rPr>
          <w:szCs w:val="20"/>
        </w:rPr>
        <w:t xml:space="preserve">, </w:t>
      </w:r>
      <w:r w:rsidRPr="002D5E1B">
        <w:rPr>
          <w:szCs w:val="20"/>
        </w:rPr>
        <w:t>slutdato, år</w:t>
      </w:r>
      <w:r w:rsidR="00D11E3D" w:rsidRPr="002D5E1B">
        <w:rPr>
          <w:szCs w:val="20"/>
        </w:rPr>
        <w:t>sag til slutdato (død, udrejst</w:t>
      </w:r>
      <w:r w:rsidRPr="002D5E1B">
        <w:rPr>
          <w:szCs w:val="20"/>
        </w:rPr>
        <w:t>, forsvundet, rask</w:t>
      </w:r>
      <w:r w:rsidR="001E461C" w:rsidRPr="002D5E1B">
        <w:rPr>
          <w:szCs w:val="20"/>
        </w:rPr>
        <w:t xml:space="preserve"> </w:t>
      </w:r>
      <w:r w:rsidRPr="002D5E1B">
        <w:rPr>
          <w:szCs w:val="20"/>
        </w:rPr>
        <w:t>meldt), bopælsko</w:t>
      </w:r>
      <w:r w:rsidR="00B473D7" w:rsidRPr="002D5E1B">
        <w:rPr>
          <w:szCs w:val="20"/>
        </w:rPr>
        <w:t>mmune ved seneste opdatering, bop</w:t>
      </w:r>
      <w:r w:rsidR="00E026BB" w:rsidRPr="002D5E1B">
        <w:rPr>
          <w:szCs w:val="20"/>
        </w:rPr>
        <w:t>ælsregion ved seneste opdatering</w:t>
      </w:r>
      <w:r w:rsidR="00514CF6" w:rsidRPr="002D5E1B">
        <w:rPr>
          <w:szCs w:val="20"/>
        </w:rPr>
        <w:t>.</w:t>
      </w:r>
    </w:p>
    <w:p w:rsidR="009B3F4D" w:rsidRPr="002D5E1B" w:rsidRDefault="009B3F4D" w:rsidP="00F85217">
      <w:pPr>
        <w:rPr>
          <w:szCs w:val="20"/>
        </w:rPr>
      </w:pPr>
    </w:p>
    <w:p w:rsidR="00213AA6" w:rsidRPr="002D5E1B" w:rsidRDefault="003C691D" w:rsidP="007B1873">
      <w:pPr>
        <w:pStyle w:val="Overskrift1"/>
        <w:rPr>
          <w:rFonts w:cstheme="majorHAnsi"/>
          <w:b/>
          <w:sz w:val="20"/>
          <w:szCs w:val="20"/>
        </w:rPr>
      </w:pPr>
      <w:bookmarkStart w:id="3" w:name="_Toc391624643"/>
      <w:r w:rsidRPr="002D5E1B">
        <w:rPr>
          <w:rFonts w:cstheme="majorHAnsi"/>
          <w:b/>
          <w:sz w:val="20"/>
          <w:szCs w:val="20"/>
        </w:rPr>
        <w:t>Opbygning af beskrivelsen af de enkelte udtræksalgoritmer for kroniske sygdomme.</w:t>
      </w:r>
      <w:bookmarkEnd w:id="3"/>
    </w:p>
    <w:p w:rsidR="00FE15F9" w:rsidRPr="002D5E1B" w:rsidRDefault="005C4058" w:rsidP="00F85217">
      <w:pPr>
        <w:rPr>
          <w:szCs w:val="20"/>
        </w:rPr>
      </w:pPr>
      <w:r w:rsidRPr="002D5E1B">
        <w:rPr>
          <w:szCs w:val="20"/>
        </w:rPr>
        <w:t>Beskrivelsen af de enkelte udtræksalgoritmer er opbygget på en ensartet måde med følgende overskrifter og indhold:</w:t>
      </w:r>
    </w:p>
    <w:p w:rsidR="00FE15F9" w:rsidRPr="002D5E1B" w:rsidRDefault="00FE15F9" w:rsidP="00F85217">
      <w:pPr>
        <w:rPr>
          <w:szCs w:val="20"/>
        </w:rPr>
      </w:pPr>
    </w:p>
    <w:p w:rsidR="005C4058" w:rsidRPr="002D5E1B" w:rsidRDefault="0020482C" w:rsidP="00F85217">
      <w:pPr>
        <w:rPr>
          <w:b/>
          <w:szCs w:val="20"/>
        </w:rPr>
      </w:pPr>
      <w:r w:rsidRPr="002D5E1B">
        <w:rPr>
          <w:b/>
          <w:szCs w:val="20"/>
        </w:rPr>
        <w:t>Årsag til udvælgelse</w:t>
      </w:r>
    </w:p>
    <w:p w:rsidR="005C4058" w:rsidRPr="002D5E1B" w:rsidRDefault="005C4058" w:rsidP="00F85217">
      <w:pPr>
        <w:rPr>
          <w:i/>
          <w:szCs w:val="20"/>
        </w:rPr>
      </w:pPr>
      <w:r w:rsidRPr="002D5E1B">
        <w:rPr>
          <w:i/>
          <w:szCs w:val="20"/>
        </w:rPr>
        <w:t>Hvorfor sygdommen er medtaget</w:t>
      </w:r>
      <w:r w:rsidR="001E461C" w:rsidRPr="002D5E1B">
        <w:rPr>
          <w:i/>
          <w:szCs w:val="20"/>
        </w:rPr>
        <w:t>.</w:t>
      </w:r>
    </w:p>
    <w:p w:rsidR="005C4058" w:rsidRPr="002D5E1B" w:rsidRDefault="005C4058" w:rsidP="00F85217">
      <w:pPr>
        <w:rPr>
          <w:i/>
          <w:szCs w:val="20"/>
        </w:rPr>
      </w:pPr>
    </w:p>
    <w:p w:rsidR="005C4058" w:rsidRPr="002D5E1B" w:rsidRDefault="0020482C" w:rsidP="00F85217">
      <w:pPr>
        <w:rPr>
          <w:b/>
          <w:szCs w:val="20"/>
        </w:rPr>
      </w:pPr>
      <w:r w:rsidRPr="002D5E1B">
        <w:rPr>
          <w:b/>
          <w:szCs w:val="20"/>
        </w:rPr>
        <w:t>Rationale for udvælgelsesmetode og registre</w:t>
      </w:r>
    </w:p>
    <w:p w:rsidR="005C4058" w:rsidRPr="002D5E1B" w:rsidRDefault="005C4058" w:rsidP="00F85217">
      <w:pPr>
        <w:rPr>
          <w:i/>
          <w:szCs w:val="20"/>
        </w:rPr>
      </w:pPr>
      <w:r w:rsidRPr="002D5E1B">
        <w:rPr>
          <w:i/>
          <w:szCs w:val="20"/>
        </w:rPr>
        <w:t>Hvilke registre og type</w:t>
      </w:r>
      <w:r w:rsidR="00FE384B" w:rsidRPr="002D5E1B">
        <w:rPr>
          <w:i/>
          <w:szCs w:val="20"/>
        </w:rPr>
        <w:t>r af</w:t>
      </w:r>
      <w:r w:rsidRPr="002D5E1B">
        <w:rPr>
          <w:i/>
          <w:szCs w:val="20"/>
        </w:rPr>
        <w:t xml:space="preserve"> oplysninger, der anvendes og hvorfor</w:t>
      </w:r>
      <w:r w:rsidR="001E461C" w:rsidRPr="002D5E1B">
        <w:rPr>
          <w:i/>
          <w:szCs w:val="20"/>
        </w:rPr>
        <w:t>.</w:t>
      </w:r>
    </w:p>
    <w:p w:rsidR="005C4058" w:rsidRPr="002D5E1B" w:rsidRDefault="005C4058" w:rsidP="00F85217">
      <w:pPr>
        <w:rPr>
          <w:i/>
          <w:szCs w:val="20"/>
        </w:rPr>
      </w:pPr>
    </w:p>
    <w:p w:rsidR="005C4058" w:rsidRPr="002D5E1B" w:rsidRDefault="0020482C" w:rsidP="00F85217">
      <w:pPr>
        <w:rPr>
          <w:b/>
          <w:szCs w:val="20"/>
        </w:rPr>
      </w:pPr>
      <w:r w:rsidRPr="002D5E1B">
        <w:rPr>
          <w:b/>
          <w:szCs w:val="20"/>
        </w:rPr>
        <w:t>Inklusion- og eksklusionskoder fra registre</w:t>
      </w:r>
    </w:p>
    <w:p w:rsidR="005C4058" w:rsidRPr="002D5E1B" w:rsidRDefault="005C4058" w:rsidP="00F85217">
      <w:pPr>
        <w:rPr>
          <w:i/>
          <w:szCs w:val="20"/>
        </w:rPr>
      </w:pPr>
      <w:r w:rsidRPr="002D5E1B">
        <w:rPr>
          <w:i/>
          <w:szCs w:val="20"/>
        </w:rPr>
        <w:t>Hvilke personer, der inkluderes fra registrene</w:t>
      </w:r>
      <w:r w:rsidR="00047E1B">
        <w:rPr>
          <w:i/>
          <w:szCs w:val="20"/>
        </w:rPr>
        <w:t>,</w:t>
      </w:r>
      <w:r w:rsidRPr="002D5E1B">
        <w:rPr>
          <w:i/>
          <w:szCs w:val="20"/>
        </w:rPr>
        <w:t xml:space="preserve"> og hvilke der evt. efterfølgende eksluderes</w:t>
      </w:r>
      <w:r w:rsidR="001E461C" w:rsidRPr="002D5E1B">
        <w:rPr>
          <w:i/>
          <w:szCs w:val="20"/>
        </w:rPr>
        <w:t>.</w:t>
      </w:r>
    </w:p>
    <w:p w:rsidR="005C4058" w:rsidRPr="002D5E1B" w:rsidRDefault="005C4058" w:rsidP="00F85217">
      <w:pPr>
        <w:rPr>
          <w:i/>
          <w:szCs w:val="20"/>
        </w:rPr>
      </w:pPr>
    </w:p>
    <w:p w:rsidR="005C4058" w:rsidRPr="002D5E1B" w:rsidRDefault="0020482C" w:rsidP="00F85217">
      <w:pPr>
        <w:rPr>
          <w:b/>
          <w:szCs w:val="20"/>
        </w:rPr>
      </w:pPr>
      <w:r w:rsidRPr="002D5E1B">
        <w:rPr>
          <w:b/>
          <w:szCs w:val="20"/>
        </w:rPr>
        <w:t>Flowdiagram for dannelse af population pr. 1. januar 2013</w:t>
      </w:r>
    </w:p>
    <w:p w:rsidR="005C4058" w:rsidRPr="002D5E1B" w:rsidRDefault="0020482C" w:rsidP="00F85217">
      <w:pPr>
        <w:rPr>
          <w:szCs w:val="20"/>
        </w:rPr>
      </w:pPr>
      <w:r w:rsidRPr="002D5E1B">
        <w:rPr>
          <w:i/>
          <w:szCs w:val="20"/>
        </w:rPr>
        <w:t xml:space="preserve">Flowdiagram, der viser hvor mange, der bliver inkluderet og ekskluderet </w:t>
      </w:r>
      <w:r w:rsidR="00827142" w:rsidRPr="002D5E1B">
        <w:rPr>
          <w:i/>
          <w:szCs w:val="20"/>
        </w:rPr>
        <w:t xml:space="preserve">for at danne populationen </w:t>
      </w:r>
      <w:r w:rsidRPr="002D5E1B">
        <w:rPr>
          <w:i/>
          <w:szCs w:val="20"/>
        </w:rPr>
        <w:t>og på hvilken baggrund</w:t>
      </w:r>
      <w:r w:rsidR="001E461C" w:rsidRPr="002D5E1B">
        <w:rPr>
          <w:i/>
          <w:szCs w:val="20"/>
        </w:rPr>
        <w:t>.</w:t>
      </w:r>
    </w:p>
    <w:p w:rsidR="00AA422E" w:rsidRPr="002D5E1B" w:rsidRDefault="00AA422E" w:rsidP="00F85217">
      <w:pPr>
        <w:rPr>
          <w:szCs w:val="20"/>
        </w:rPr>
      </w:pPr>
    </w:p>
    <w:p w:rsidR="00AA422E" w:rsidRPr="002D5E1B" w:rsidRDefault="0020482C" w:rsidP="00F85217">
      <w:pPr>
        <w:rPr>
          <w:b/>
          <w:szCs w:val="20"/>
        </w:rPr>
      </w:pPr>
      <w:r w:rsidRPr="002D5E1B">
        <w:rPr>
          <w:b/>
          <w:szCs w:val="20"/>
        </w:rPr>
        <w:t>Beskrivelse af den fundne population</w:t>
      </w:r>
    </w:p>
    <w:p w:rsidR="00AA422E" w:rsidRPr="002D5E1B" w:rsidRDefault="00AA422E" w:rsidP="00F85217">
      <w:pPr>
        <w:rPr>
          <w:i/>
          <w:szCs w:val="20"/>
        </w:rPr>
      </w:pPr>
      <w:r w:rsidRPr="002D5E1B">
        <w:rPr>
          <w:i/>
          <w:szCs w:val="20"/>
        </w:rPr>
        <w:t>Den fundne population beskrives ved medianalder og graf over køns</w:t>
      </w:r>
      <w:r w:rsidR="00FE384B" w:rsidRPr="002D5E1B">
        <w:rPr>
          <w:i/>
          <w:szCs w:val="20"/>
        </w:rPr>
        <w:t>- og aldersfordeling ved debut</w:t>
      </w:r>
      <w:r w:rsidR="001E461C" w:rsidRPr="002D5E1B">
        <w:rPr>
          <w:i/>
          <w:szCs w:val="20"/>
        </w:rPr>
        <w:t>.</w:t>
      </w:r>
    </w:p>
    <w:p w:rsidR="00AA422E" w:rsidRPr="002D5E1B" w:rsidRDefault="00AA422E" w:rsidP="00F85217">
      <w:pPr>
        <w:rPr>
          <w:i/>
          <w:szCs w:val="20"/>
        </w:rPr>
      </w:pPr>
    </w:p>
    <w:p w:rsidR="00AA422E" w:rsidRPr="002D5E1B" w:rsidRDefault="0020482C" w:rsidP="00F85217">
      <w:pPr>
        <w:rPr>
          <w:b/>
          <w:szCs w:val="20"/>
        </w:rPr>
      </w:pPr>
      <w:r w:rsidRPr="002D5E1B">
        <w:rPr>
          <w:b/>
          <w:szCs w:val="20"/>
        </w:rPr>
        <w:t>Antal personer med [sygdom] 2007 til 2013</w:t>
      </w:r>
    </w:p>
    <w:p w:rsidR="00C22E71" w:rsidRPr="002D5E1B" w:rsidRDefault="00C22E71" w:rsidP="00F85217">
      <w:pPr>
        <w:rPr>
          <w:i/>
          <w:szCs w:val="20"/>
        </w:rPr>
      </w:pPr>
      <w:r w:rsidRPr="002D5E1B">
        <w:rPr>
          <w:i/>
          <w:szCs w:val="20"/>
        </w:rPr>
        <w:t>Antal personer med sygdommen pr. 1. januar hvert år fra 2007 til 2013 og graf over forekomst, tilgang af nye personer og dødelig med sygdommen.</w:t>
      </w:r>
    </w:p>
    <w:p w:rsidR="000978C3" w:rsidRPr="002D5E1B" w:rsidRDefault="000978C3" w:rsidP="00F85217">
      <w:pPr>
        <w:rPr>
          <w:i/>
          <w:szCs w:val="20"/>
        </w:rPr>
      </w:pPr>
    </w:p>
    <w:p w:rsidR="000978C3" w:rsidRPr="002D5E1B" w:rsidRDefault="0020482C" w:rsidP="00F85217">
      <w:pPr>
        <w:rPr>
          <w:b/>
          <w:szCs w:val="20"/>
        </w:rPr>
      </w:pPr>
      <w:r w:rsidRPr="002D5E1B">
        <w:rPr>
          <w:b/>
          <w:szCs w:val="20"/>
        </w:rPr>
        <w:t>Andre kilders oplysninger</w:t>
      </w:r>
    </w:p>
    <w:p w:rsidR="00971EB0" w:rsidRPr="002D5E1B" w:rsidRDefault="000978C3" w:rsidP="00971EB0">
      <w:pPr>
        <w:rPr>
          <w:color w:val="000000" w:themeColor="text1"/>
          <w:szCs w:val="20"/>
        </w:rPr>
      </w:pPr>
      <w:r w:rsidRPr="002D5E1B">
        <w:rPr>
          <w:i/>
          <w:szCs w:val="20"/>
        </w:rPr>
        <w:t>Angivelse af andre kilders</w:t>
      </w:r>
      <w:r w:rsidR="0080763B" w:rsidRPr="002D5E1B">
        <w:rPr>
          <w:i/>
          <w:szCs w:val="20"/>
        </w:rPr>
        <w:t xml:space="preserve"> oplysninger om forekomst (og evt. køn og aldersfordeling ved debut) med angivelse af opgørelsesmetode og forbehold ved sammenligning</w:t>
      </w:r>
      <w:r w:rsidR="00D26F7E" w:rsidRPr="002D5E1B">
        <w:rPr>
          <w:i/>
          <w:szCs w:val="20"/>
        </w:rPr>
        <w:t>.</w:t>
      </w:r>
      <w:r w:rsidR="0080763B" w:rsidRPr="002D5E1B">
        <w:rPr>
          <w:i/>
          <w:szCs w:val="20"/>
        </w:rPr>
        <w:t xml:space="preserve"> Der er ikke foretaget en udtømmende, systematisk litteraturgennemgang</w:t>
      </w:r>
      <w:r w:rsidR="00971EB0" w:rsidRPr="002D5E1B">
        <w:rPr>
          <w:i/>
          <w:szCs w:val="20"/>
        </w:rPr>
        <w:t>,</w:t>
      </w:r>
      <w:r w:rsidR="0080763B" w:rsidRPr="002D5E1B">
        <w:rPr>
          <w:i/>
          <w:szCs w:val="20"/>
        </w:rPr>
        <w:t xml:space="preserve"> men hyppigt eksponerede tal er refererede.</w:t>
      </w:r>
      <w:r w:rsidR="0020482C" w:rsidRPr="002D5E1B">
        <w:rPr>
          <w:i/>
          <w:iCs/>
          <w:color w:val="1F497D"/>
          <w:szCs w:val="20"/>
        </w:rPr>
        <w:t xml:space="preserve"> </w:t>
      </w:r>
      <w:r w:rsidR="00D26F7E" w:rsidRPr="002D5E1B">
        <w:rPr>
          <w:i/>
          <w:iCs/>
          <w:color w:val="000000" w:themeColor="text1"/>
          <w:szCs w:val="20"/>
        </w:rPr>
        <w:t xml:space="preserve">Andre kilders tal er blot </w:t>
      </w:r>
      <w:r w:rsidR="0080350F" w:rsidRPr="002D5E1B">
        <w:rPr>
          <w:i/>
          <w:iCs/>
          <w:color w:val="000000" w:themeColor="text1"/>
          <w:szCs w:val="20"/>
        </w:rPr>
        <w:t>for at perspektivere</w:t>
      </w:r>
      <w:r w:rsidR="0020482C" w:rsidRPr="002D5E1B">
        <w:rPr>
          <w:i/>
          <w:iCs/>
          <w:color w:val="000000" w:themeColor="text1"/>
          <w:szCs w:val="20"/>
        </w:rPr>
        <w:t xml:space="preserve"> </w:t>
      </w:r>
      <w:r w:rsidR="007C6F94" w:rsidRPr="002D5E1B">
        <w:rPr>
          <w:i/>
          <w:iCs/>
          <w:color w:val="000000" w:themeColor="text1"/>
          <w:szCs w:val="20"/>
        </w:rPr>
        <w:t>de af</w:t>
      </w:r>
      <w:r w:rsidR="00BE6220" w:rsidRPr="002D5E1B">
        <w:rPr>
          <w:i/>
          <w:iCs/>
          <w:color w:val="000000" w:themeColor="text1"/>
          <w:szCs w:val="20"/>
        </w:rPr>
        <w:t xml:space="preserve"> udtræksalgoritmerne fundne tal</w:t>
      </w:r>
      <w:r w:rsidR="00257259" w:rsidRPr="002D5E1B">
        <w:rPr>
          <w:i/>
          <w:iCs/>
          <w:color w:val="000000" w:themeColor="text1"/>
          <w:szCs w:val="20"/>
        </w:rPr>
        <w:t>.</w:t>
      </w:r>
    </w:p>
    <w:p w:rsidR="000978C3" w:rsidRPr="002D5E1B" w:rsidRDefault="000978C3" w:rsidP="00F85217">
      <w:pPr>
        <w:rPr>
          <w:i/>
          <w:szCs w:val="20"/>
        </w:rPr>
      </w:pPr>
    </w:p>
    <w:p w:rsidR="00C22E71" w:rsidRPr="002D5E1B" w:rsidRDefault="0020482C" w:rsidP="00F85217">
      <w:pPr>
        <w:rPr>
          <w:b/>
          <w:szCs w:val="20"/>
        </w:rPr>
      </w:pPr>
      <w:r w:rsidRPr="002D5E1B">
        <w:rPr>
          <w:b/>
          <w:szCs w:val="20"/>
        </w:rPr>
        <w:t>Forbehold ved udvælgelsen</w:t>
      </w:r>
    </w:p>
    <w:p w:rsidR="00C22E71" w:rsidRPr="002D5E1B" w:rsidRDefault="0020482C" w:rsidP="00F85217">
      <w:pPr>
        <w:rPr>
          <w:szCs w:val="20"/>
        </w:rPr>
      </w:pPr>
      <w:r w:rsidRPr="002D5E1B">
        <w:rPr>
          <w:i/>
          <w:szCs w:val="20"/>
        </w:rPr>
        <w:t>Angivelse af kendte fejl og mangler ved udvælgelsen</w:t>
      </w:r>
      <w:r w:rsidR="001E461C" w:rsidRPr="002D5E1B">
        <w:rPr>
          <w:i/>
          <w:szCs w:val="20"/>
        </w:rPr>
        <w:t>.</w:t>
      </w:r>
    </w:p>
    <w:p w:rsidR="00C22E71" w:rsidRPr="002D5E1B" w:rsidRDefault="00C22E71" w:rsidP="00F85217">
      <w:pPr>
        <w:rPr>
          <w:szCs w:val="20"/>
        </w:rPr>
      </w:pPr>
    </w:p>
    <w:p w:rsidR="00C22E71" w:rsidRPr="002D5E1B" w:rsidRDefault="0020482C" w:rsidP="00F85217">
      <w:pPr>
        <w:rPr>
          <w:b/>
          <w:szCs w:val="20"/>
        </w:rPr>
      </w:pPr>
      <w:r w:rsidRPr="002D5E1B">
        <w:rPr>
          <w:b/>
          <w:szCs w:val="20"/>
        </w:rPr>
        <w:t>Fremtidig udbygning</w:t>
      </w:r>
    </w:p>
    <w:p w:rsidR="00C22E71" w:rsidRDefault="00C22E71" w:rsidP="00F85217">
      <w:pPr>
        <w:rPr>
          <w:szCs w:val="20"/>
        </w:rPr>
      </w:pPr>
      <w:r w:rsidRPr="002D5E1B">
        <w:rPr>
          <w:i/>
          <w:szCs w:val="20"/>
        </w:rPr>
        <w:t>Angivelse af mulig forbedringspotentialer og evt. fremtidig inddragelse af nye datakilder</w:t>
      </w:r>
    </w:p>
    <w:p w:rsidR="00FD3B0F" w:rsidRDefault="00FD3B0F" w:rsidP="00F85217">
      <w:pPr>
        <w:rPr>
          <w:szCs w:val="20"/>
        </w:rPr>
      </w:pPr>
    </w:p>
    <w:p w:rsidR="00FD3B0F" w:rsidRDefault="00FD3B0F" w:rsidP="00F85217">
      <w:pPr>
        <w:rPr>
          <w:szCs w:val="20"/>
        </w:rPr>
      </w:pPr>
    </w:p>
    <w:p w:rsidR="00FD3B0F" w:rsidRPr="00FD3B0F" w:rsidRDefault="00FD3B0F" w:rsidP="00F85217">
      <w:pPr>
        <w:rPr>
          <w:szCs w:val="20"/>
        </w:rPr>
      </w:pPr>
      <w:r>
        <w:rPr>
          <w:szCs w:val="20"/>
        </w:rPr>
        <w:t>Beskrivelsen af de enkelte udtræksalgoritmer er skrevet, således at de kan læses uafhængigt af hinanden. Der kan derfor forekomme gentagelser, hvis alt materiale læses i sammenhæng.</w:t>
      </w:r>
    </w:p>
    <w:p w:rsidR="00C22E71" w:rsidRPr="002D5E1B" w:rsidRDefault="00C22E71" w:rsidP="00F85217">
      <w:pPr>
        <w:rPr>
          <w:szCs w:val="20"/>
        </w:rPr>
      </w:pPr>
    </w:p>
    <w:p w:rsidR="00646132" w:rsidRPr="002D5E1B" w:rsidRDefault="00646132">
      <w:pPr>
        <w:rPr>
          <w:szCs w:val="20"/>
        </w:rPr>
      </w:pPr>
    </w:p>
    <w:p w:rsidR="00DF2C8B" w:rsidRPr="002D5E1B" w:rsidRDefault="00DF2C8B" w:rsidP="00F85217">
      <w:pPr>
        <w:rPr>
          <w:szCs w:val="20"/>
        </w:rPr>
      </w:pPr>
    </w:p>
    <w:p w:rsidR="00BE2F0A" w:rsidRDefault="00BE2F0A" w:rsidP="00F85217"/>
    <w:p w:rsidR="00BE2F0A" w:rsidRDefault="00BE2F0A" w:rsidP="00F85217"/>
    <w:p w:rsidR="00BE2F0A" w:rsidRDefault="00BE2F0A" w:rsidP="00F85217"/>
    <w:p w:rsidR="00BE2F0A" w:rsidRDefault="00BE2F0A" w:rsidP="00F85217"/>
    <w:p w:rsidR="00BE2F0A" w:rsidRDefault="00BE2F0A" w:rsidP="00F85217"/>
    <w:p w:rsidR="00BE2F0A" w:rsidRDefault="00BE2F0A" w:rsidP="00F85217"/>
    <w:p w:rsidR="00BE2F0A" w:rsidRDefault="00BE2F0A" w:rsidP="00F85217"/>
    <w:p w:rsidR="00BE2F0A" w:rsidRDefault="00BE2F0A" w:rsidP="00F85217"/>
    <w:p w:rsidR="00BE2F0A" w:rsidRDefault="00BE2F0A" w:rsidP="00F85217"/>
    <w:p w:rsidR="00BE2F0A" w:rsidRDefault="00BE2F0A" w:rsidP="00F85217"/>
    <w:p w:rsidR="00BE2F0A" w:rsidRDefault="00BE2F0A" w:rsidP="00F85217"/>
    <w:p w:rsidR="00BE2F0A" w:rsidRDefault="00BE2F0A" w:rsidP="00F85217"/>
    <w:p w:rsidR="00BE2F0A" w:rsidRDefault="00BE2F0A" w:rsidP="00F85217"/>
    <w:p w:rsidR="00BE2F0A" w:rsidRDefault="00BE2F0A" w:rsidP="00F85217"/>
    <w:p w:rsidR="00BE2F0A" w:rsidRDefault="00BE2F0A" w:rsidP="00F85217"/>
    <w:p w:rsidR="002D5E1B" w:rsidRDefault="002D5E1B" w:rsidP="00F85217"/>
    <w:p w:rsidR="002D5E1B" w:rsidRDefault="002D5E1B" w:rsidP="00F85217"/>
    <w:p w:rsidR="002D5E1B" w:rsidRDefault="002D5E1B" w:rsidP="00F85217"/>
    <w:p w:rsidR="002D5E1B" w:rsidRDefault="002D5E1B" w:rsidP="00F85217"/>
    <w:p w:rsidR="002D5E1B" w:rsidRDefault="002D5E1B" w:rsidP="00F85217"/>
    <w:p w:rsidR="001524EA" w:rsidRDefault="001524EA" w:rsidP="00F85217"/>
    <w:p w:rsidR="001524EA" w:rsidRDefault="001524EA" w:rsidP="00F85217"/>
    <w:p w:rsidR="002D5E1B" w:rsidRDefault="002D5E1B" w:rsidP="00F85217"/>
    <w:p w:rsidR="00F057C6" w:rsidRPr="006649CD" w:rsidRDefault="00264164" w:rsidP="00646132">
      <w:pPr>
        <w:pStyle w:val="Overskrift1"/>
      </w:pPr>
      <w:bookmarkStart w:id="4" w:name="_Toc391624644"/>
      <w:r w:rsidRPr="006649CD">
        <w:t xml:space="preserve">1. </w:t>
      </w:r>
      <w:r w:rsidR="00F057C6" w:rsidRPr="006649CD">
        <w:t>Diabetes</w:t>
      </w:r>
      <w:bookmarkEnd w:id="4"/>
    </w:p>
    <w:p w:rsidR="00F057C6" w:rsidRPr="002D5E1B" w:rsidRDefault="00F057C6" w:rsidP="00F057C6">
      <w:pPr>
        <w:rPr>
          <w:szCs w:val="20"/>
        </w:rPr>
      </w:pPr>
    </w:p>
    <w:p w:rsidR="00F057C6" w:rsidRPr="002D5E1B" w:rsidRDefault="00F057C6" w:rsidP="00646132">
      <w:pPr>
        <w:pStyle w:val="Overskrift2"/>
        <w:rPr>
          <w:b/>
          <w:sz w:val="20"/>
          <w:szCs w:val="20"/>
        </w:rPr>
      </w:pPr>
      <w:bookmarkStart w:id="5" w:name="_Toc391624645"/>
      <w:r w:rsidRPr="002D5E1B">
        <w:rPr>
          <w:b/>
          <w:sz w:val="20"/>
          <w:szCs w:val="20"/>
        </w:rPr>
        <w:t>Årsag til udvælgelse</w:t>
      </w:r>
      <w:bookmarkEnd w:id="5"/>
    </w:p>
    <w:p w:rsidR="00F057C6" w:rsidRPr="002D5E1B" w:rsidRDefault="00F057C6" w:rsidP="00F057C6">
      <w:pPr>
        <w:rPr>
          <w:szCs w:val="20"/>
        </w:rPr>
      </w:pPr>
      <w:r w:rsidRPr="002D5E1B">
        <w:rPr>
          <w:szCs w:val="20"/>
        </w:rPr>
        <w:t>Diabetes er valgt i Sundhedsstyrelsens tidligere kronikermonitorering. SSI har fundet det hensigtsmæssigt at dele diabetespopulationen op i type 2-diabetes og type 1-diabetes</w:t>
      </w:r>
      <w:r w:rsidRPr="002D5E1B">
        <w:rPr>
          <w:rStyle w:val="Fodnotehenvisning"/>
          <w:szCs w:val="20"/>
        </w:rPr>
        <w:footnoteReference w:id="4"/>
      </w:r>
      <w:r w:rsidRPr="002D5E1B">
        <w:rPr>
          <w:szCs w:val="20"/>
        </w:rPr>
        <w:t xml:space="preserve">, da det er to forskellige patientgrupper med forskellige ætiologi og </w:t>
      </w:r>
      <w:r w:rsidR="00306948">
        <w:rPr>
          <w:szCs w:val="20"/>
        </w:rPr>
        <w:t>debutalder. G</w:t>
      </w:r>
      <w:r w:rsidRPr="002D5E1B">
        <w:rPr>
          <w:szCs w:val="20"/>
        </w:rPr>
        <w:t>raviditetsdiabetes</w:t>
      </w:r>
      <w:r w:rsidR="00306948">
        <w:rPr>
          <w:szCs w:val="20"/>
        </w:rPr>
        <w:t xml:space="preserve"> er frasorteret</w:t>
      </w:r>
      <w:r w:rsidRPr="002D5E1B">
        <w:rPr>
          <w:szCs w:val="20"/>
        </w:rPr>
        <w:t xml:space="preserve">, da det ikke er en kronisk sygdom. </w:t>
      </w:r>
    </w:p>
    <w:p w:rsidR="00F057C6" w:rsidRPr="002D5E1B" w:rsidRDefault="00F057C6" w:rsidP="00F057C6">
      <w:pPr>
        <w:rPr>
          <w:b/>
          <w:szCs w:val="20"/>
        </w:rPr>
      </w:pPr>
    </w:p>
    <w:p w:rsidR="00F057C6" w:rsidRPr="002D5E1B" w:rsidRDefault="00F057C6" w:rsidP="00646132">
      <w:pPr>
        <w:pStyle w:val="Overskrift2"/>
        <w:rPr>
          <w:sz w:val="20"/>
          <w:szCs w:val="20"/>
        </w:rPr>
      </w:pPr>
      <w:bookmarkStart w:id="6" w:name="_Toc391624646"/>
      <w:r w:rsidRPr="002D5E1B">
        <w:rPr>
          <w:b/>
          <w:sz w:val="20"/>
          <w:szCs w:val="20"/>
        </w:rPr>
        <w:t>Rationale for udvælgelsesmetode og registre</w:t>
      </w:r>
      <w:bookmarkEnd w:id="6"/>
    </w:p>
    <w:p w:rsidR="00F057C6" w:rsidRPr="002D5E1B" w:rsidRDefault="00F057C6" w:rsidP="00F057C6">
      <w:pPr>
        <w:rPr>
          <w:szCs w:val="20"/>
        </w:rPr>
      </w:pPr>
      <w:r w:rsidRPr="002D5E1B">
        <w:rPr>
          <w:szCs w:val="20"/>
        </w:rPr>
        <w:t>Der har tidligere været udarbejdet et diabetesregister. Dele af kriterierne, for at indgå i det tidligere diabetesregister, vurderes som forældede, dels grundet nye diagnostiske procedurer og dels nye kriterier for diagnosticering af type 2-diabetes</w:t>
      </w:r>
      <w:bookmarkStart w:id="7" w:name="_Ref391564246"/>
      <w:r w:rsidRPr="002D5E1B">
        <w:rPr>
          <w:rStyle w:val="Slutnotehenvisning"/>
          <w:szCs w:val="20"/>
        </w:rPr>
        <w:endnoteReference w:id="2"/>
      </w:r>
      <w:bookmarkEnd w:id="7"/>
      <w:r w:rsidRPr="002D5E1B">
        <w:rPr>
          <w:szCs w:val="20"/>
          <w:vertAlign w:val="superscript"/>
        </w:rPr>
        <w:t>,</w:t>
      </w:r>
      <w:r w:rsidRPr="002D5E1B">
        <w:rPr>
          <w:rStyle w:val="Slutnotehenvisning"/>
          <w:szCs w:val="20"/>
        </w:rPr>
        <w:endnoteReference w:id="3"/>
      </w:r>
      <w:r w:rsidRPr="002D5E1B">
        <w:rPr>
          <w:szCs w:val="20"/>
        </w:rPr>
        <w:t>. Diabetesregisteret skelner desuden ikke mellem type 1- og type 2-diabetes.</w:t>
      </w:r>
    </w:p>
    <w:p w:rsidR="00F057C6" w:rsidRPr="002D5E1B" w:rsidRDefault="00F057C6" w:rsidP="00F057C6">
      <w:pPr>
        <w:rPr>
          <w:szCs w:val="20"/>
        </w:rPr>
      </w:pPr>
    </w:p>
    <w:p w:rsidR="00F057C6" w:rsidRPr="002D5E1B" w:rsidRDefault="00F057C6" w:rsidP="00F057C6">
      <w:pPr>
        <w:rPr>
          <w:szCs w:val="20"/>
        </w:rPr>
      </w:pPr>
      <w:r w:rsidRPr="002D5E1B">
        <w:rPr>
          <w:szCs w:val="20"/>
        </w:rPr>
        <w:t xml:space="preserve">I Lægemiddelstatistikregisteret (LSR) identificeres personer, der har købt antidiabetika. Antidiabetika omfatter dels insulin, dels perorale tabletter til sænkning af blodsukkeret, samt af GLP-1-analoger, ligeledes til sænkning af blodsukkeret. Insulin anvendes primært til type 1-diabetes, sekundært til fremskreden type 2-diabetes og graviditetsdiabetes. Lægemidler, der anvendes til forhøjet blodsukker, anvendes også til behandling af andre somatiske tilstande, </w:t>
      </w:r>
      <w:r w:rsidR="000147A5" w:rsidRPr="002D5E1B">
        <w:rPr>
          <w:szCs w:val="20"/>
        </w:rPr>
        <w:t>fx</w:t>
      </w:r>
      <w:r w:rsidRPr="002D5E1B">
        <w:rPr>
          <w:szCs w:val="20"/>
        </w:rPr>
        <w:t xml:space="preserve"> PCO og graviditetsdiabetes. Det er ikke muligt at skelne mellem diabetes og andre lidelser, der kan behandles med blodsukkersænkende lægemidler udelukkende via receptindløsninger på lægemidler.</w:t>
      </w:r>
    </w:p>
    <w:p w:rsidR="00F057C6" w:rsidRPr="002D5E1B" w:rsidRDefault="00F057C6" w:rsidP="00F057C6">
      <w:pPr>
        <w:rPr>
          <w:szCs w:val="20"/>
        </w:rPr>
      </w:pPr>
    </w:p>
    <w:p w:rsidR="00F057C6" w:rsidRPr="002D5E1B" w:rsidRDefault="00F057C6" w:rsidP="00F057C6">
      <w:pPr>
        <w:rPr>
          <w:szCs w:val="20"/>
        </w:rPr>
      </w:pPr>
      <w:r w:rsidRPr="002D5E1B">
        <w:rPr>
          <w:szCs w:val="20"/>
        </w:rPr>
        <w:t xml:space="preserve">I Landspatientregisteret (LPR) identificeres patienter med graviditetsdiabetes. Disse oplysninger anvendes til at frasortere personer fra diabetespopulationen i RUKS. </w:t>
      </w:r>
    </w:p>
    <w:p w:rsidR="00F057C6" w:rsidRPr="002D5E1B" w:rsidRDefault="00F057C6" w:rsidP="00F057C6">
      <w:pPr>
        <w:rPr>
          <w:szCs w:val="20"/>
        </w:rPr>
      </w:pPr>
    </w:p>
    <w:p w:rsidR="00F057C6" w:rsidRPr="002D5E1B" w:rsidRDefault="00F057C6" w:rsidP="00F057C6">
      <w:pPr>
        <w:rPr>
          <w:szCs w:val="20"/>
        </w:rPr>
      </w:pPr>
      <w:r w:rsidRPr="002D5E1B">
        <w:rPr>
          <w:szCs w:val="20"/>
        </w:rPr>
        <w:t xml:space="preserve">LPR bruges ikke til at inkludere diabetikere i RUKS. Langt de fleste diabetikere indløser meget hurtigt recept på antidiabetika efter en diabetesrelateret kontakt med sundhedsvæsenet. Endvidere viser data inkonsistens i registreringen af diabetikere i LPR. I alt er 136.648 personer med gyldigt CPR-nummer, registreret med en diabetesdiagnose i perioden 1. januar 1995 – 29. januar 2014 i LPR. Heraf er der registreret 31.106 personer med type 1- diabetes og 80.898 med type 2-diabetes. I alt 13.511 personer er registreret med både type 1 og type 2. </w:t>
      </w:r>
    </w:p>
    <w:p w:rsidR="00F057C6" w:rsidRPr="002D5E1B" w:rsidRDefault="00F057C6" w:rsidP="00F057C6">
      <w:pPr>
        <w:rPr>
          <w:szCs w:val="20"/>
        </w:rPr>
      </w:pPr>
    </w:p>
    <w:p w:rsidR="00F057C6" w:rsidRPr="002D5E1B" w:rsidRDefault="00F057C6" w:rsidP="00F057C6">
      <w:pPr>
        <w:rPr>
          <w:szCs w:val="20"/>
        </w:rPr>
      </w:pPr>
      <w:r w:rsidRPr="002D5E1B">
        <w:rPr>
          <w:szCs w:val="20"/>
        </w:rPr>
        <w:t>Det er undersøgt, hvorvidt Sygesikringsregisteret kan bruges til at identificere diabetikere. De personer, der har en kode for fodterapi-for-diabetikere, eller diabetiske øjensygdomme optræder også i LSR. Sygesikringsregisteret er derfor ikke benyttet i udvælgelsen af diabetespopulationen.</w:t>
      </w:r>
    </w:p>
    <w:p w:rsidR="00F057C6" w:rsidRPr="002D5E1B" w:rsidRDefault="00F057C6" w:rsidP="00F057C6">
      <w:pPr>
        <w:rPr>
          <w:szCs w:val="20"/>
        </w:rPr>
      </w:pPr>
    </w:p>
    <w:p w:rsidR="00674B9F" w:rsidRPr="002D5E1B" w:rsidRDefault="00F057C6" w:rsidP="00F057C6">
      <w:pPr>
        <w:rPr>
          <w:szCs w:val="20"/>
        </w:rPr>
      </w:pPr>
      <w:r w:rsidRPr="002D5E1B">
        <w:rPr>
          <w:szCs w:val="20"/>
        </w:rPr>
        <w:t>For at indgå i RUKS med diabetes kræves det, at borgeren er i medicinsk behandling herfor.</w:t>
      </w:r>
    </w:p>
    <w:p w:rsidR="00F057C6" w:rsidRPr="002D5E1B" w:rsidRDefault="00F057C6" w:rsidP="00F057C6">
      <w:pPr>
        <w:rPr>
          <w:szCs w:val="20"/>
        </w:rPr>
      </w:pPr>
      <w:r w:rsidRPr="002D5E1B">
        <w:rPr>
          <w:szCs w:val="20"/>
        </w:rPr>
        <w:t xml:space="preserve"> </w:t>
      </w:r>
    </w:p>
    <w:p w:rsidR="00F057C6" w:rsidRPr="002D5E1B" w:rsidRDefault="00F057C6" w:rsidP="00F057C6">
      <w:pPr>
        <w:rPr>
          <w:szCs w:val="20"/>
        </w:rPr>
      </w:pPr>
    </w:p>
    <w:p w:rsidR="00F057C6" w:rsidRPr="002D5E1B" w:rsidRDefault="00F057C6" w:rsidP="0095771C">
      <w:pPr>
        <w:pStyle w:val="Overskrift2"/>
        <w:rPr>
          <w:b/>
          <w:szCs w:val="20"/>
        </w:rPr>
      </w:pPr>
      <w:bookmarkStart w:id="8" w:name="_Toc391624647"/>
      <w:r w:rsidRPr="002D5E1B">
        <w:rPr>
          <w:b/>
          <w:sz w:val="20"/>
          <w:szCs w:val="20"/>
        </w:rPr>
        <w:t>Inklusion- og eksklusionskoder fra registr</w:t>
      </w:r>
      <w:r w:rsidR="0095771C">
        <w:rPr>
          <w:b/>
          <w:sz w:val="20"/>
          <w:szCs w:val="20"/>
        </w:rPr>
        <w:t>e</w:t>
      </w:r>
      <w:bookmarkEnd w:id="8"/>
    </w:p>
    <w:p w:rsidR="00F057C6" w:rsidRDefault="00F057C6" w:rsidP="00F057C6">
      <w:pPr>
        <w:rPr>
          <w:szCs w:val="20"/>
        </w:rPr>
      </w:pPr>
      <w:r w:rsidRPr="002D5E1B">
        <w:rPr>
          <w:szCs w:val="20"/>
        </w:rPr>
        <w:t xml:space="preserve">Inklusion: </w:t>
      </w:r>
    </w:p>
    <w:p w:rsidR="0095771C" w:rsidRPr="002D5E1B" w:rsidRDefault="0095771C" w:rsidP="00F057C6">
      <w:pPr>
        <w:rPr>
          <w:szCs w:val="20"/>
        </w:rPr>
      </w:pPr>
    </w:p>
    <w:p w:rsidR="00F057C6" w:rsidRPr="002D5E1B" w:rsidRDefault="00F057C6" w:rsidP="00F057C6">
      <w:pPr>
        <w:pStyle w:val="Listeafsnit"/>
        <w:numPr>
          <w:ilvl w:val="0"/>
          <w:numId w:val="9"/>
        </w:numPr>
        <w:rPr>
          <w:szCs w:val="20"/>
        </w:rPr>
      </w:pPr>
      <w:r w:rsidRPr="002D5E1B">
        <w:rPr>
          <w:szCs w:val="20"/>
        </w:rPr>
        <w:t xml:space="preserve">Personer med minimum to receptindløsninger på enten insulin og insulinanaloger eller andre midler til sænkning af blodsukkeret.  </w:t>
      </w:r>
    </w:p>
    <w:p w:rsidR="00F057C6" w:rsidRPr="002D5E1B" w:rsidRDefault="00F057C6" w:rsidP="00F057C6">
      <w:pPr>
        <w:pStyle w:val="Listeafsnit"/>
        <w:numPr>
          <w:ilvl w:val="0"/>
          <w:numId w:val="9"/>
        </w:numPr>
        <w:rPr>
          <w:szCs w:val="20"/>
        </w:rPr>
      </w:pPr>
      <w:r w:rsidRPr="002D5E1B">
        <w:rPr>
          <w:szCs w:val="20"/>
        </w:rPr>
        <w:t>Personer med en kode for graviditetsdiabetes i LPR er klassificeret som diabetikere såfremt</w:t>
      </w:r>
      <w:r w:rsidR="001E3547">
        <w:rPr>
          <w:szCs w:val="20"/>
        </w:rPr>
        <w:t>,</w:t>
      </w:r>
      <w:r w:rsidRPr="002D5E1B">
        <w:rPr>
          <w:szCs w:val="20"/>
        </w:rPr>
        <w:t xml:space="preserve"> de har indløst recept på antidiabetika i LSR mere end 280 dage forud for diagnosen graviditetsdiabetes (en graviditet er estimeret til at vare 280 dage). Kvinder, der har receptindløsninger på antidiabetika mere end 280 dage før eller efter deres gestationelle diabetes inkluderes derfor i RUKS. De har enten været diabetikere forud for deres graviditet eller er blevet diabetespatienter bagefter. I RUKS inkluderes personen ikke fra tidspunktet for den gestationelle diabetes blev konstateret, men fra den dato der blev indløst recept på antidiabetika mod senere udviklet diabetes.</w:t>
      </w:r>
    </w:p>
    <w:p w:rsidR="00F057C6" w:rsidRPr="002D5E1B" w:rsidRDefault="00F057C6" w:rsidP="00F057C6">
      <w:pPr>
        <w:pStyle w:val="Listeafsnit"/>
        <w:rPr>
          <w:szCs w:val="20"/>
        </w:rPr>
      </w:pPr>
    </w:p>
    <w:p w:rsidR="00F057C6" w:rsidRPr="002D5E1B" w:rsidRDefault="00F057C6" w:rsidP="00F057C6">
      <w:pPr>
        <w:pStyle w:val="Billedtekst"/>
        <w:keepNext/>
        <w:rPr>
          <w:b w:val="0"/>
          <w:sz w:val="20"/>
          <w:szCs w:val="20"/>
        </w:rPr>
      </w:pPr>
      <w:r w:rsidRPr="002D5E1B">
        <w:rPr>
          <w:b w:val="0"/>
          <w:sz w:val="20"/>
          <w:szCs w:val="20"/>
        </w:rPr>
        <w:t xml:space="preserve">Tabel </w:t>
      </w:r>
      <w:r w:rsidRPr="002D5E1B">
        <w:rPr>
          <w:b w:val="0"/>
          <w:sz w:val="20"/>
          <w:szCs w:val="20"/>
        </w:rPr>
        <w:fldChar w:fldCharType="begin"/>
      </w:r>
      <w:r w:rsidRPr="002D5E1B">
        <w:rPr>
          <w:b w:val="0"/>
          <w:sz w:val="20"/>
          <w:szCs w:val="20"/>
        </w:rPr>
        <w:instrText xml:space="preserve"> SEQ Tabel \* ARABIC </w:instrText>
      </w:r>
      <w:r w:rsidRPr="002D5E1B">
        <w:rPr>
          <w:b w:val="0"/>
          <w:sz w:val="20"/>
          <w:szCs w:val="20"/>
        </w:rPr>
        <w:fldChar w:fldCharType="separate"/>
      </w:r>
      <w:r w:rsidR="00581054">
        <w:rPr>
          <w:b w:val="0"/>
          <w:noProof/>
          <w:sz w:val="20"/>
          <w:szCs w:val="20"/>
        </w:rPr>
        <w:t>1</w:t>
      </w:r>
      <w:r w:rsidRPr="002D5E1B">
        <w:rPr>
          <w:b w:val="0"/>
          <w:noProof/>
          <w:sz w:val="20"/>
          <w:szCs w:val="20"/>
        </w:rPr>
        <w:fldChar w:fldCharType="end"/>
      </w:r>
      <w:r w:rsidRPr="002D5E1B">
        <w:rPr>
          <w:b w:val="0"/>
          <w:noProof/>
          <w:sz w:val="20"/>
          <w:szCs w:val="20"/>
        </w:rPr>
        <w:t>.</w:t>
      </w:r>
      <w:r w:rsidR="00674B9F" w:rsidRPr="002D5E1B">
        <w:rPr>
          <w:b w:val="0"/>
          <w:noProof/>
          <w:sz w:val="20"/>
          <w:szCs w:val="20"/>
        </w:rPr>
        <w:t>1</w:t>
      </w:r>
      <w:r w:rsidRPr="002D5E1B">
        <w:rPr>
          <w:b w:val="0"/>
          <w:noProof/>
          <w:sz w:val="20"/>
          <w:szCs w:val="20"/>
        </w:rPr>
        <w:t xml:space="preserve"> Oversigt over hvilke registre, der er med til at inkludere personer til at indgå i diabetespopulationen i RUKS.</w:t>
      </w:r>
    </w:p>
    <w:tbl>
      <w:tblPr>
        <w:tblStyle w:val="Tabel-Gitter"/>
        <w:tblW w:w="0" w:type="auto"/>
        <w:jc w:val="center"/>
        <w:tblLook w:val="04A0" w:firstRow="1" w:lastRow="0" w:firstColumn="1" w:lastColumn="0" w:noHBand="0" w:noVBand="1"/>
      </w:tblPr>
      <w:tblGrid>
        <w:gridCol w:w="5417"/>
      </w:tblGrid>
      <w:tr w:rsidR="00F057C6" w:rsidRPr="002D5E1B" w:rsidTr="001524EA">
        <w:trPr>
          <w:trHeight w:val="297"/>
          <w:jc w:val="center"/>
        </w:trPr>
        <w:tc>
          <w:tcPr>
            <w:tcW w:w="5417" w:type="dxa"/>
          </w:tcPr>
          <w:p w:rsidR="00F057C6" w:rsidRPr="002D5E1B" w:rsidRDefault="00F057C6" w:rsidP="00E26797">
            <w:pPr>
              <w:rPr>
                <w:b/>
                <w:szCs w:val="20"/>
              </w:rPr>
            </w:pPr>
            <w:r w:rsidRPr="002D5E1B">
              <w:rPr>
                <w:b/>
                <w:szCs w:val="20"/>
              </w:rPr>
              <w:t>Lægemiddelstatistikregisteret (LSR)</w:t>
            </w:r>
          </w:p>
        </w:tc>
      </w:tr>
      <w:tr w:rsidR="00F057C6" w:rsidRPr="002D5E1B" w:rsidTr="001524EA">
        <w:trPr>
          <w:trHeight w:val="1507"/>
          <w:jc w:val="center"/>
        </w:trPr>
        <w:tc>
          <w:tcPr>
            <w:tcW w:w="5417" w:type="dxa"/>
          </w:tcPr>
          <w:p w:rsidR="00F057C6" w:rsidRDefault="00F057C6" w:rsidP="00E26797">
            <w:pPr>
              <w:rPr>
                <w:szCs w:val="20"/>
              </w:rPr>
            </w:pPr>
            <w:r w:rsidRPr="002D5E1B">
              <w:rPr>
                <w:szCs w:val="20"/>
              </w:rPr>
              <w:t>Lægemidler:</w:t>
            </w:r>
          </w:p>
          <w:p w:rsidR="001524EA" w:rsidRPr="002D5E1B" w:rsidRDefault="001524EA" w:rsidP="00E26797">
            <w:pPr>
              <w:rPr>
                <w:szCs w:val="20"/>
              </w:rPr>
            </w:pPr>
          </w:p>
          <w:p w:rsidR="00F057C6" w:rsidRPr="002D5E1B" w:rsidRDefault="00F057C6" w:rsidP="00F057C6">
            <w:pPr>
              <w:pStyle w:val="Listeafsnit"/>
              <w:numPr>
                <w:ilvl w:val="0"/>
                <w:numId w:val="12"/>
              </w:numPr>
              <w:rPr>
                <w:szCs w:val="20"/>
              </w:rPr>
            </w:pPr>
            <w:r w:rsidRPr="002D5E1B">
              <w:rPr>
                <w:szCs w:val="20"/>
              </w:rPr>
              <w:t>Insuliner og analoger (A10A)</w:t>
            </w:r>
          </w:p>
          <w:p w:rsidR="00F057C6" w:rsidRPr="002D5E1B" w:rsidRDefault="00F057C6" w:rsidP="00F057C6">
            <w:pPr>
              <w:pStyle w:val="Listeafsnit"/>
              <w:numPr>
                <w:ilvl w:val="0"/>
                <w:numId w:val="12"/>
              </w:numPr>
              <w:rPr>
                <w:szCs w:val="20"/>
              </w:rPr>
            </w:pPr>
            <w:r w:rsidRPr="002D5E1B">
              <w:rPr>
                <w:szCs w:val="20"/>
              </w:rPr>
              <w:t>Midler til sænkning af blodsukker eksklusiv insuliner og insulinanaloger (A10B)</w:t>
            </w:r>
          </w:p>
          <w:p w:rsidR="00F057C6" w:rsidRPr="002D5E1B" w:rsidRDefault="00F057C6" w:rsidP="00E26797">
            <w:pPr>
              <w:rPr>
                <w:szCs w:val="20"/>
              </w:rPr>
            </w:pPr>
          </w:p>
        </w:tc>
      </w:tr>
    </w:tbl>
    <w:p w:rsidR="00F057C6" w:rsidRPr="002D5E1B" w:rsidRDefault="00F057C6" w:rsidP="00F057C6">
      <w:pPr>
        <w:rPr>
          <w:b/>
          <w:szCs w:val="20"/>
        </w:rPr>
      </w:pPr>
    </w:p>
    <w:p w:rsidR="00F057C6" w:rsidRPr="002D5E1B" w:rsidRDefault="00F057C6" w:rsidP="00F057C6">
      <w:pPr>
        <w:rPr>
          <w:szCs w:val="20"/>
        </w:rPr>
      </w:pPr>
      <w:r w:rsidRPr="002D5E1B">
        <w:rPr>
          <w:szCs w:val="20"/>
        </w:rPr>
        <w:t xml:space="preserve">Eksklusion: For at imødegå en eventuel fejlregistrering og misklassifikation af populationen frasorteres personer fra diabetespopulationen ud fra følgende kriterier: </w:t>
      </w:r>
    </w:p>
    <w:p w:rsidR="00674B9F" w:rsidRPr="002D5E1B" w:rsidRDefault="00674B9F" w:rsidP="00F057C6">
      <w:pPr>
        <w:rPr>
          <w:szCs w:val="20"/>
        </w:rPr>
      </w:pPr>
    </w:p>
    <w:p w:rsidR="00F057C6" w:rsidRPr="002D5E1B" w:rsidRDefault="00F057C6" w:rsidP="00F057C6">
      <w:pPr>
        <w:pStyle w:val="Listeafsnit"/>
        <w:numPr>
          <w:ilvl w:val="0"/>
          <w:numId w:val="10"/>
        </w:numPr>
        <w:rPr>
          <w:szCs w:val="20"/>
        </w:rPr>
      </w:pPr>
      <w:r w:rsidRPr="002D5E1B">
        <w:rPr>
          <w:szCs w:val="20"/>
        </w:rPr>
        <w:t xml:space="preserve">Kvinder, der har en kode for graviditetsdiabetes i LPR (DO244) og som ikke i forvejen er registreret med enten en kode for type 1- eller type 2-diabetes i LPR, eller har køb af antidiabetika i LSR mere end 280 dage før eller efter datoen for den gestationelle diabetes. </w:t>
      </w:r>
    </w:p>
    <w:p w:rsidR="00F057C6" w:rsidRPr="002D5E1B" w:rsidRDefault="00F057C6" w:rsidP="00F057C6">
      <w:pPr>
        <w:pStyle w:val="Listeafsnit"/>
        <w:numPr>
          <w:ilvl w:val="0"/>
          <w:numId w:val="10"/>
        </w:numPr>
        <w:rPr>
          <w:szCs w:val="20"/>
        </w:rPr>
      </w:pPr>
      <w:r w:rsidRPr="002D5E1B">
        <w:rPr>
          <w:szCs w:val="20"/>
        </w:rPr>
        <w:t xml:space="preserve">Kvinder, der er i samtidig behandling med metformin og clomifen (ATC-kode A10BA02 og G03GB02) ekskluderes. Der er mulighed for, at de er i behandling for barnløshed og ikke diabetes. At være i samtidig behandling defineres som indløsning af clomifen inden for 180 dage før eller efter indløsning på metformin. </w:t>
      </w:r>
    </w:p>
    <w:p w:rsidR="00F057C6" w:rsidRPr="002D5E1B" w:rsidRDefault="00F057C6" w:rsidP="00F057C6">
      <w:pPr>
        <w:pStyle w:val="Listeafsnit"/>
        <w:numPr>
          <w:ilvl w:val="0"/>
          <w:numId w:val="10"/>
        </w:numPr>
        <w:rPr>
          <w:szCs w:val="20"/>
        </w:rPr>
      </w:pPr>
      <w:r w:rsidRPr="002D5E1B">
        <w:rPr>
          <w:szCs w:val="20"/>
        </w:rPr>
        <w:t>Personer, hvor der kun er registreret et enkelt køb af antidiabetika.</w:t>
      </w:r>
    </w:p>
    <w:p w:rsidR="00F057C6" w:rsidRPr="002D5E1B" w:rsidRDefault="00F057C6" w:rsidP="00F057C6">
      <w:pPr>
        <w:pStyle w:val="Listeafsnit"/>
        <w:rPr>
          <w:szCs w:val="20"/>
        </w:rPr>
      </w:pPr>
    </w:p>
    <w:p w:rsidR="00F057C6" w:rsidRPr="002D5E1B" w:rsidRDefault="00F057C6" w:rsidP="00F057C6">
      <w:pPr>
        <w:rPr>
          <w:szCs w:val="20"/>
        </w:rPr>
      </w:pPr>
    </w:p>
    <w:p w:rsidR="00F057C6" w:rsidRPr="002D5E1B" w:rsidRDefault="00F057C6" w:rsidP="00F057C6">
      <w:pPr>
        <w:rPr>
          <w:szCs w:val="20"/>
        </w:rPr>
      </w:pPr>
    </w:p>
    <w:p w:rsidR="00F057C6" w:rsidRPr="002D5E1B" w:rsidRDefault="00F057C6" w:rsidP="00F057C6">
      <w:pPr>
        <w:pStyle w:val="Billedtekst"/>
        <w:rPr>
          <w:sz w:val="20"/>
          <w:szCs w:val="20"/>
        </w:rPr>
      </w:pPr>
    </w:p>
    <w:p w:rsidR="00F057C6" w:rsidRPr="002D5E1B" w:rsidRDefault="00F057C6" w:rsidP="00F057C6">
      <w:pPr>
        <w:spacing w:after="160" w:line="259" w:lineRule="auto"/>
        <w:rPr>
          <w:b/>
          <w:bCs/>
          <w:szCs w:val="20"/>
        </w:rPr>
      </w:pPr>
      <w:r w:rsidRPr="002D5E1B">
        <w:rPr>
          <w:szCs w:val="20"/>
        </w:rPr>
        <w:br w:type="page"/>
      </w:r>
    </w:p>
    <w:p w:rsidR="00F057C6" w:rsidRDefault="00F057C6" w:rsidP="00E2480E">
      <w:pPr>
        <w:pStyle w:val="Billedtekst"/>
        <w:outlineLvl w:val="1"/>
        <w:rPr>
          <w:sz w:val="20"/>
          <w:szCs w:val="20"/>
        </w:rPr>
      </w:pPr>
      <w:bookmarkStart w:id="9" w:name="_Toc391624648"/>
      <w:r w:rsidRPr="002D5E1B">
        <w:rPr>
          <w:sz w:val="20"/>
          <w:szCs w:val="20"/>
        </w:rPr>
        <w:t>Flowdiagram for dannelse af diabetes population</w:t>
      </w:r>
      <w:r w:rsidR="00E2480E" w:rsidRPr="002D5E1B">
        <w:rPr>
          <w:sz w:val="20"/>
          <w:szCs w:val="20"/>
        </w:rPr>
        <w:t>erne</w:t>
      </w:r>
      <w:r w:rsidRPr="002D5E1B">
        <w:rPr>
          <w:sz w:val="20"/>
          <w:szCs w:val="20"/>
        </w:rPr>
        <w:t xml:space="preserve"> i RUKS pr. 1. januar 2013</w:t>
      </w:r>
      <w:bookmarkEnd w:id="9"/>
    </w:p>
    <w:p w:rsidR="00EF6E28" w:rsidRPr="00EF6E28" w:rsidRDefault="00EF6E28" w:rsidP="00EF6E28"/>
    <w:p w:rsidR="00EF6E28" w:rsidRPr="00EF6E28" w:rsidRDefault="00725FCA" w:rsidP="00EF6E28">
      <w:r>
        <w:rPr>
          <w:noProof/>
          <w:lang w:eastAsia="da-DK"/>
        </w:rPr>
        <w:drawing>
          <wp:inline distT="0" distB="0" distL="0" distR="0" wp14:anchorId="6B4EF5BC" wp14:editId="0B441BEA">
            <wp:extent cx="6505575" cy="4524184"/>
            <wp:effectExtent l="0" t="0" r="0" b="0"/>
            <wp:docPr id="197" name="Billed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25812" cy="4538257"/>
                    </a:xfrm>
                    <a:prstGeom prst="rect">
                      <a:avLst/>
                    </a:prstGeom>
                    <a:noFill/>
                  </pic:spPr>
                </pic:pic>
              </a:graphicData>
            </a:graphic>
          </wp:inline>
        </w:drawing>
      </w:r>
    </w:p>
    <w:p w:rsidR="00F057C6" w:rsidRDefault="00F057C6" w:rsidP="00F057C6">
      <w:pPr>
        <w:rPr>
          <w:b/>
          <w:bCs/>
          <w:color w:val="C70000" w:themeColor="accent1"/>
          <w:sz w:val="18"/>
          <w:szCs w:val="18"/>
        </w:rPr>
      </w:pPr>
    </w:p>
    <w:p w:rsidR="00570F32" w:rsidRDefault="00570F32" w:rsidP="00646132">
      <w:pPr>
        <w:pStyle w:val="Overskrift2"/>
        <w:rPr>
          <w:b/>
          <w:sz w:val="20"/>
          <w:szCs w:val="20"/>
        </w:rPr>
      </w:pPr>
    </w:p>
    <w:p w:rsidR="00570F32" w:rsidRDefault="00570F32" w:rsidP="00646132">
      <w:pPr>
        <w:pStyle w:val="Overskrift2"/>
        <w:rPr>
          <w:b/>
          <w:sz w:val="20"/>
          <w:szCs w:val="20"/>
        </w:rPr>
      </w:pPr>
    </w:p>
    <w:p w:rsidR="00725FCA" w:rsidRPr="00725FCA" w:rsidRDefault="00725FCA" w:rsidP="00725FCA">
      <w:pPr>
        <w:spacing w:line="240" w:lineRule="auto"/>
        <w:rPr>
          <w:rFonts w:ascii="Times New Roman" w:eastAsia="Times New Roman" w:hAnsi="Times New Roman" w:cs="Times New Roman"/>
          <w:sz w:val="24"/>
          <w:szCs w:val="24"/>
          <w:lang w:eastAsia="da-DK"/>
        </w:rPr>
      </w:pPr>
      <w:r>
        <w:rPr>
          <w:rFonts w:eastAsiaTheme="minorEastAsia" w:hAnsi="Calibri" w:cs="Arial"/>
          <w:color w:val="000000" w:themeColor="text1"/>
          <w:kern w:val="24"/>
          <w:sz w:val="18"/>
          <w:szCs w:val="18"/>
          <w:lang w:eastAsia="da-DK"/>
        </w:rPr>
        <w:t>*</w:t>
      </w:r>
      <w:r w:rsidRPr="00725FCA">
        <w:rPr>
          <w:rFonts w:eastAsiaTheme="minorEastAsia" w:hAnsi="Calibri" w:cs="Arial"/>
          <w:color w:val="000000" w:themeColor="text1"/>
          <w:kern w:val="24"/>
          <w:sz w:val="18"/>
          <w:szCs w:val="18"/>
          <w:lang w:eastAsia="da-DK"/>
        </w:rPr>
        <w:t>Personer, der ikke fundet som aktive og bosiddende i Danmark, er fx gr</w:t>
      </w:r>
      <w:r w:rsidRPr="00725FCA">
        <w:rPr>
          <w:rFonts w:eastAsiaTheme="minorEastAsia" w:hAnsi="Calibri" w:cs="Arial"/>
          <w:color w:val="000000" w:themeColor="text1"/>
          <w:kern w:val="24"/>
          <w:sz w:val="18"/>
          <w:szCs w:val="18"/>
          <w:lang w:eastAsia="da-DK"/>
        </w:rPr>
        <w:t>ø</w:t>
      </w:r>
      <w:r w:rsidRPr="00725FCA">
        <w:rPr>
          <w:rFonts w:eastAsiaTheme="minorEastAsia" w:hAnsi="Calibri" w:cs="Arial"/>
          <w:color w:val="000000" w:themeColor="text1"/>
          <w:kern w:val="24"/>
          <w:sz w:val="18"/>
          <w:szCs w:val="18"/>
          <w:lang w:eastAsia="da-DK"/>
        </w:rPr>
        <w:t>nl</w:t>
      </w:r>
      <w:r w:rsidRPr="00725FCA">
        <w:rPr>
          <w:rFonts w:eastAsiaTheme="minorEastAsia" w:hAnsi="Calibri" w:cs="Arial"/>
          <w:color w:val="000000" w:themeColor="text1"/>
          <w:kern w:val="24"/>
          <w:sz w:val="18"/>
          <w:szCs w:val="18"/>
          <w:lang w:eastAsia="da-DK"/>
        </w:rPr>
        <w:t>æ</w:t>
      </w:r>
      <w:r w:rsidRPr="00725FCA">
        <w:rPr>
          <w:rFonts w:eastAsiaTheme="minorEastAsia" w:hAnsi="Calibri" w:cs="Arial"/>
          <w:color w:val="000000" w:themeColor="text1"/>
          <w:kern w:val="24"/>
          <w:sz w:val="18"/>
          <w:szCs w:val="18"/>
          <w:lang w:eastAsia="da-DK"/>
        </w:rPr>
        <w:t>ndere, der har haft kontakter i LPR.</w:t>
      </w:r>
    </w:p>
    <w:p w:rsidR="00725FCA" w:rsidRPr="00725FCA" w:rsidRDefault="00725FCA" w:rsidP="00725FCA">
      <w:pPr>
        <w:spacing w:line="240" w:lineRule="auto"/>
        <w:rPr>
          <w:rFonts w:ascii="Times New Roman" w:eastAsia="Times New Roman" w:hAnsi="Times New Roman" w:cs="Times New Roman"/>
          <w:sz w:val="24"/>
          <w:szCs w:val="24"/>
          <w:lang w:eastAsia="da-DK"/>
        </w:rPr>
      </w:pPr>
      <w:r w:rsidRPr="00725FCA">
        <w:rPr>
          <w:rFonts w:eastAsiaTheme="minorEastAsia" w:hAnsi="Calibri" w:cs="Arial"/>
          <w:color w:val="000000" w:themeColor="text1"/>
          <w:kern w:val="24"/>
          <w:sz w:val="18"/>
          <w:szCs w:val="18"/>
          <w:lang w:eastAsia="da-DK"/>
        </w:rPr>
        <w:t xml:space="preserve">Der er anvendt et </w:t>
      </w:r>
      <w:r w:rsidRPr="00725FCA">
        <w:rPr>
          <w:rFonts w:eastAsiaTheme="minorEastAsia" w:hAnsi="Calibri" w:cs="Arial"/>
          <w:color w:val="000000" w:themeColor="text1"/>
          <w:kern w:val="24"/>
          <w:sz w:val="18"/>
          <w:szCs w:val="18"/>
          <w:lang w:eastAsia="da-DK"/>
        </w:rPr>
        <w:t>ø</w:t>
      </w:r>
      <w:r w:rsidRPr="00725FCA">
        <w:rPr>
          <w:rFonts w:eastAsiaTheme="minorEastAsia" w:hAnsi="Calibri" w:cs="Arial"/>
          <w:color w:val="000000" w:themeColor="text1"/>
          <w:kern w:val="24"/>
          <w:sz w:val="18"/>
          <w:szCs w:val="18"/>
          <w:lang w:eastAsia="da-DK"/>
        </w:rPr>
        <w:t>jebliksbillede fra 15.04.14.</w:t>
      </w:r>
    </w:p>
    <w:p w:rsidR="00570F32" w:rsidRDefault="00570F32" w:rsidP="00570F32"/>
    <w:p w:rsidR="00570F32" w:rsidRDefault="00570F32" w:rsidP="00570F32"/>
    <w:p w:rsidR="00570F32" w:rsidRDefault="00570F32" w:rsidP="00570F32"/>
    <w:p w:rsidR="00570F32" w:rsidRDefault="00570F32" w:rsidP="00570F32"/>
    <w:p w:rsidR="00570F32" w:rsidRDefault="00570F32" w:rsidP="00570F32"/>
    <w:p w:rsidR="00570F32" w:rsidRDefault="00570F32" w:rsidP="00570F32"/>
    <w:p w:rsidR="00570F32" w:rsidRDefault="00570F32" w:rsidP="00570F32"/>
    <w:p w:rsidR="00725FCA" w:rsidRDefault="00725FCA" w:rsidP="00570F32"/>
    <w:p w:rsidR="00725FCA" w:rsidRDefault="00725FCA" w:rsidP="00646132">
      <w:pPr>
        <w:pStyle w:val="Overskrift2"/>
        <w:rPr>
          <w:b/>
          <w:sz w:val="20"/>
          <w:szCs w:val="20"/>
        </w:rPr>
      </w:pPr>
    </w:p>
    <w:p w:rsidR="00F057C6" w:rsidRPr="002D5E1B" w:rsidRDefault="00F057C6" w:rsidP="00646132">
      <w:pPr>
        <w:pStyle w:val="Overskrift2"/>
        <w:rPr>
          <w:b/>
          <w:sz w:val="20"/>
          <w:szCs w:val="20"/>
        </w:rPr>
      </w:pPr>
      <w:bookmarkStart w:id="10" w:name="_Toc391624649"/>
      <w:r w:rsidRPr="002D5E1B">
        <w:rPr>
          <w:b/>
          <w:sz w:val="20"/>
          <w:szCs w:val="20"/>
        </w:rPr>
        <w:t>Beskrivelse af den fundne population</w:t>
      </w:r>
      <w:bookmarkEnd w:id="10"/>
    </w:p>
    <w:p w:rsidR="002D5E1B" w:rsidRPr="002D5E1B" w:rsidRDefault="002D5E1B" w:rsidP="002D5E1B">
      <w:pPr>
        <w:rPr>
          <w:szCs w:val="20"/>
        </w:rPr>
      </w:pPr>
    </w:p>
    <w:p w:rsidR="00EA2927" w:rsidRDefault="00F057C6" w:rsidP="00F057C6">
      <w:pPr>
        <w:rPr>
          <w:szCs w:val="20"/>
        </w:rPr>
      </w:pPr>
      <w:r w:rsidRPr="002D5E1B">
        <w:rPr>
          <w:szCs w:val="20"/>
        </w:rPr>
        <w:t>I RUKS anslås godt 200.000 personer at lide af type 2-diabetes, og 27.935 personer udgør restgrupp</w:t>
      </w:r>
      <w:r w:rsidR="00872D0E">
        <w:rPr>
          <w:szCs w:val="20"/>
        </w:rPr>
        <w:t>en, der er kendetegnet ved at de udelukkende har indløst</w:t>
      </w:r>
      <w:r w:rsidRPr="002D5E1B">
        <w:rPr>
          <w:szCs w:val="20"/>
        </w:rPr>
        <w:t xml:space="preserve"> insulin eller insulinanaloger</w:t>
      </w:r>
      <w:r w:rsidR="00EA2927">
        <w:rPr>
          <w:szCs w:val="20"/>
        </w:rPr>
        <w:t xml:space="preserve"> (svarende til en andel på 14 %)</w:t>
      </w:r>
      <w:r w:rsidRPr="002D5E1B">
        <w:rPr>
          <w:szCs w:val="20"/>
        </w:rPr>
        <w:t xml:space="preserve">. </w:t>
      </w:r>
    </w:p>
    <w:p w:rsidR="00EA2927" w:rsidRDefault="00EA2927" w:rsidP="00F057C6">
      <w:pPr>
        <w:rPr>
          <w:szCs w:val="20"/>
        </w:rPr>
      </w:pPr>
    </w:p>
    <w:p w:rsidR="00F057C6" w:rsidRPr="002D5E1B" w:rsidRDefault="00EA2927" w:rsidP="00F057C6">
      <w:pPr>
        <w:rPr>
          <w:szCs w:val="20"/>
        </w:rPr>
      </w:pPr>
      <w:r>
        <w:rPr>
          <w:szCs w:val="20"/>
        </w:rPr>
        <w:t>A</w:t>
      </w:r>
      <w:r w:rsidR="00F057C6" w:rsidRPr="002D5E1B">
        <w:rPr>
          <w:szCs w:val="20"/>
        </w:rPr>
        <w:t xml:space="preserve">f de </w:t>
      </w:r>
      <w:r w:rsidR="00872D0E">
        <w:rPr>
          <w:szCs w:val="20"/>
        </w:rPr>
        <w:t>27.935 personer, der udelukkende</w:t>
      </w:r>
      <w:r>
        <w:rPr>
          <w:szCs w:val="20"/>
        </w:rPr>
        <w:t xml:space="preserve"> ha</w:t>
      </w:r>
      <w:r w:rsidR="000B22EF">
        <w:rPr>
          <w:szCs w:val="20"/>
        </w:rPr>
        <w:t>r indløst insulin eller insulin</w:t>
      </w:r>
      <w:r>
        <w:rPr>
          <w:szCs w:val="20"/>
        </w:rPr>
        <w:t>analoger,</w:t>
      </w:r>
      <w:r w:rsidR="00F057C6" w:rsidRPr="002D5E1B">
        <w:rPr>
          <w:szCs w:val="20"/>
        </w:rPr>
        <w:t xml:space="preserve"> har</w:t>
      </w:r>
      <w:r>
        <w:rPr>
          <w:szCs w:val="20"/>
        </w:rPr>
        <w:t xml:space="preserve"> 13.078 personer indløst recepter </w:t>
      </w:r>
      <w:r w:rsidR="00F057C6" w:rsidRPr="002D5E1B">
        <w:rPr>
          <w:szCs w:val="20"/>
        </w:rPr>
        <w:t>siden 1994. Dvs. vi kender ikke deres debutalder, eller om de har indløst peroralt antidiabetika før 1994. Af de 13.078 personer</w:t>
      </w:r>
      <w:r w:rsidR="007B0B4E">
        <w:rPr>
          <w:szCs w:val="20"/>
        </w:rPr>
        <w:t>,</w:t>
      </w:r>
      <w:r w:rsidR="00B82458">
        <w:rPr>
          <w:szCs w:val="20"/>
        </w:rPr>
        <w:t xml:space="preserve"> var 9.063 endnu</w:t>
      </w:r>
      <w:r w:rsidR="00F057C6" w:rsidRPr="002D5E1B">
        <w:rPr>
          <w:szCs w:val="20"/>
        </w:rPr>
        <w:t xml:space="preserve"> ikke fyldt 45 år </w:t>
      </w:r>
      <w:r>
        <w:rPr>
          <w:szCs w:val="20"/>
        </w:rPr>
        <w:t xml:space="preserve">i 1994 </w:t>
      </w:r>
      <w:r w:rsidR="00F057C6" w:rsidRPr="002D5E1B">
        <w:rPr>
          <w:szCs w:val="20"/>
        </w:rPr>
        <w:t>(se tabel 1</w:t>
      </w:r>
      <w:r w:rsidR="001E3547">
        <w:rPr>
          <w:szCs w:val="20"/>
        </w:rPr>
        <w:t>.2</w:t>
      </w:r>
      <w:r w:rsidR="00F057C6" w:rsidRPr="002D5E1B">
        <w:rPr>
          <w:szCs w:val="20"/>
        </w:rPr>
        <w:t>)</w:t>
      </w:r>
      <w:r w:rsidR="00D823F3">
        <w:rPr>
          <w:szCs w:val="20"/>
        </w:rPr>
        <w:t xml:space="preserve">. </w:t>
      </w:r>
      <w:r w:rsidR="002E6CFB">
        <w:rPr>
          <w:szCs w:val="20"/>
        </w:rPr>
        <w:t xml:space="preserve">De 9.063 personer har </w:t>
      </w:r>
      <w:r w:rsidR="00D823F3">
        <w:rPr>
          <w:szCs w:val="20"/>
        </w:rPr>
        <w:t>større sandsynlig for at have type 1 – diabetes end fremskreden type 2 – diabetes.</w:t>
      </w:r>
      <w:r w:rsidR="002E6CFB">
        <w:rPr>
          <w:szCs w:val="20"/>
        </w:rPr>
        <w:t xml:space="preserve"> Dette ses ved at sammenligne figur 1.3-1.6.</w:t>
      </w:r>
    </w:p>
    <w:p w:rsidR="00F057C6" w:rsidRPr="002D5E1B" w:rsidRDefault="00F057C6" w:rsidP="00F057C6">
      <w:pPr>
        <w:rPr>
          <w:szCs w:val="20"/>
        </w:rPr>
      </w:pPr>
    </w:p>
    <w:p w:rsidR="00F057C6" w:rsidRDefault="00F057C6" w:rsidP="00F057C6">
      <w:pPr>
        <w:rPr>
          <w:szCs w:val="20"/>
        </w:rPr>
      </w:pPr>
      <w:r w:rsidRPr="002D5E1B">
        <w:rPr>
          <w:szCs w:val="20"/>
        </w:rPr>
        <w:t xml:space="preserve">Tabel </w:t>
      </w:r>
      <w:r w:rsidR="00BE2F0A" w:rsidRPr="002D5E1B">
        <w:rPr>
          <w:szCs w:val="20"/>
        </w:rPr>
        <w:t>1.</w:t>
      </w:r>
      <w:r w:rsidRPr="002D5E1B">
        <w:rPr>
          <w:szCs w:val="20"/>
        </w:rPr>
        <w:t xml:space="preserve">2. </w:t>
      </w:r>
      <w:r w:rsidR="00EA2927">
        <w:rPr>
          <w:szCs w:val="20"/>
        </w:rPr>
        <w:t>Fordeling af personer, der udelukkende</w:t>
      </w:r>
      <w:r w:rsidRPr="002D5E1B">
        <w:rPr>
          <w:szCs w:val="20"/>
        </w:rPr>
        <w:t xml:space="preserve"> har indløst recept på </w:t>
      </w:r>
      <w:r w:rsidR="00EA2927">
        <w:rPr>
          <w:szCs w:val="20"/>
        </w:rPr>
        <w:t>insulin og insulinanaloger (</w:t>
      </w:r>
      <w:r w:rsidRPr="002D5E1B">
        <w:rPr>
          <w:szCs w:val="20"/>
        </w:rPr>
        <w:t>A10A</w:t>
      </w:r>
      <w:r w:rsidR="00EA2927">
        <w:rPr>
          <w:szCs w:val="20"/>
        </w:rPr>
        <w:t>)</w:t>
      </w:r>
      <w:r w:rsidRPr="002D5E1B">
        <w:rPr>
          <w:szCs w:val="20"/>
        </w:rPr>
        <w:t>.</w:t>
      </w:r>
    </w:p>
    <w:p w:rsidR="00B81F0E" w:rsidRPr="002D5E1B" w:rsidRDefault="00B81F0E" w:rsidP="00F057C6">
      <w:pPr>
        <w:rPr>
          <w:szCs w:val="20"/>
        </w:rPr>
      </w:pPr>
    </w:p>
    <w:tbl>
      <w:tblPr>
        <w:tblStyle w:val="Tabel-Gitter"/>
        <w:tblW w:w="0" w:type="auto"/>
        <w:tblLook w:val="04A0" w:firstRow="1" w:lastRow="0" w:firstColumn="1" w:lastColumn="0" w:noHBand="0" w:noVBand="1"/>
      </w:tblPr>
      <w:tblGrid>
        <w:gridCol w:w="4077"/>
        <w:gridCol w:w="2441"/>
        <w:gridCol w:w="1812"/>
      </w:tblGrid>
      <w:tr w:rsidR="00F057C6" w:rsidRPr="002D5E1B" w:rsidTr="00E26797">
        <w:tc>
          <w:tcPr>
            <w:tcW w:w="4077" w:type="dxa"/>
          </w:tcPr>
          <w:p w:rsidR="00F057C6" w:rsidRPr="002D5E1B" w:rsidRDefault="00F057C6" w:rsidP="00E26797">
            <w:pPr>
              <w:rPr>
                <w:szCs w:val="20"/>
              </w:rPr>
            </w:pPr>
          </w:p>
        </w:tc>
        <w:tc>
          <w:tcPr>
            <w:tcW w:w="2441" w:type="dxa"/>
          </w:tcPr>
          <w:p w:rsidR="00F057C6" w:rsidRPr="002D5E1B" w:rsidRDefault="00F057C6" w:rsidP="00E26797">
            <w:pPr>
              <w:jc w:val="right"/>
              <w:rPr>
                <w:szCs w:val="20"/>
              </w:rPr>
            </w:pPr>
            <w:r w:rsidRPr="002D5E1B">
              <w:rPr>
                <w:szCs w:val="20"/>
              </w:rPr>
              <w:t>Antal personer</w:t>
            </w:r>
          </w:p>
        </w:tc>
        <w:tc>
          <w:tcPr>
            <w:tcW w:w="1812" w:type="dxa"/>
          </w:tcPr>
          <w:p w:rsidR="00F057C6" w:rsidRPr="002D5E1B" w:rsidRDefault="00F057C6" w:rsidP="00E26797">
            <w:pPr>
              <w:jc w:val="right"/>
              <w:rPr>
                <w:szCs w:val="20"/>
              </w:rPr>
            </w:pPr>
            <w:r w:rsidRPr="002D5E1B">
              <w:rPr>
                <w:szCs w:val="20"/>
              </w:rPr>
              <w:t>%</w:t>
            </w:r>
          </w:p>
        </w:tc>
      </w:tr>
      <w:tr w:rsidR="00F057C6" w:rsidRPr="002D5E1B" w:rsidTr="00E26797">
        <w:tc>
          <w:tcPr>
            <w:tcW w:w="4077" w:type="dxa"/>
          </w:tcPr>
          <w:p w:rsidR="00F057C6" w:rsidRPr="002D5E1B" w:rsidRDefault="00F057C6" w:rsidP="00E26797">
            <w:pPr>
              <w:rPr>
                <w:szCs w:val="20"/>
              </w:rPr>
            </w:pPr>
            <w:r w:rsidRPr="002D5E1B">
              <w:rPr>
                <w:szCs w:val="20"/>
              </w:rPr>
              <w:t>Kun A10A (debut efter 1994)</w:t>
            </w:r>
          </w:p>
        </w:tc>
        <w:tc>
          <w:tcPr>
            <w:tcW w:w="2441" w:type="dxa"/>
          </w:tcPr>
          <w:p w:rsidR="00F057C6" w:rsidRPr="002D5E1B" w:rsidRDefault="00F057C6" w:rsidP="00E26797">
            <w:pPr>
              <w:jc w:val="right"/>
              <w:rPr>
                <w:szCs w:val="20"/>
              </w:rPr>
            </w:pPr>
            <w:r w:rsidRPr="002D5E1B">
              <w:rPr>
                <w:szCs w:val="20"/>
              </w:rPr>
              <w:t>14.857</w:t>
            </w:r>
          </w:p>
        </w:tc>
        <w:tc>
          <w:tcPr>
            <w:tcW w:w="1812" w:type="dxa"/>
          </w:tcPr>
          <w:p w:rsidR="00F057C6" w:rsidRPr="002D5E1B" w:rsidRDefault="00F057C6" w:rsidP="00E26797">
            <w:pPr>
              <w:jc w:val="right"/>
              <w:rPr>
                <w:szCs w:val="20"/>
              </w:rPr>
            </w:pPr>
            <w:r w:rsidRPr="002D5E1B">
              <w:rPr>
                <w:szCs w:val="20"/>
              </w:rPr>
              <w:t>53,2</w:t>
            </w:r>
          </w:p>
        </w:tc>
      </w:tr>
      <w:tr w:rsidR="00F057C6" w:rsidRPr="002D5E1B" w:rsidTr="00E26797">
        <w:tc>
          <w:tcPr>
            <w:tcW w:w="4077" w:type="dxa"/>
          </w:tcPr>
          <w:p w:rsidR="00F057C6" w:rsidRPr="002D5E1B" w:rsidRDefault="00F057C6" w:rsidP="00E26797">
            <w:pPr>
              <w:rPr>
                <w:szCs w:val="20"/>
              </w:rPr>
            </w:pPr>
            <w:r w:rsidRPr="002D5E1B">
              <w:rPr>
                <w:szCs w:val="20"/>
              </w:rPr>
              <w:t>A10A debut i 1994 og under 45 år</w:t>
            </w:r>
          </w:p>
        </w:tc>
        <w:tc>
          <w:tcPr>
            <w:tcW w:w="2441" w:type="dxa"/>
          </w:tcPr>
          <w:p w:rsidR="00F057C6" w:rsidRPr="002D5E1B" w:rsidRDefault="00F057C6" w:rsidP="00E26797">
            <w:pPr>
              <w:jc w:val="right"/>
              <w:rPr>
                <w:szCs w:val="20"/>
              </w:rPr>
            </w:pPr>
            <w:r w:rsidRPr="002D5E1B">
              <w:rPr>
                <w:szCs w:val="20"/>
              </w:rPr>
              <w:t>9.063</w:t>
            </w:r>
          </w:p>
        </w:tc>
        <w:tc>
          <w:tcPr>
            <w:tcW w:w="1812" w:type="dxa"/>
          </w:tcPr>
          <w:p w:rsidR="00F057C6" w:rsidRPr="002D5E1B" w:rsidRDefault="00F057C6" w:rsidP="00E26797">
            <w:pPr>
              <w:jc w:val="right"/>
              <w:rPr>
                <w:szCs w:val="20"/>
              </w:rPr>
            </w:pPr>
            <w:r w:rsidRPr="002D5E1B">
              <w:rPr>
                <w:szCs w:val="20"/>
              </w:rPr>
              <w:t>32,4</w:t>
            </w:r>
          </w:p>
        </w:tc>
      </w:tr>
      <w:tr w:rsidR="00F057C6" w:rsidRPr="002D5E1B" w:rsidTr="00E26797">
        <w:tc>
          <w:tcPr>
            <w:tcW w:w="4077" w:type="dxa"/>
          </w:tcPr>
          <w:p w:rsidR="00F057C6" w:rsidRPr="002D5E1B" w:rsidRDefault="00F057C6" w:rsidP="00E26797">
            <w:pPr>
              <w:rPr>
                <w:szCs w:val="20"/>
              </w:rPr>
            </w:pPr>
            <w:r w:rsidRPr="002D5E1B">
              <w:rPr>
                <w:szCs w:val="20"/>
              </w:rPr>
              <w:t xml:space="preserve">A10A debut i 1994 og 45+ år </w:t>
            </w:r>
          </w:p>
        </w:tc>
        <w:tc>
          <w:tcPr>
            <w:tcW w:w="2441" w:type="dxa"/>
          </w:tcPr>
          <w:p w:rsidR="00F057C6" w:rsidRPr="002D5E1B" w:rsidRDefault="00F057C6" w:rsidP="00E26797">
            <w:pPr>
              <w:jc w:val="right"/>
              <w:rPr>
                <w:szCs w:val="20"/>
              </w:rPr>
            </w:pPr>
            <w:r w:rsidRPr="002D5E1B">
              <w:rPr>
                <w:szCs w:val="20"/>
              </w:rPr>
              <w:t>4.015</w:t>
            </w:r>
          </w:p>
        </w:tc>
        <w:tc>
          <w:tcPr>
            <w:tcW w:w="1812" w:type="dxa"/>
          </w:tcPr>
          <w:p w:rsidR="00F057C6" w:rsidRPr="002D5E1B" w:rsidRDefault="00F057C6" w:rsidP="00E26797">
            <w:pPr>
              <w:jc w:val="right"/>
              <w:rPr>
                <w:szCs w:val="20"/>
              </w:rPr>
            </w:pPr>
            <w:r w:rsidRPr="002D5E1B">
              <w:rPr>
                <w:szCs w:val="20"/>
              </w:rPr>
              <w:t>14,4</w:t>
            </w:r>
          </w:p>
        </w:tc>
      </w:tr>
    </w:tbl>
    <w:p w:rsidR="00F057C6" w:rsidRPr="002D5E1B" w:rsidRDefault="00F057C6" w:rsidP="00F057C6">
      <w:pPr>
        <w:rPr>
          <w:szCs w:val="20"/>
        </w:rPr>
      </w:pPr>
    </w:p>
    <w:p w:rsidR="00F057C6" w:rsidRPr="002D5E1B" w:rsidRDefault="007B0B4E" w:rsidP="00F057C6">
      <w:pPr>
        <w:rPr>
          <w:szCs w:val="20"/>
        </w:rPr>
      </w:pPr>
      <w:r>
        <w:rPr>
          <w:szCs w:val="20"/>
        </w:rPr>
        <w:t>Da 85,6 % af de 27.935 personer</w:t>
      </w:r>
      <w:r w:rsidR="00F057C6" w:rsidRPr="002D5E1B">
        <w:rPr>
          <w:szCs w:val="20"/>
        </w:rPr>
        <w:t xml:space="preserve"> med høj sandsynlighed har type 1-diabetes, har vi valgt at kalde grup</w:t>
      </w:r>
      <w:r>
        <w:rPr>
          <w:szCs w:val="20"/>
        </w:rPr>
        <w:t>pen type 1-diabetes. Det er dog</w:t>
      </w:r>
      <w:r w:rsidR="00F057C6" w:rsidRPr="002D5E1B">
        <w:rPr>
          <w:szCs w:val="20"/>
        </w:rPr>
        <w:t xml:space="preserve"> </w:t>
      </w:r>
      <w:r w:rsidR="00DC38B6">
        <w:rPr>
          <w:szCs w:val="20"/>
        </w:rPr>
        <w:t xml:space="preserve">mere </w:t>
      </w:r>
      <w:r w:rsidR="00F057C6" w:rsidRPr="002D5E1B">
        <w:rPr>
          <w:szCs w:val="20"/>
        </w:rPr>
        <w:t>usikkert om de sidste 14,4%</w:t>
      </w:r>
      <w:r w:rsidR="00DC38B6">
        <w:rPr>
          <w:szCs w:val="20"/>
        </w:rPr>
        <w:t>, der i 1994 var 45 år eller mere,</w:t>
      </w:r>
      <w:r w:rsidR="00F057C6" w:rsidRPr="002D5E1B">
        <w:rPr>
          <w:szCs w:val="20"/>
        </w:rPr>
        <w:t xml:space="preserve"> har type 1-diabetes eller fremskreden type 2-diabetes.</w:t>
      </w:r>
    </w:p>
    <w:p w:rsidR="00F057C6" w:rsidRPr="002D5E1B" w:rsidRDefault="00F057C6" w:rsidP="00F057C6">
      <w:pPr>
        <w:rPr>
          <w:szCs w:val="20"/>
        </w:rPr>
      </w:pPr>
    </w:p>
    <w:p w:rsidR="00F057C6" w:rsidRDefault="00F057C6" w:rsidP="00646132">
      <w:pPr>
        <w:pStyle w:val="Overskrift2"/>
        <w:rPr>
          <w:b/>
          <w:sz w:val="20"/>
          <w:szCs w:val="20"/>
        </w:rPr>
      </w:pPr>
      <w:bookmarkStart w:id="11" w:name="_Toc391624650"/>
      <w:r w:rsidRPr="002D5E1B">
        <w:rPr>
          <w:b/>
          <w:sz w:val="20"/>
          <w:szCs w:val="20"/>
        </w:rPr>
        <w:t>Antal personer med type 2-diabetes og type 1-diabetes i perioden 2007 til 2013 i RUKS</w:t>
      </w:r>
      <w:bookmarkEnd w:id="11"/>
    </w:p>
    <w:p w:rsidR="000B57E6" w:rsidRPr="000B57E6" w:rsidRDefault="000B57E6" w:rsidP="000B57E6"/>
    <w:p w:rsidR="00F057C6" w:rsidRPr="002D5E1B" w:rsidRDefault="00F057C6" w:rsidP="00F057C6">
      <w:pPr>
        <w:rPr>
          <w:szCs w:val="20"/>
        </w:rPr>
      </w:pPr>
      <w:r w:rsidRPr="002D5E1B">
        <w:rPr>
          <w:szCs w:val="20"/>
        </w:rPr>
        <w:t>Stigningen i prævalensen af diabetespatienter skyldes,</w:t>
      </w:r>
      <w:r w:rsidRPr="002D5E1B">
        <w:rPr>
          <w:b/>
          <w:szCs w:val="20"/>
        </w:rPr>
        <w:t xml:space="preserve"> </w:t>
      </w:r>
      <w:r w:rsidRPr="002D5E1B">
        <w:rPr>
          <w:szCs w:val="20"/>
        </w:rPr>
        <w:t xml:space="preserve">at der kommer flere nye patienter til (incidens) end der dør (mortalitet) (tabel </w:t>
      </w:r>
      <w:r w:rsidR="00BE2F0A" w:rsidRPr="002D5E1B">
        <w:rPr>
          <w:szCs w:val="20"/>
        </w:rPr>
        <w:t>1.</w:t>
      </w:r>
      <w:r w:rsidRPr="002D5E1B">
        <w:rPr>
          <w:szCs w:val="20"/>
        </w:rPr>
        <w:t xml:space="preserve">2 og </w:t>
      </w:r>
      <w:r w:rsidR="00BE2F0A" w:rsidRPr="002D5E1B">
        <w:rPr>
          <w:szCs w:val="20"/>
        </w:rPr>
        <w:t>1.</w:t>
      </w:r>
      <w:r w:rsidRPr="002D5E1B">
        <w:rPr>
          <w:szCs w:val="20"/>
        </w:rPr>
        <w:t xml:space="preserve">3 samt figur </w:t>
      </w:r>
      <w:r w:rsidR="00BE2F0A" w:rsidRPr="002D5E1B">
        <w:rPr>
          <w:szCs w:val="20"/>
        </w:rPr>
        <w:t>1.1</w:t>
      </w:r>
      <w:r w:rsidRPr="002D5E1B">
        <w:rPr>
          <w:szCs w:val="20"/>
        </w:rPr>
        <w:t xml:space="preserve"> og </w:t>
      </w:r>
      <w:r w:rsidR="00BE2F0A" w:rsidRPr="002D5E1B">
        <w:rPr>
          <w:szCs w:val="20"/>
        </w:rPr>
        <w:t>1.2</w:t>
      </w:r>
      <w:r w:rsidRPr="002D5E1B">
        <w:rPr>
          <w:szCs w:val="20"/>
        </w:rPr>
        <w:t xml:space="preserve">). Incidensen vil falde jo nærmere opgørelsen kommer på opdateringstidspunktet, da personer først bliver klassificerede som diabetes-patienter, når der er indsamlet en information om mindst to receptindløsninger. Klassificeringen foregår bagudrettet. </w:t>
      </w:r>
    </w:p>
    <w:p w:rsidR="00F057C6" w:rsidRPr="002D5E1B" w:rsidRDefault="00F057C6" w:rsidP="00F057C6">
      <w:pPr>
        <w:rPr>
          <w:b/>
          <w:szCs w:val="20"/>
        </w:rPr>
      </w:pPr>
    </w:p>
    <w:p w:rsidR="00F057C6" w:rsidRPr="002D5E1B" w:rsidRDefault="00F057C6" w:rsidP="00F057C6">
      <w:pPr>
        <w:pStyle w:val="Billedtekst"/>
        <w:keepNext/>
        <w:rPr>
          <w:b w:val="0"/>
          <w:sz w:val="20"/>
          <w:szCs w:val="20"/>
        </w:rPr>
      </w:pPr>
      <w:r w:rsidRPr="002D5E1B">
        <w:rPr>
          <w:b w:val="0"/>
          <w:sz w:val="20"/>
          <w:szCs w:val="20"/>
        </w:rPr>
        <w:t xml:space="preserve">Tabel </w:t>
      </w:r>
      <w:r w:rsidR="00BE2F0A" w:rsidRPr="002D5E1B">
        <w:rPr>
          <w:b w:val="0"/>
          <w:sz w:val="20"/>
          <w:szCs w:val="20"/>
        </w:rPr>
        <w:t>1.</w:t>
      </w:r>
      <w:r w:rsidRPr="002D5E1B">
        <w:rPr>
          <w:b w:val="0"/>
          <w:sz w:val="20"/>
          <w:szCs w:val="20"/>
        </w:rPr>
        <w:t>3</w:t>
      </w:r>
      <w:r w:rsidRPr="002D5E1B">
        <w:rPr>
          <w:b w:val="0"/>
          <w:noProof/>
          <w:sz w:val="20"/>
          <w:szCs w:val="20"/>
        </w:rPr>
        <w:t>.</w:t>
      </w:r>
      <w:r w:rsidRPr="002D5E1B">
        <w:rPr>
          <w:b w:val="0"/>
          <w:sz w:val="20"/>
          <w:szCs w:val="20"/>
        </w:rPr>
        <w:t xml:space="preserve"> Prævalens af personer i RUKS med type 1-diabetes pr. 1. januar det pågældende år.</w:t>
      </w:r>
    </w:p>
    <w:tbl>
      <w:tblPr>
        <w:tblStyle w:val="Tabel-Gitter"/>
        <w:tblW w:w="0" w:type="auto"/>
        <w:tblLook w:val="04A0" w:firstRow="1" w:lastRow="0" w:firstColumn="1" w:lastColumn="0" w:noHBand="0" w:noVBand="1"/>
      </w:tblPr>
      <w:tblGrid>
        <w:gridCol w:w="1374"/>
        <w:gridCol w:w="1375"/>
        <w:gridCol w:w="1375"/>
        <w:gridCol w:w="1376"/>
        <w:gridCol w:w="1376"/>
        <w:gridCol w:w="1376"/>
        <w:gridCol w:w="1376"/>
      </w:tblGrid>
      <w:tr w:rsidR="00F057C6" w:rsidRPr="002D5E1B" w:rsidTr="00E26797">
        <w:tc>
          <w:tcPr>
            <w:tcW w:w="1396" w:type="dxa"/>
          </w:tcPr>
          <w:p w:rsidR="00F057C6" w:rsidRPr="002D5E1B" w:rsidRDefault="00F057C6" w:rsidP="00E26797">
            <w:pPr>
              <w:jc w:val="center"/>
              <w:rPr>
                <w:b/>
                <w:szCs w:val="20"/>
              </w:rPr>
            </w:pPr>
            <w:r w:rsidRPr="002D5E1B">
              <w:rPr>
                <w:b/>
                <w:szCs w:val="20"/>
              </w:rPr>
              <w:t>2007</w:t>
            </w:r>
          </w:p>
        </w:tc>
        <w:tc>
          <w:tcPr>
            <w:tcW w:w="1397" w:type="dxa"/>
          </w:tcPr>
          <w:p w:rsidR="00F057C6" w:rsidRPr="002D5E1B" w:rsidRDefault="00F057C6" w:rsidP="00E26797">
            <w:pPr>
              <w:jc w:val="center"/>
              <w:rPr>
                <w:b/>
                <w:szCs w:val="20"/>
              </w:rPr>
            </w:pPr>
            <w:r w:rsidRPr="002D5E1B">
              <w:rPr>
                <w:b/>
                <w:szCs w:val="20"/>
              </w:rPr>
              <w:t>2008</w:t>
            </w:r>
          </w:p>
        </w:tc>
        <w:tc>
          <w:tcPr>
            <w:tcW w:w="1397" w:type="dxa"/>
          </w:tcPr>
          <w:p w:rsidR="00F057C6" w:rsidRPr="002D5E1B" w:rsidRDefault="00F057C6" w:rsidP="00E26797">
            <w:pPr>
              <w:jc w:val="center"/>
              <w:rPr>
                <w:b/>
                <w:szCs w:val="20"/>
              </w:rPr>
            </w:pPr>
            <w:r w:rsidRPr="002D5E1B">
              <w:rPr>
                <w:b/>
                <w:szCs w:val="20"/>
              </w:rPr>
              <w:t>2009</w:t>
            </w:r>
          </w:p>
        </w:tc>
        <w:tc>
          <w:tcPr>
            <w:tcW w:w="1397" w:type="dxa"/>
          </w:tcPr>
          <w:p w:rsidR="00F057C6" w:rsidRPr="002D5E1B" w:rsidRDefault="00F057C6" w:rsidP="00E26797">
            <w:pPr>
              <w:jc w:val="center"/>
              <w:rPr>
                <w:b/>
                <w:szCs w:val="20"/>
              </w:rPr>
            </w:pPr>
            <w:r w:rsidRPr="002D5E1B">
              <w:rPr>
                <w:b/>
                <w:szCs w:val="20"/>
              </w:rPr>
              <w:t>2010</w:t>
            </w:r>
          </w:p>
        </w:tc>
        <w:tc>
          <w:tcPr>
            <w:tcW w:w="1397" w:type="dxa"/>
          </w:tcPr>
          <w:p w:rsidR="00F057C6" w:rsidRPr="002D5E1B" w:rsidRDefault="00F057C6" w:rsidP="00E26797">
            <w:pPr>
              <w:jc w:val="center"/>
              <w:rPr>
                <w:b/>
                <w:szCs w:val="20"/>
              </w:rPr>
            </w:pPr>
            <w:r w:rsidRPr="002D5E1B">
              <w:rPr>
                <w:b/>
                <w:szCs w:val="20"/>
              </w:rPr>
              <w:t>2011</w:t>
            </w:r>
          </w:p>
        </w:tc>
        <w:tc>
          <w:tcPr>
            <w:tcW w:w="1397" w:type="dxa"/>
          </w:tcPr>
          <w:p w:rsidR="00F057C6" w:rsidRPr="002D5E1B" w:rsidRDefault="00F057C6" w:rsidP="00E26797">
            <w:pPr>
              <w:jc w:val="center"/>
              <w:rPr>
                <w:b/>
                <w:szCs w:val="20"/>
              </w:rPr>
            </w:pPr>
            <w:r w:rsidRPr="002D5E1B">
              <w:rPr>
                <w:b/>
                <w:szCs w:val="20"/>
              </w:rPr>
              <w:t>2012</w:t>
            </w:r>
          </w:p>
        </w:tc>
        <w:tc>
          <w:tcPr>
            <w:tcW w:w="1397" w:type="dxa"/>
          </w:tcPr>
          <w:p w:rsidR="00F057C6" w:rsidRPr="002D5E1B" w:rsidRDefault="00F057C6" w:rsidP="00E26797">
            <w:pPr>
              <w:jc w:val="center"/>
              <w:rPr>
                <w:b/>
                <w:szCs w:val="20"/>
              </w:rPr>
            </w:pPr>
            <w:r w:rsidRPr="002D5E1B">
              <w:rPr>
                <w:b/>
                <w:szCs w:val="20"/>
              </w:rPr>
              <w:t>2013</w:t>
            </w:r>
          </w:p>
        </w:tc>
      </w:tr>
      <w:tr w:rsidR="00F057C6" w:rsidRPr="002D5E1B" w:rsidTr="00E26797">
        <w:tc>
          <w:tcPr>
            <w:tcW w:w="1396" w:type="dxa"/>
            <w:vAlign w:val="bottom"/>
          </w:tcPr>
          <w:p w:rsidR="00F057C6" w:rsidRPr="002D5E1B" w:rsidRDefault="00F057C6" w:rsidP="00E26797">
            <w:pPr>
              <w:rPr>
                <w:rFonts w:ascii="MS Sans Serif" w:hAnsi="MS Sans Serif"/>
                <w:szCs w:val="20"/>
              </w:rPr>
            </w:pPr>
            <w:r w:rsidRPr="002D5E1B">
              <w:rPr>
                <w:rFonts w:ascii="MS Sans Serif" w:hAnsi="MS Sans Serif"/>
                <w:szCs w:val="20"/>
              </w:rPr>
              <w:t xml:space="preserve">       27.385 </w:t>
            </w:r>
          </w:p>
        </w:tc>
        <w:tc>
          <w:tcPr>
            <w:tcW w:w="1397" w:type="dxa"/>
            <w:vAlign w:val="bottom"/>
          </w:tcPr>
          <w:p w:rsidR="00F057C6" w:rsidRPr="002D5E1B" w:rsidRDefault="00F057C6" w:rsidP="00E26797">
            <w:pPr>
              <w:rPr>
                <w:rFonts w:ascii="MS Sans Serif" w:hAnsi="MS Sans Serif"/>
                <w:szCs w:val="20"/>
              </w:rPr>
            </w:pPr>
            <w:r w:rsidRPr="002D5E1B">
              <w:rPr>
                <w:rFonts w:ascii="MS Sans Serif" w:hAnsi="MS Sans Serif"/>
                <w:szCs w:val="20"/>
              </w:rPr>
              <w:t xml:space="preserve">       27.691 </w:t>
            </w:r>
          </w:p>
        </w:tc>
        <w:tc>
          <w:tcPr>
            <w:tcW w:w="1397" w:type="dxa"/>
            <w:vAlign w:val="bottom"/>
          </w:tcPr>
          <w:p w:rsidR="00F057C6" w:rsidRPr="002D5E1B" w:rsidRDefault="00F057C6" w:rsidP="00E26797">
            <w:pPr>
              <w:rPr>
                <w:rFonts w:ascii="MS Sans Serif" w:hAnsi="MS Sans Serif"/>
                <w:szCs w:val="20"/>
              </w:rPr>
            </w:pPr>
            <w:r w:rsidRPr="002D5E1B">
              <w:rPr>
                <w:rFonts w:ascii="MS Sans Serif" w:hAnsi="MS Sans Serif"/>
                <w:szCs w:val="20"/>
              </w:rPr>
              <w:t xml:space="preserve">       28.029 </w:t>
            </w:r>
          </w:p>
        </w:tc>
        <w:tc>
          <w:tcPr>
            <w:tcW w:w="1397" w:type="dxa"/>
            <w:vAlign w:val="bottom"/>
          </w:tcPr>
          <w:p w:rsidR="00F057C6" w:rsidRPr="002D5E1B" w:rsidRDefault="00F057C6" w:rsidP="00E26797">
            <w:pPr>
              <w:rPr>
                <w:rFonts w:ascii="MS Sans Serif" w:hAnsi="MS Sans Serif"/>
                <w:szCs w:val="20"/>
              </w:rPr>
            </w:pPr>
            <w:r w:rsidRPr="002D5E1B">
              <w:rPr>
                <w:rFonts w:ascii="MS Sans Serif" w:hAnsi="MS Sans Serif"/>
                <w:szCs w:val="20"/>
              </w:rPr>
              <w:t xml:space="preserve">       28.347 </w:t>
            </w:r>
          </w:p>
        </w:tc>
        <w:tc>
          <w:tcPr>
            <w:tcW w:w="1397" w:type="dxa"/>
            <w:vAlign w:val="bottom"/>
          </w:tcPr>
          <w:p w:rsidR="00F057C6" w:rsidRPr="002D5E1B" w:rsidRDefault="00F057C6" w:rsidP="00E26797">
            <w:pPr>
              <w:rPr>
                <w:rFonts w:ascii="MS Sans Serif" w:hAnsi="MS Sans Serif"/>
                <w:szCs w:val="20"/>
              </w:rPr>
            </w:pPr>
            <w:r w:rsidRPr="002D5E1B">
              <w:rPr>
                <w:rFonts w:ascii="MS Sans Serif" w:hAnsi="MS Sans Serif"/>
                <w:szCs w:val="20"/>
              </w:rPr>
              <w:t xml:space="preserve">       28.644 </w:t>
            </w:r>
          </w:p>
        </w:tc>
        <w:tc>
          <w:tcPr>
            <w:tcW w:w="1397" w:type="dxa"/>
            <w:vAlign w:val="bottom"/>
          </w:tcPr>
          <w:p w:rsidR="00F057C6" w:rsidRPr="002D5E1B" w:rsidRDefault="00F057C6" w:rsidP="00E26797">
            <w:pPr>
              <w:rPr>
                <w:rFonts w:ascii="MS Sans Serif" w:hAnsi="MS Sans Serif"/>
                <w:szCs w:val="20"/>
              </w:rPr>
            </w:pPr>
            <w:r w:rsidRPr="002D5E1B">
              <w:rPr>
                <w:rFonts w:ascii="MS Sans Serif" w:hAnsi="MS Sans Serif"/>
                <w:szCs w:val="20"/>
              </w:rPr>
              <w:t xml:space="preserve">       28.953 </w:t>
            </w:r>
          </w:p>
        </w:tc>
        <w:tc>
          <w:tcPr>
            <w:tcW w:w="1397" w:type="dxa"/>
            <w:vAlign w:val="bottom"/>
          </w:tcPr>
          <w:p w:rsidR="00F057C6" w:rsidRPr="002D5E1B" w:rsidRDefault="00F057C6" w:rsidP="00E26797">
            <w:pPr>
              <w:rPr>
                <w:rFonts w:ascii="MS Sans Serif" w:hAnsi="MS Sans Serif"/>
                <w:szCs w:val="20"/>
              </w:rPr>
            </w:pPr>
            <w:r w:rsidRPr="002D5E1B">
              <w:rPr>
                <w:rFonts w:ascii="MS Sans Serif" w:hAnsi="MS Sans Serif"/>
                <w:szCs w:val="20"/>
              </w:rPr>
              <w:t xml:space="preserve">       29.255 </w:t>
            </w:r>
          </w:p>
        </w:tc>
      </w:tr>
    </w:tbl>
    <w:p w:rsidR="00F057C6" w:rsidRPr="002D5E1B" w:rsidRDefault="00F057C6" w:rsidP="00F057C6">
      <w:pPr>
        <w:pStyle w:val="Billedtekst"/>
        <w:keepNext/>
        <w:rPr>
          <w:sz w:val="20"/>
          <w:szCs w:val="20"/>
        </w:rPr>
      </w:pPr>
    </w:p>
    <w:p w:rsidR="00F057C6" w:rsidRPr="002D5E1B" w:rsidRDefault="00F057C6" w:rsidP="00F057C6">
      <w:pPr>
        <w:pStyle w:val="Billedtekst"/>
        <w:keepNext/>
        <w:rPr>
          <w:b w:val="0"/>
          <w:sz w:val="20"/>
          <w:szCs w:val="20"/>
        </w:rPr>
      </w:pPr>
      <w:r w:rsidRPr="002D5E1B">
        <w:rPr>
          <w:b w:val="0"/>
          <w:sz w:val="20"/>
          <w:szCs w:val="20"/>
        </w:rPr>
        <w:t xml:space="preserve">Tabel </w:t>
      </w:r>
      <w:r w:rsidR="00BE2F0A" w:rsidRPr="002D5E1B">
        <w:rPr>
          <w:b w:val="0"/>
          <w:sz w:val="20"/>
          <w:szCs w:val="20"/>
        </w:rPr>
        <w:t xml:space="preserve">1.4. </w:t>
      </w:r>
      <w:r w:rsidRPr="002D5E1B">
        <w:rPr>
          <w:b w:val="0"/>
          <w:sz w:val="20"/>
          <w:szCs w:val="20"/>
        </w:rPr>
        <w:t>Prævalens af personer i RUKS med type 2-diabetes pr. 1. januar det pågældende år.</w:t>
      </w:r>
    </w:p>
    <w:tbl>
      <w:tblPr>
        <w:tblStyle w:val="Tabel-Gitter"/>
        <w:tblW w:w="0" w:type="auto"/>
        <w:tblLook w:val="04A0" w:firstRow="1" w:lastRow="0" w:firstColumn="1" w:lastColumn="0" w:noHBand="0" w:noVBand="1"/>
      </w:tblPr>
      <w:tblGrid>
        <w:gridCol w:w="1374"/>
        <w:gridCol w:w="1375"/>
        <w:gridCol w:w="1375"/>
        <w:gridCol w:w="1376"/>
        <w:gridCol w:w="1376"/>
        <w:gridCol w:w="1376"/>
        <w:gridCol w:w="1376"/>
      </w:tblGrid>
      <w:tr w:rsidR="00F057C6" w:rsidRPr="002D5E1B" w:rsidTr="00E26797">
        <w:tc>
          <w:tcPr>
            <w:tcW w:w="1396" w:type="dxa"/>
          </w:tcPr>
          <w:p w:rsidR="00F057C6" w:rsidRPr="002D5E1B" w:rsidRDefault="00F057C6" w:rsidP="00E26797">
            <w:pPr>
              <w:jc w:val="center"/>
              <w:rPr>
                <w:b/>
                <w:szCs w:val="20"/>
              </w:rPr>
            </w:pPr>
            <w:r w:rsidRPr="002D5E1B">
              <w:rPr>
                <w:b/>
                <w:szCs w:val="20"/>
              </w:rPr>
              <w:t>2007</w:t>
            </w:r>
          </w:p>
        </w:tc>
        <w:tc>
          <w:tcPr>
            <w:tcW w:w="1397" w:type="dxa"/>
          </w:tcPr>
          <w:p w:rsidR="00F057C6" w:rsidRPr="002D5E1B" w:rsidRDefault="00F057C6" w:rsidP="00E26797">
            <w:pPr>
              <w:jc w:val="center"/>
              <w:rPr>
                <w:b/>
                <w:szCs w:val="20"/>
              </w:rPr>
            </w:pPr>
            <w:r w:rsidRPr="002D5E1B">
              <w:rPr>
                <w:b/>
                <w:szCs w:val="20"/>
              </w:rPr>
              <w:t>2008</w:t>
            </w:r>
          </w:p>
        </w:tc>
        <w:tc>
          <w:tcPr>
            <w:tcW w:w="1397" w:type="dxa"/>
          </w:tcPr>
          <w:p w:rsidR="00F057C6" w:rsidRPr="002D5E1B" w:rsidRDefault="00F057C6" w:rsidP="00E26797">
            <w:pPr>
              <w:jc w:val="center"/>
              <w:rPr>
                <w:b/>
                <w:szCs w:val="20"/>
              </w:rPr>
            </w:pPr>
            <w:r w:rsidRPr="002D5E1B">
              <w:rPr>
                <w:b/>
                <w:szCs w:val="20"/>
              </w:rPr>
              <w:t>2009</w:t>
            </w:r>
          </w:p>
        </w:tc>
        <w:tc>
          <w:tcPr>
            <w:tcW w:w="1397" w:type="dxa"/>
          </w:tcPr>
          <w:p w:rsidR="00F057C6" w:rsidRPr="002D5E1B" w:rsidRDefault="00F057C6" w:rsidP="00E26797">
            <w:pPr>
              <w:jc w:val="center"/>
              <w:rPr>
                <w:b/>
                <w:szCs w:val="20"/>
              </w:rPr>
            </w:pPr>
            <w:r w:rsidRPr="002D5E1B">
              <w:rPr>
                <w:b/>
                <w:szCs w:val="20"/>
              </w:rPr>
              <w:t>2010</w:t>
            </w:r>
          </w:p>
        </w:tc>
        <w:tc>
          <w:tcPr>
            <w:tcW w:w="1397" w:type="dxa"/>
          </w:tcPr>
          <w:p w:rsidR="00F057C6" w:rsidRPr="002D5E1B" w:rsidRDefault="00F057C6" w:rsidP="00E26797">
            <w:pPr>
              <w:jc w:val="center"/>
              <w:rPr>
                <w:b/>
                <w:szCs w:val="20"/>
              </w:rPr>
            </w:pPr>
            <w:r w:rsidRPr="002D5E1B">
              <w:rPr>
                <w:b/>
                <w:szCs w:val="20"/>
              </w:rPr>
              <w:t>2011</w:t>
            </w:r>
          </w:p>
        </w:tc>
        <w:tc>
          <w:tcPr>
            <w:tcW w:w="1397" w:type="dxa"/>
          </w:tcPr>
          <w:p w:rsidR="00F057C6" w:rsidRPr="002D5E1B" w:rsidRDefault="00F057C6" w:rsidP="00E26797">
            <w:pPr>
              <w:jc w:val="center"/>
              <w:rPr>
                <w:b/>
                <w:szCs w:val="20"/>
              </w:rPr>
            </w:pPr>
            <w:r w:rsidRPr="002D5E1B">
              <w:rPr>
                <w:b/>
                <w:szCs w:val="20"/>
              </w:rPr>
              <w:t>2012</w:t>
            </w:r>
          </w:p>
        </w:tc>
        <w:tc>
          <w:tcPr>
            <w:tcW w:w="1397" w:type="dxa"/>
          </w:tcPr>
          <w:p w:rsidR="00F057C6" w:rsidRPr="002D5E1B" w:rsidRDefault="00F057C6" w:rsidP="00E26797">
            <w:pPr>
              <w:jc w:val="center"/>
              <w:rPr>
                <w:b/>
                <w:szCs w:val="20"/>
              </w:rPr>
            </w:pPr>
            <w:r w:rsidRPr="002D5E1B">
              <w:rPr>
                <w:b/>
                <w:szCs w:val="20"/>
              </w:rPr>
              <w:t>2013</w:t>
            </w:r>
          </w:p>
        </w:tc>
      </w:tr>
      <w:tr w:rsidR="00F057C6" w:rsidRPr="002D5E1B" w:rsidTr="00E26797">
        <w:tc>
          <w:tcPr>
            <w:tcW w:w="1396" w:type="dxa"/>
            <w:vAlign w:val="bottom"/>
          </w:tcPr>
          <w:p w:rsidR="00F057C6" w:rsidRPr="002D5E1B" w:rsidRDefault="00F057C6" w:rsidP="00E26797">
            <w:pPr>
              <w:rPr>
                <w:rFonts w:ascii="MS Sans Serif" w:hAnsi="MS Sans Serif"/>
                <w:szCs w:val="20"/>
              </w:rPr>
            </w:pPr>
            <w:r w:rsidRPr="002D5E1B">
              <w:rPr>
                <w:rFonts w:ascii="MS Sans Serif" w:hAnsi="MS Sans Serif"/>
                <w:szCs w:val="20"/>
              </w:rPr>
              <w:t xml:space="preserve">       132.226 </w:t>
            </w:r>
          </w:p>
        </w:tc>
        <w:tc>
          <w:tcPr>
            <w:tcW w:w="1397" w:type="dxa"/>
            <w:vAlign w:val="bottom"/>
          </w:tcPr>
          <w:p w:rsidR="00F057C6" w:rsidRPr="002D5E1B" w:rsidRDefault="00F057C6" w:rsidP="00E26797">
            <w:pPr>
              <w:rPr>
                <w:rFonts w:ascii="MS Sans Serif" w:hAnsi="MS Sans Serif"/>
                <w:szCs w:val="20"/>
              </w:rPr>
            </w:pPr>
            <w:r w:rsidRPr="002D5E1B">
              <w:rPr>
                <w:rFonts w:ascii="MS Sans Serif" w:hAnsi="MS Sans Serif"/>
                <w:szCs w:val="20"/>
              </w:rPr>
              <w:t xml:space="preserve">       142.808 </w:t>
            </w:r>
          </w:p>
        </w:tc>
        <w:tc>
          <w:tcPr>
            <w:tcW w:w="1397" w:type="dxa"/>
            <w:vAlign w:val="bottom"/>
          </w:tcPr>
          <w:p w:rsidR="00F057C6" w:rsidRPr="002D5E1B" w:rsidRDefault="00F057C6" w:rsidP="00E26797">
            <w:pPr>
              <w:rPr>
                <w:rFonts w:ascii="MS Sans Serif" w:hAnsi="MS Sans Serif"/>
                <w:szCs w:val="20"/>
              </w:rPr>
            </w:pPr>
            <w:r w:rsidRPr="002D5E1B">
              <w:rPr>
                <w:rFonts w:ascii="MS Sans Serif" w:hAnsi="MS Sans Serif"/>
                <w:szCs w:val="20"/>
              </w:rPr>
              <w:t xml:space="preserve">       154.646 </w:t>
            </w:r>
          </w:p>
        </w:tc>
        <w:tc>
          <w:tcPr>
            <w:tcW w:w="1397" w:type="dxa"/>
            <w:vAlign w:val="bottom"/>
          </w:tcPr>
          <w:p w:rsidR="00F057C6" w:rsidRPr="002D5E1B" w:rsidRDefault="00F057C6" w:rsidP="00E26797">
            <w:pPr>
              <w:rPr>
                <w:rFonts w:ascii="MS Sans Serif" w:hAnsi="MS Sans Serif"/>
                <w:szCs w:val="20"/>
              </w:rPr>
            </w:pPr>
            <w:r w:rsidRPr="002D5E1B">
              <w:rPr>
                <w:rFonts w:ascii="MS Sans Serif" w:hAnsi="MS Sans Serif"/>
                <w:szCs w:val="20"/>
              </w:rPr>
              <w:t xml:space="preserve">       166.788 </w:t>
            </w:r>
          </w:p>
        </w:tc>
        <w:tc>
          <w:tcPr>
            <w:tcW w:w="1397" w:type="dxa"/>
            <w:vAlign w:val="bottom"/>
          </w:tcPr>
          <w:p w:rsidR="00F057C6" w:rsidRPr="002D5E1B" w:rsidRDefault="00F057C6" w:rsidP="00E26797">
            <w:pPr>
              <w:rPr>
                <w:rFonts w:ascii="MS Sans Serif" w:hAnsi="MS Sans Serif"/>
                <w:szCs w:val="20"/>
              </w:rPr>
            </w:pPr>
            <w:r w:rsidRPr="002D5E1B">
              <w:rPr>
                <w:rFonts w:ascii="MS Sans Serif" w:hAnsi="MS Sans Serif"/>
                <w:szCs w:val="20"/>
              </w:rPr>
              <w:t xml:space="preserve">       180.515 </w:t>
            </w:r>
          </w:p>
        </w:tc>
        <w:tc>
          <w:tcPr>
            <w:tcW w:w="1397" w:type="dxa"/>
            <w:vAlign w:val="bottom"/>
          </w:tcPr>
          <w:p w:rsidR="00F057C6" w:rsidRPr="002D5E1B" w:rsidRDefault="00F057C6" w:rsidP="00E26797">
            <w:pPr>
              <w:rPr>
                <w:rFonts w:ascii="MS Sans Serif" w:hAnsi="MS Sans Serif"/>
                <w:szCs w:val="20"/>
              </w:rPr>
            </w:pPr>
            <w:r w:rsidRPr="002D5E1B">
              <w:rPr>
                <w:rFonts w:ascii="MS Sans Serif" w:hAnsi="MS Sans Serif"/>
                <w:szCs w:val="20"/>
              </w:rPr>
              <w:t xml:space="preserve">       197.414 </w:t>
            </w:r>
          </w:p>
        </w:tc>
        <w:tc>
          <w:tcPr>
            <w:tcW w:w="1397" w:type="dxa"/>
            <w:vAlign w:val="bottom"/>
          </w:tcPr>
          <w:p w:rsidR="00F057C6" w:rsidRPr="002D5E1B" w:rsidRDefault="00F057C6" w:rsidP="00E26797">
            <w:pPr>
              <w:rPr>
                <w:rFonts w:ascii="MS Sans Serif" w:hAnsi="MS Sans Serif"/>
                <w:szCs w:val="20"/>
              </w:rPr>
            </w:pPr>
            <w:r w:rsidRPr="002D5E1B">
              <w:rPr>
                <w:rFonts w:ascii="MS Sans Serif" w:hAnsi="MS Sans Serif"/>
                <w:szCs w:val="20"/>
              </w:rPr>
              <w:t xml:space="preserve">       209.894 </w:t>
            </w:r>
          </w:p>
        </w:tc>
      </w:tr>
    </w:tbl>
    <w:p w:rsidR="00F057C6" w:rsidRPr="002D5E1B" w:rsidRDefault="00F057C6" w:rsidP="00F057C6">
      <w:pPr>
        <w:rPr>
          <w:szCs w:val="20"/>
        </w:rPr>
      </w:pPr>
    </w:p>
    <w:p w:rsidR="00F057C6" w:rsidRPr="002D5E1B" w:rsidRDefault="00F057C6" w:rsidP="00F057C6">
      <w:pPr>
        <w:rPr>
          <w:szCs w:val="20"/>
        </w:rPr>
      </w:pPr>
    </w:p>
    <w:p w:rsidR="00F057C6" w:rsidRPr="002D5E1B" w:rsidRDefault="00BE2F0A" w:rsidP="00F057C6">
      <w:pPr>
        <w:pStyle w:val="Billedtekst"/>
        <w:keepNext/>
        <w:rPr>
          <w:b w:val="0"/>
          <w:sz w:val="20"/>
          <w:szCs w:val="20"/>
        </w:rPr>
      </w:pPr>
      <w:r w:rsidRPr="002D5E1B">
        <w:rPr>
          <w:b w:val="0"/>
          <w:sz w:val="20"/>
          <w:szCs w:val="20"/>
        </w:rPr>
        <w:t>Figur 1.1</w:t>
      </w:r>
      <w:r w:rsidR="00F057C6" w:rsidRPr="002D5E1B">
        <w:rPr>
          <w:b w:val="0"/>
          <w:sz w:val="20"/>
          <w:szCs w:val="20"/>
        </w:rPr>
        <w:t>. Prævalens, incidens og mortalitet af populationen med type 1-diabetes i RUKS.</w:t>
      </w:r>
    </w:p>
    <w:p w:rsidR="00F057C6" w:rsidRDefault="00F057C6" w:rsidP="00F057C6">
      <w:pPr>
        <w:jc w:val="center"/>
        <w:rPr>
          <w:sz w:val="22"/>
        </w:rPr>
      </w:pPr>
      <w:r w:rsidRPr="00590170">
        <w:rPr>
          <w:noProof/>
          <w:sz w:val="22"/>
          <w:lang w:eastAsia="da-DK"/>
        </w:rPr>
        <w:drawing>
          <wp:inline distT="0" distB="0" distL="0" distR="0" wp14:anchorId="7997EC14" wp14:editId="5B9DA3F7">
            <wp:extent cx="5246174" cy="251460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91172" cy="2536168"/>
                    </a:xfrm>
                    <a:prstGeom prst="rect">
                      <a:avLst/>
                    </a:prstGeom>
                    <a:noFill/>
                  </pic:spPr>
                </pic:pic>
              </a:graphicData>
            </a:graphic>
          </wp:inline>
        </w:drawing>
      </w:r>
    </w:p>
    <w:p w:rsidR="00F057C6" w:rsidRDefault="00F057C6" w:rsidP="00F057C6">
      <w:pPr>
        <w:rPr>
          <w:sz w:val="22"/>
        </w:rPr>
      </w:pPr>
    </w:p>
    <w:p w:rsidR="00F057C6" w:rsidRDefault="00F057C6" w:rsidP="00F057C6">
      <w:pPr>
        <w:rPr>
          <w:sz w:val="22"/>
        </w:rPr>
      </w:pPr>
    </w:p>
    <w:p w:rsidR="00F057C6" w:rsidRPr="002D5E1B" w:rsidRDefault="00F057C6" w:rsidP="00F057C6">
      <w:pPr>
        <w:pStyle w:val="Billedtekst"/>
        <w:keepNext/>
        <w:rPr>
          <w:b w:val="0"/>
          <w:sz w:val="20"/>
          <w:szCs w:val="20"/>
        </w:rPr>
      </w:pPr>
      <w:r w:rsidRPr="002D5E1B">
        <w:rPr>
          <w:b w:val="0"/>
          <w:sz w:val="20"/>
          <w:szCs w:val="20"/>
        </w:rPr>
        <w:t>Figur 1.</w:t>
      </w:r>
      <w:r w:rsidR="00BE2F0A" w:rsidRPr="002D5E1B">
        <w:rPr>
          <w:b w:val="0"/>
          <w:sz w:val="20"/>
          <w:szCs w:val="20"/>
        </w:rPr>
        <w:t>2</w:t>
      </w:r>
      <w:r w:rsidRPr="002D5E1B">
        <w:rPr>
          <w:b w:val="0"/>
          <w:sz w:val="20"/>
          <w:szCs w:val="20"/>
        </w:rPr>
        <w:t>. Prævalens, incidens og mortalitet af populationen med type 2-diabetes i RUKS.</w:t>
      </w:r>
    </w:p>
    <w:p w:rsidR="00F057C6" w:rsidRDefault="00F057C6" w:rsidP="00F057C6">
      <w:pPr>
        <w:jc w:val="center"/>
        <w:rPr>
          <w:sz w:val="22"/>
        </w:rPr>
      </w:pPr>
      <w:r w:rsidRPr="00590170">
        <w:rPr>
          <w:noProof/>
          <w:sz w:val="22"/>
          <w:lang w:eastAsia="da-DK"/>
        </w:rPr>
        <w:drawing>
          <wp:inline distT="0" distB="0" distL="0" distR="0" wp14:anchorId="052FFDA3" wp14:editId="3D7B6EBD">
            <wp:extent cx="5227791" cy="236220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6662" cy="2388801"/>
                    </a:xfrm>
                    <a:prstGeom prst="rect">
                      <a:avLst/>
                    </a:prstGeom>
                    <a:noFill/>
                  </pic:spPr>
                </pic:pic>
              </a:graphicData>
            </a:graphic>
          </wp:inline>
        </w:drawing>
      </w:r>
    </w:p>
    <w:p w:rsidR="00F057C6" w:rsidRDefault="00F057C6" w:rsidP="00F057C6">
      <w:pPr>
        <w:rPr>
          <w:b/>
          <w:sz w:val="22"/>
        </w:rPr>
      </w:pPr>
    </w:p>
    <w:p w:rsidR="00F057C6" w:rsidRDefault="00F057C6" w:rsidP="00F057C6">
      <w:pPr>
        <w:rPr>
          <w:sz w:val="22"/>
        </w:rPr>
      </w:pPr>
    </w:p>
    <w:p w:rsidR="00F057C6" w:rsidRPr="002D5E1B" w:rsidRDefault="00F057C6" w:rsidP="00F057C6">
      <w:pPr>
        <w:rPr>
          <w:szCs w:val="20"/>
        </w:rPr>
      </w:pPr>
      <w:r w:rsidRPr="002D5E1B">
        <w:rPr>
          <w:szCs w:val="20"/>
        </w:rPr>
        <w:t>Aldersfordelingen ved debut blandt type 1-diabetikere samt type 2-dia</w:t>
      </w:r>
      <w:r w:rsidR="00BE2F0A" w:rsidRPr="002D5E1B">
        <w:rPr>
          <w:szCs w:val="20"/>
        </w:rPr>
        <w:t>betikere illustreres i figur 1.3 – 1.6</w:t>
      </w:r>
      <w:r w:rsidRPr="002D5E1B">
        <w:rPr>
          <w:szCs w:val="20"/>
        </w:rPr>
        <w:t xml:space="preserve">. Det fremgår, at fordelingen af debutalderen ved første køb af diabetesmedicin er meget forskellig </w:t>
      </w:r>
      <w:r w:rsidR="00286115">
        <w:rPr>
          <w:szCs w:val="20"/>
        </w:rPr>
        <w:t xml:space="preserve">i </w:t>
      </w:r>
      <w:r w:rsidRPr="002D5E1B">
        <w:rPr>
          <w:szCs w:val="20"/>
        </w:rPr>
        <w:t xml:space="preserve">de to grupper. Langt flere børn og unge indgår i gruppen af type 1-diabetikere i forhold til gruppen af type 2-diabetikere. </w:t>
      </w:r>
    </w:p>
    <w:p w:rsidR="00F057C6" w:rsidRPr="002D5E1B" w:rsidRDefault="00F057C6" w:rsidP="00F057C6">
      <w:pPr>
        <w:rPr>
          <w:szCs w:val="20"/>
        </w:rPr>
      </w:pPr>
    </w:p>
    <w:p w:rsidR="00F057C6" w:rsidRPr="002D5E1B" w:rsidRDefault="00F057C6" w:rsidP="00F057C6">
      <w:pPr>
        <w:rPr>
          <w:szCs w:val="20"/>
        </w:rPr>
      </w:pPr>
      <w:r w:rsidRPr="002D5E1B">
        <w:rPr>
          <w:szCs w:val="20"/>
        </w:rPr>
        <w:t xml:space="preserve">Mediandebutalderen for populationen af type 1-diabetikere med første køb efter 1994 er for mænd 29 år og for kvinder 25 år. Blandt type 1-diabetikere inklusiv dem, der har købt i 1994, er medianalderen for mænd 34 og for kvinder 33. </w:t>
      </w:r>
    </w:p>
    <w:p w:rsidR="00F057C6" w:rsidRPr="002D5E1B" w:rsidRDefault="00F057C6" w:rsidP="00F057C6">
      <w:pPr>
        <w:rPr>
          <w:szCs w:val="20"/>
        </w:rPr>
      </w:pPr>
    </w:p>
    <w:p w:rsidR="00F057C6" w:rsidRPr="002D5E1B" w:rsidRDefault="00F057C6" w:rsidP="00F057C6">
      <w:pPr>
        <w:rPr>
          <w:szCs w:val="20"/>
        </w:rPr>
      </w:pPr>
      <w:r w:rsidRPr="002D5E1B">
        <w:rPr>
          <w:szCs w:val="20"/>
        </w:rPr>
        <w:t xml:space="preserve">Debutalder er udregnet som alder ved første registrerede køb. Det betyder, at de patienter, der har været i behandling før 1994 får deres alder </w:t>
      </w:r>
      <w:r w:rsidR="00BE2F0A" w:rsidRPr="002D5E1B">
        <w:rPr>
          <w:szCs w:val="20"/>
        </w:rPr>
        <w:t>i 1994 som debutalder. Figur 1.3 og 1.4</w:t>
      </w:r>
      <w:r w:rsidRPr="002D5E1B">
        <w:rPr>
          <w:szCs w:val="20"/>
        </w:rPr>
        <w:t xml:space="preserve"> viser, hvor stor forskel der er på aldersfordelingen, hvis man henholdsvis inkluderer de patienter, der har første køb i 1994 i fordelingen eller ej.</w:t>
      </w:r>
    </w:p>
    <w:p w:rsidR="00F057C6" w:rsidRPr="002D5E1B" w:rsidRDefault="00F057C6" w:rsidP="00F057C6">
      <w:pPr>
        <w:rPr>
          <w:szCs w:val="20"/>
        </w:rPr>
      </w:pPr>
    </w:p>
    <w:p w:rsidR="00F057C6" w:rsidRPr="002D5E1B" w:rsidRDefault="00F057C6" w:rsidP="00F057C6">
      <w:pPr>
        <w:pStyle w:val="Billedtekst"/>
        <w:keepNext/>
        <w:rPr>
          <w:sz w:val="20"/>
          <w:szCs w:val="20"/>
        </w:rPr>
      </w:pPr>
      <w:r w:rsidRPr="002D5E1B">
        <w:rPr>
          <w:b w:val="0"/>
          <w:sz w:val="20"/>
          <w:szCs w:val="20"/>
        </w:rPr>
        <w:t>Figur 1.</w:t>
      </w:r>
      <w:r w:rsidR="00BE2F0A" w:rsidRPr="002D5E1B">
        <w:rPr>
          <w:b w:val="0"/>
          <w:sz w:val="20"/>
          <w:szCs w:val="20"/>
        </w:rPr>
        <w:t>3</w:t>
      </w:r>
      <w:r w:rsidRPr="002D5E1B">
        <w:rPr>
          <w:b w:val="0"/>
          <w:sz w:val="20"/>
          <w:szCs w:val="20"/>
        </w:rPr>
        <w:t>. Debutalder for mænd med type 1-diabetes, med og uden personer med debutår i 1994.</w:t>
      </w:r>
    </w:p>
    <w:p w:rsidR="00F057C6" w:rsidRDefault="00F057C6" w:rsidP="00F057C6">
      <w:pPr>
        <w:jc w:val="center"/>
        <w:rPr>
          <w:sz w:val="22"/>
        </w:rPr>
      </w:pPr>
      <w:r w:rsidRPr="00FA6560">
        <w:rPr>
          <w:noProof/>
          <w:sz w:val="22"/>
          <w:lang w:eastAsia="da-DK"/>
        </w:rPr>
        <w:drawing>
          <wp:inline distT="0" distB="0" distL="0" distR="0" wp14:anchorId="3F41ECCF" wp14:editId="5F268A2E">
            <wp:extent cx="5891916" cy="2468474"/>
            <wp:effectExtent l="0" t="0" r="0" b="825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93920" cy="2469314"/>
                    </a:xfrm>
                    <a:prstGeom prst="rect">
                      <a:avLst/>
                    </a:prstGeom>
                    <a:noFill/>
                  </pic:spPr>
                </pic:pic>
              </a:graphicData>
            </a:graphic>
          </wp:inline>
        </w:drawing>
      </w:r>
    </w:p>
    <w:p w:rsidR="00F057C6" w:rsidRPr="002D5E1B" w:rsidRDefault="00F057C6" w:rsidP="00F057C6">
      <w:pPr>
        <w:rPr>
          <w:szCs w:val="20"/>
        </w:rPr>
      </w:pPr>
    </w:p>
    <w:p w:rsidR="00F057C6" w:rsidRPr="002D5E1B" w:rsidRDefault="00BE2F0A" w:rsidP="00F057C6">
      <w:pPr>
        <w:pStyle w:val="Billedtekst"/>
        <w:keepNext/>
        <w:rPr>
          <w:sz w:val="20"/>
          <w:szCs w:val="20"/>
        </w:rPr>
      </w:pPr>
      <w:r w:rsidRPr="002D5E1B">
        <w:rPr>
          <w:b w:val="0"/>
          <w:sz w:val="20"/>
          <w:szCs w:val="20"/>
        </w:rPr>
        <w:t>Figur 1</w:t>
      </w:r>
      <w:r w:rsidR="00F057C6" w:rsidRPr="002D5E1B">
        <w:rPr>
          <w:b w:val="0"/>
          <w:sz w:val="20"/>
          <w:szCs w:val="20"/>
        </w:rPr>
        <w:t>.</w:t>
      </w:r>
      <w:r w:rsidRPr="002D5E1B">
        <w:rPr>
          <w:b w:val="0"/>
          <w:sz w:val="20"/>
          <w:szCs w:val="20"/>
        </w:rPr>
        <w:t>4</w:t>
      </w:r>
      <w:r w:rsidR="00F057C6" w:rsidRPr="002D5E1B">
        <w:rPr>
          <w:b w:val="0"/>
          <w:sz w:val="20"/>
          <w:szCs w:val="20"/>
        </w:rPr>
        <w:t>. Debutalder for kvinder med type 1-diabetes, med og uden personer med debutår i 1994.</w:t>
      </w:r>
    </w:p>
    <w:p w:rsidR="00F057C6" w:rsidRPr="007173F6" w:rsidRDefault="00F057C6" w:rsidP="00F057C6">
      <w:pPr>
        <w:pStyle w:val="Billedtekst"/>
        <w:keepNext/>
        <w:jc w:val="center"/>
      </w:pPr>
      <w:r>
        <w:rPr>
          <w:noProof/>
          <w:lang w:eastAsia="da-DK"/>
        </w:rPr>
        <w:drawing>
          <wp:inline distT="0" distB="0" distL="0" distR="0" wp14:anchorId="648FDD67" wp14:editId="7E2D9853">
            <wp:extent cx="5987332" cy="2474057"/>
            <wp:effectExtent l="0" t="0" r="0" b="254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85771" cy="2473412"/>
                    </a:xfrm>
                    <a:prstGeom prst="rect">
                      <a:avLst/>
                    </a:prstGeom>
                    <a:noFill/>
                  </pic:spPr>
                </pic:pic>
              </a:graphicData>
            </a:graphic>
          </wp:inline>
        </w:drawing>
      </w:r>
    </w:p>
    <w:p w:rsidR="00F057C6" w:rsidRPr="002D5E1B" w:rsidRDefault="00F057C6" w:rsidP="00F057C6">
      <w:pPr>
        <w:rPr>
          <w:szCs w:val="20"/>
        </w:rPr>
      </w:pPr>
    </w:p>
    <w:p w:rsidR="00F057C6" w:rsidRPr="002D5E1B" w:rsidRDefault="00F057C6" w:rsidP="00F057C6">
      <w:pPr>
        <w:rPr>
          <w:szCs w:val="20"/>
        </w:rPr>
      </w:pPr>
      <w:r w:rsidRPr="002D5E1B">
        <w:rPr>
          <w:szCs w:val="20"/>
        </w:rPr>
        <w:t>Medianalderen for type 2- diabetes populationen er 59 år. Der ses ingen nævneværdige forskelle i forhold til hvorvidt data inkluderer personer, der har købt første recept i 1994 eller senere end 1994 (data ikke vist).</w:t>
      </w:r>
    </w:p>
    <w:p w:rsidR="00F057C6" w:rsidRPr="002D5E1B" w:rsidRDefault="00F057C6" w:rsidP="00F057C6">
      <w:pPr>
        <w:pStyle w:val="Billedtekst"/>
        <w:keepNext/>
        <w:rPr>
          <w:sz w:val="20"/>
          <w:szCs w:val="20"/>
        </w:rPr>
      </w:pPr>
      <w:r w:rsidRPr="002D5E1B">
        <w:rPr>
          <w:b w:val="0"/>
          <w:sz w:val="20"/>
          <w:szCs w:val="20"/>
        </w:rPr>
        <w:t>Figur 1.</w:t>
      </w:r>
      <w:r w:rsidR="00BE2F0A" w:rsidRPr="002D5E1B">
        <w:rPr>
          <w:b w:val="0"/>
          <w:sz w:val="20"/>
          <w:szCs w:val="20"/>
        </w:rPr>
        <w:t>5</w:t>
      </w:r>
      <w:r w:rsidRPr="002D5E1B">
        <w:rPr>
          <w:b w:val="0"/>
          <w:sz w:val="20"/>
          <w:szCs w:val="20"/>
        </w:rPr>
        <w:t>. Debutalder for mænd med type 2-diabetes, med og uden personer med debutår i 1994.</w:t>
      </w:r>
    </w:p>
    <w:p w:rsidR="00F057C6" w:rsidRDefault="00F057C6" w:rsidP="00F057C6">
      <w:pPr>
        <w:pStyle w:val="Billedtekst"/>
        <w:keepNext/>
        <w:jc w:val="center"/>
      </w:pPr>
      <w:r>
        <w:rPr>
          <w:noProof/>
          <w:lang w:eastAsia="da-DK"/>
        </w:rPr>
        <w:drawing>
          <wp:inline distT="0" distB="0" distL="0" distR="0" wp14:anchorId="3639952D" wp14:editId="64200611">
            <wp:extent cx="6009005" cy="2680795"/>
            <wp:effectExtent l="0" t="0" r="0" b="571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1384" cy="2690779"/>
                    </a:xfrm>
                    <a:prstGeom prst="rect">
                      <a:avLst/>
                    </a:prstGeom>
                    <a:noFill/>
                  </pic:spPr>
                </pic:pic>
              </a:graphicData>
            </a:graphic>
          </wp:inline>
        </w:drawing>
      </w:r>
    </w:p>
    <w:p w:rsidR="00F057C6" w:rsidRDefault="00F057C6" w:rsidP="00F057C6"/>
    <w:p w:rsidR="00F057C6" w:rsidRPr="002D5E1B" w:rsidRDefault="00F057C6" w:rsidP="00F057C6">
      <w:pPr>
        <w:pStyle w:val="Billedtekst"/>
        <w:keepNext/>
        <w:rPr>
          <w:sz w:val="20"/>
          <w:szCs w:val="20"/>
        </w:rPr>
      </w:pPr>
      <w:r w:rsidRPr="002D5E1B">
        <w:rPr>
          <w:b w:val="0"/>
          <w:sz w:val="20"/>
          <w:szCs w:val="20"/>
        </w:rPr>
        <w:t>Figur 1.</w:t>
      </w:r>
      <w:r w:rsidR="00BE2F0A" w:rsidRPr="002D5E1B">
        <w:rPr>
          <w:b w:val="0"/>
          <w:sz w:val="20"/>
          <w:szCs w:val="20"/>
        </w:rPr>
        <w:t>6</w:t>
      </w:r>
      <w:r w:rsidRPr="002D5E1B">
        <w:rPr>
          <w:b w:val="0"/>
          <w:sz w:val="20"/>
          <w:szCs w:val="20"/>
        </w:rPr>
        <w:t>. Debutalder for kvinder med type 2-diabetes, med og uden personer med debutår i 1994.</w:t>
      </w:r>
    </w:p>
    <w:p w:rsidR="00F057C6" w:rsidRDefault="00F057C6" w:rsidP="00F057C6">
      <w:pPr>
        <w:pStyle w:val="Billedtekst"/>
        <w:keepNext/>
      </w:pPr>
      <w:r>
        <w:rPr>
          <w:noProof/>
          <w:lang w:eastAsia="da-DK"/>
        </w:rPr>
        <w:drawing>
          <wp:inline distT="0" distB="0" distL="0" distR="0" wp14:anchorId="16E2E730" wp14:editId="5E635950">
            <wp:extent cx="6067425" cy="2658110"/>
            <wp:effectExtent l="0" t="0" r="9525" b="889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3162" cy="2673766"/>
                    </a:xfrm>
                    <a:prstGeom prst="rect">
                      <a:avLst/>
                    </a:prstGeom>
                    <a:noFill/>
                  </pic:spPr>
                </pic:pic>
              </a:graphicData>
            </a:graphic>
          </wp:inline>
        </w:drawing>
      </w:r>
    </w:p>
    <w:p w:rsidR="00F057C6" w:rsidRPr="002D5E1B" w:rsidRDefault="00F057C6" w:rsidP="00F057C6">
      <w:pPr>
        <w:jc w:val="center"/>
        <w:rPr>
          <w:szCs w:val="20"/>
        </w:rPr>
      </w:pPr>
    </w:p>
    <w:p w:rsidR="00F057C6" w:rsidRPr="002D5E1B" w:rsidRDefault="00BE2F0A" w:rsidP="00F057C6">
      <w:pPr>
        <w:rPr>
          <w:szCs w:val="20"/>
        </w:rPr>
      </w:pPr>
      <w:r w:rsidRPr="002D5E1B">
        <w:rPr>
          <w:szCs w:val="20"/>
        </w:rPr>
        <w:t>Figur 1.6</w:t>
      </w:r>
      <w:r w:rsidR="00F057C6" w:rsidRPr="002D5E1B">
        <w:rPr>
          <w:szCs w:val="20"/>
        </w:rPr>
        <w:t xml:space="preserve"> kan indikere, at der er en overestimering af kvinder, der debutere med type 2-diabetes i alderen 20-35 år. Kvinder, der behandles med metformin mod deres PCO og ikke på noget tidspunkt er i samtidig behandling med clomifen bliver inkluderet i RUKS. Kvinder, der lider af PCO, har en forøget risiko for at udvikle type 2-diabetes senere. Disse kvinder kan blive fejlagtigt inkluderede eller blot inkluderet for tidligt i forhold til deres senere diabetesdebut</w:t>
      </w:r>
    </w:p>
    <w:p w:rsidR="00F057C6" w:rsidRPr="002D5E1B" w:rsidRDefault="00F057C6" w:rsidP="00F057C6">
      <w:pPr>
        <w:rPr>
          <w:szCs w:val="20"/>
        </w:rPr>
      </w:pPr>
    </w:p>
    <w:p w:rsidR="00F057C6" w:rsidRPr="002D5E1B" w:rsidRDefault="00F057C6" w:rsidP="00646132">
      <w:pPr>
        <w:pStyle w:val="Overskrift2"/>
        <w:rPr>
          <w:b/>
          <w:sz w:val="20"/>
          <w:szCs w:val="20"/>
        </w:rPr>
      </w:pPr>
      <w:bookmarkStart w:id="12" w:name="_Toc391624651"/>
      <w:r w:rsidRPr="002D5E1B">
        <w:rPr>
          <w:b/>
          <w:sz w:val="20"/>
          <w:szCs w:val="20"/>
        </w:rPr>
        <w:t>Andre kilders oplysninger</w:t>
      </w:r>
      <w:bookmarkEnd w:id="12"/>
    </w:p>
    <w:p w:rsidR="00F057C6" w:rsidRPr="002D5E1B" w:rsidRDefault="00F057C6" w:rsidP="00F057C6">
      <w:pPr>
        <w:rPr>
          <w:szCs w:val="20"/>
        </w:rPr>
      </w:pPr>
    </w:p>
    <w:p w:rsidR="00F057C6" w:rsidRPr="002D5E1B" w:rsidRDefault="00F057C6" w:rsidP="00F057C6">
      <w:pPr>
        <w:rPr>
          <w:szCs w:val="20"/>
        </w:rPr>
      </w:pPr>
      <w:r w:rsidRPr="002D5E1B">
        <w:rPr>
          <w:szCs w:val="20"/>
        </w:rPr>
        <w:t>Den Nationale Sundhedsprofil 2013 estimerer at 5,2 procent af den danske befolkning lider af diabetes svarende til 237.000 personer</w:t>
      </w:r>
      <w:bookmarkStart w:id="13" w:name="_Ref390888737"/>
      <w:r w:rsidRPr="002D5E1B">
        <w:rPr>
          <w:rStyle w:val="Slutnotehenvisning"/>
          <w:szCs w:val="20"/>
        </w:rPr>
        <w:endnoteReference w:id="4"/>
      </w:r>
      <w:bookmarkEnd w:id="13"/>
      <w:r w:rsidRPr="002D5E1B">
        <w:rPr>
          <w:szCs w:val="20"/>
        </w:rPr>
        <w:t>.  Der skelnes ikke mellem type 1 og type 2-diabetes i Den Nationale Sundhedsprofil 2013.</w:t>
      </w:r>
    </w:p>
    <w:p w:rsidR="00F057C6" w:rsidRPr="002D5E1B" w:rsidRDefault="00F057C6" w:rsidP="00F057C6">
      <w:pPr>
        <w:rPr>
          <w:szCs w:val="20"/>
        </w:rPr>
      </w:pPr>
    </w:p>
    <w:p w:rsidR="00F057C6" w:rsidRPr="002D5E1B" w:rsidRDefault="00F057C6" w:rsidP="00F057C6">
      <w:pPr>
        <w:rPr>
          <w:szCs w:val="20"/>
        </w:rPr>
      </w:pPr>
      <w:r w:rsidRPr="002D5E1B">
        <w:rPr>
          <w:szCs w:val="20"/>
        </w:rPr>
        <w:t>Diabetesforeningen anslår, at der er i omegnen af 320.545 personer i Danmark, som lider af diabetes. Heraf anslår foreningen at 10 procent er type 1- diabetikere. Diabetesforeningen antager, at 200.000 personer lider af sygdommen uden at være klar over det og at yderligere 750.000 formodes at lide af forstadier til diabetes</w:t>
      </w:r>
      <w:r w:rsidR="00F00225" w:rsidRPr="00F00225">
        <w:rPr>
          <w:szCs w:val="20"/>
          <w:vertAlign w:val="superscript"/>
        </w:rPr>
        <w:fldChar w:fldCharType="begin"/>
      </w:r>
      <w:r w:rsidR="00F00225" w:rsidRPr="00F00225">
        <w:rPr>
          <w:szCs w:val="20"/>
          <w:vertAlign w:val="superscript"/>
        </w:rPr>
        <w:instrText xml:space="preserve"> NOTEREF _Ref391564246 \h </w:instrText>
      </w:r>
      <w:r w:rsidR="00F00225">
        <w:rPr>
          <w:szCs w:val="20"/>
          <w:vertAlign w:val="superscript"/>
        </w:rPr>
        <w:instrText xml:space="preserve"> \* MERGEFORMAT </w:instrText>
      </w:r>
      <w:r w:rsidR="00F00225" w:rsidRPr="00F00225">
        <w:rPr>
          <w:szCs w:val="20"/>
          <w:vertAlign w:val="superscript"/>
        </w:rPr>
      </w:r>
      <w:r w:rsidR="00F00225" w:rsidRPr="00F00225">
        <w:rPr>
          <w:szCs w:val="20"/>
          <w:vertAlign w:val="superscript"/>
        </w:rPr>
        <w:fldChar w:fldCharType="separate"/>
      </w:r>
      <w:r w:rsidR="00581054">
        <w:rPr>
          <w:szCs w:val="20"/>
          <w:vertAlign w:val="superscript"/>
        </w:rPr>
        <w:t>2</w:t>
      </w:r>
      <w:r w:rsidR="00F00225" w:rsidRPr="00F00225">
        <w:rPr>
          <w:szCs w:val="20"/>
          <w:vertAlign w:val="superscript"/>
        </w:rPr>
        <w:fldChar w:fldCharType="end"/>
      </w:r>
      <w:r w:rsidRPr="002D5E1B">
        <w:rPr>
          <w:szCs w:val="20"/>
        </w:rPr>
        <w:t>. Diabetesforeningen baserer deres opgørelse på det nuværende diabetesregister. Grundet nye diagnostiske procedurer er flere af kriterierne for at indgå som diabetiker i diabetesregisteret forældet.</w:t>
      </w:r>
    </w:p>
    <w:p w:rsidR="00F057C6" w:rsidRPr="002D5E1B" w:rsidRDefault="00F057C6" w:rsidP="00F057C6">
      <w:pPr>
        <w:rPr>
          <w:szCs w:val="20"/>
        </w:rPr>
      </w:pPr>
    </w:p>
    <w:p w:rsidR="00F057C6" w:rsidRPr="002D5E1B" w:rsidRDefault="00F057C6" w:rsidP="00646132">
      <w:pPr>
        <w:pStyle w:val="Overskrift2"/>
        <w:rPr>
          <w:b/>
          <w:sz w:val="20"/>
          <w:szCs w:val="20"/>
        </w:rPr>
      </w:pPr>
      <w:bookmarkStart w:id="14" w:name="_Toc391624652"/>
      <w:r w:rsidRPr="002D5E1B">
        <w:rPr>
          <w:b/>
          <w:sz w:val="20"/>
          <w:szCs w:val="20"/>
        </w:rPr>
        <w:t>Forbehold ved udvælgelsen</w:t>
      </w:r>
      <w:bookmarkEnd w:id="14"/>
    </w:p>
    <w:p w:rsidR="00F057C6" w:rsidRPr="002D5E1B" w:rsidRDefault="00F057C6" w:rsidP="00F057C6">
      <w:pPr>
        <w:rPr>
          <w:b/>
          <w:szCs w:val="20"/>
        </w:rPr>
      </w:pPr>
    </w:p>
    <w:p w:rsidR="00F057C6" w:rsidRPr="002D5E1B" w:rsidRDefault="00F057C6" w:rsidP="00F057C6">
      <w:pPr>
        <w:rPr>
          <w:i/>
          <w:szCs w:val="20"/>
        </w:rPr>
      </w:pPr>
      <w:r w:rsidRPr="002D5E1B">
        <w:rPr>
          <w:i/>
          <w:szCs w:val="20"/>
        </w:rPr>
        <w:t>Forbehold for at kalde gruppen af personer, der udelukkende har indløst insulin og insulinanaloger for type 1-diabetikere</w:t>
      </w:r>
    </w:p>
    <w:p w:rsidR="00F057C6" w:rsidRPr="002D5E1B" w:rsidRDefault="00F057C6" w:rsidP="00F057C6">
      <w:pPr>
        <w:rPr>
          <w:szCs w:val="20"/>
        </w:rPr>
      </w:pPr>
      <w:r w:rsidRPr="002D5E1B">
        <w:rPr>
          <w:szCs w:val="20"/>
        </w:rPr>
        <w:t>Gruppen som vi har valgt at kalde type 1-diabetikere indeholder 14,4</w:t>
      </w:r>
      <w:r w:rsidR="00010D3E">
        <w:rPr>
          <w:szCs w:val="20"/>
        </w:rPr>
        <w:t xml:space="preserve"> </w:t>
      </w:r>
      <w:r w:rsidRPr="002D5E1B">
        <w:rPr>
          <w:szCs w:val="20"/>
        </w:rPr>
        <w:t>%, der har debutår i 1994 og i 1994 er over 44 år. Vi ved ikke ved om disse personer tidligere end 1994 har indløst orale antidiabetika</w:t>
      </w:r>
      <w:r w:rsidR="00010D3E">
        <w:rPr>
          <w:szCs w:val="20"/>
        </w:rPr>
        <w:t>,</w:t>
      </w:r>
      <w:r w:rsidRPr="002D5E1B">
        <w:rPr>
          <w:szCs w:val="20"/>
        </w:rPr>
        <w:t xml:space="preserve"> og derved er type 2-diabetikere med fremskreden sygdom</w:t>
      </w:r>
      <w:r w:rsidR="00010D3E">
        <w:rPr>
          <w:szCs w:val="20"/>
        </w:rPr>
        <w:t>,</w:t>
      </w:r>
      <w:r w:rsidRPr="002D5E1B">
        <w:rPr>
          <w:szCs w:val="20"/>
        </w:rPr>
        <w:t xml:space="preserve"> eller de er typ</w:t>
      </w:r>
      <w:r w:rsidR="00010D3E">
        <w:rPr>
          <w:szCs w:val="20"/>
        </w:rPr>
        <w:t>e 1-diabetikere. A</w:t>
      </w:r>
      <w:r w:rsidRPr="002D5E1B">
        <w:rPr>
          <w:szCs w:val="20"/>
        </w:rPr>
        <w:t>ldersgrænse</w:t>
      </w:r>
      <w:r w:rsidR="00010D3E">
        <w:rPr>
          <w:szCs w:val="20"/>
        </w:rPr>
        <w:t>n</w:t>
      </w:r>
      <w:r w:rsidRPr="002D5E1B">
        <w:rPr>
          <w:szCs w:val="20"/>
        </w:rPr>
        <w:t xml:space="preserve"> på 44 år er valgt</w:t>
      </w:r>
      <w:r w:rsidR="00010D3E">
        <w:rPr>
          <w:szCs w:val="20"/>
        </w:rPr>
        <w:t>,</w:t>
      </w:r>
      <w:r w:rsidRPr="002D5E1B">
        <w:rPr>
          <w:szCs w:val="20"/>
        </w:rPr>
        <w:t xml:space="preserve"> da </w:t>
      </w:r>
      <w:r w:rsidR="00010D3E">
        <w:rPr>
          <w:szCs w:val="20"/>
        </w:rPr>
        <w:t>der over denne alder er flere</w:t>
      </w:r>
      <w:r w:rsidRPr="002D5E1B">
        <w:rPr>
          <w:szCs w:val="20"/>
        </w:rPr>
        <w:t xml:space="preserve"> der debuterer med type 2-diabetes end personer med type 1-diabetes</w:t>
      </w:r>
      <w:r w:rsidR="00010D3E">
        <w:rPr>
          <w:szCs w:val="20"/>
        </w:rPr>
        <w:t>. D</w:t>
      </w:r>
      <w:r w:rsidRPr="002D5E1B">
        <w:rPr>
          <w:szCs w:val="20"/>
        </w:rPr>
        <w:t>et</w:t>
      </w:r>
      <w:r w:rsidR="00010D3E">
        <w:rPr>
          <w:szCs w:val="20"/>
        </w:rPr>
        <w:t>te kan ses ved at sammenligne figur 1.3-1.6</w:t>
      </w:r>
      <w:r w:rsidRPr="002D5E1B">
        <w:rPr>
          <w:szCs w:val="20"/>
        </w:rPr>
        <w:t xml:space="preserve">. Det kan overvejes om der et navn, der er mere dækkende for denne gruppe. </w:t>
      </w:r>
    </w:p>
    <w:p w:rsidR="00F057C6" w:rsidRPr="002D5E1B" w:rsidRDefault="00F057C6" w:rsidP="00F057C6">
      <w:pPr>
        <w:rPr>
          <w:szCs w:val="20"/>
        </w:rPr>
      </w:pPr>
    </w:p>
    <w:p w:rsidR="00F057C6" w:rsidRPr="002D5E1B" w:rsidRDefault="00F057C6" w:rsidP="00F057C6">
      <w:pPr>
        <w:rPr>
          <w:i/>
          <w:szCs w:val="20"/>
        </w:rPr>
      </w:pPr>
      <w:r w:rsidRPr="002D5E1B">
        <w:rPr>
          <w:i/>
          <w:szCs w:val="20"/>
        </w:rPr>
        <w:t>Forbehold for andre lidelser end diabetes</w:t>
      </w:r>
    </w:p>
    <w:p w:rsidR="00F057C6" w:rsidRPr="002D5E1B" w:rsidRDefault="00F057C6" w:rsidP="00F057C6">
      <w:pPr>
        <w:rPr>
          <w:szCs w:val="20"/>
        </w:rPr>
      </w:pPr>
      <w:r w:rsidRPr="002D5E1B">
        <w:rPr>
          <w:szCs w:val="20"/>
        </w:rPr>
        <w:t>I estimeringen af diabetes</w:t>
      </w:r>
      <w:r w:rsidR="00F51996">
        <w:rPr>
          <w:szCs w:val="20"/>
        </w:rPr>
        <w:t>populationen til RUKS er det</w:t>
      </w:r>
      <w:r w:rsidRPr="002D5E1B">
        <w:rPr>
          <w:szCs w:val="20"/>
        </w:rPr>
        <w:t xml:space="preserve"> forsøgt at tage forbehold for de lidelser, der også behandles med antidiabetika. Det drejer sig om behandling for graviditetsdiabetes, ufrivillig barnløshed og polycystisk ovariesygdom (PCO).</w:t>
      </w:r>
    </w:p>
    <w:p w:rsidR="00F057C6" w:rsidRPr="002D5E1B" w:rsidRDefault="00F057C6" w:rsidP="00F057C6">
      <w:pPr>
        <w:rPr>
          <w:szCs w:val="20"/>
        </w:rPr>
      </w:pPr>
    </w:p>
    <w:p w:rsidR="00F057C6" w:rsidRPr="002D5E1B" w:rsidRDefault="00F057C6" w:rsidP="00F057C6">
      <w:pPr>
        <w:rPr>
          <w:szCs w:val="20"/>
        </w:rPr>
      </w:pPr>
      <w:r w:rsidRPr="002D5E1B">
        <w:rPr>
          <w:szCs w:val="20"/>
        </w:rPr>
        <w:t>Kvinder i den fertile alder, der er i samtidig behandling med metformin og clomifen, er ekskluderet. Denne lægemiddelkombination gives ofte til kvinder</w:t>
      </w:r>
      <w:r w:rsidR="00815745">
        <w:rPr>
          <w:szCs w:val="20"/>
        </w:rPr>
        <w:t>,</w:t>
      </w:r>
      <w:r w:rsidRPr="002D5E1B">
        <w:rPr>
          <w:szCs w:val="20"/>
        </w:rPr>
        <w:t xml:space="preserve"> der er i behandling for ufrivillig barnløshed</w:t>
      </w:r>
      <w:r w:rsidR="00815745">
        <w:rPr>
          <w:szCs w:val="20"/>
        </w:rPr>
        <w:t>.</w:t>
      </w:r>
      <w:r w:rsidRPr="002D5E1B">
        <w:rPr>
          <w:szCs w:val="20"/>
        </w:rPr>
        <w:t xml:space="preserve"> Som grænse</w:t>
      </w:r>
      <w:r w:rsidR="00815745">
        <w:rPr>
          <w:szCs w:val="20"/>
        </w:rPr>
        <w:t xml:space="preserve">, </w:t>
      </w:r>
      <w:r w:rsidRPr="002D5E1B">
        <w:rPr>
          <w:szCs w:val="20"/>
        </w:rPr>
        <w:t>for at være i samtidig behandling</w:t>
      </w:r>
      <w:r w:rsidR="00815745">
        <w:rPr>
          <w:szCs w:val="20"/>
        </w:rPr>
        <w:t>,</w:t>
      </w:r>
      <w:r w:rsidRPr="002D5E1B">
        <w:rPr>
          <w:szCs w:val="20"/>
        </w:rPr>
        <w:t xml:space="preserve"> er der valgt en periode på 180 dage, før eller efter receptindløsning på metformin, hvor kvinden også skal have indløst mindst en recept på clomifen. </w:t>
      </w:r>
    </w:p>
    <w:p w:rsidR="00F057C6" w:rsidRPr="002D5E1B" w:rsidRDefault="00F057C6" w:rsidP="00F057C6">
      <w:pPr>
        <w:rPr>
          <w:szCs w:val="20"/>
        </w:rPr>
      </w:pPr>
    </w:p>
    <w:p w:rsidR="00F057C6" w:rsidRPr="002D5E1B" w:rsidRDefault="00F057C6" w:rsidP="00F057C6">
      <w:pPr>
        <w:rPr>
          <w:szCs w:val="20"/>
        </w:rPr>
      </w:pPr>
      <w:r w:rsidRPr="002D5E1B">
        <w:rPr>
          <w:szCs w:val="20"/>
        </w:rPr>
        <w:t>Det er undersøgt, hvorvidt kvinder, der lider af PCO, kan sorteres fra diabeteskohorten i RUKS ved at trække koden for PCO ud fra LPR (DE282). Det resulterede i 5.509 kvinder med diagnosen PCO i perioden 1995-2013. PCO-foreningen anslår, at op mod hver femte danske kvinde lider af PCO. Der må derfor være en stor underrapportering af PCO-tilfælde i LPR. Mange PCO-kvinder bliver udredt på private gynækologiske klinikker, alligevel var der 121 af de 5.509 kvinder med PCO, der var indrapporteret i LPR fra private klinikker. I alt er der 2.028 kvinder, der alene har indløst recepter på metformin</w:t>
      </w:r>
      <w:r w:rsidR="00815745">
        <w:rPr>
          <w:szCs w:val="20"/>
        </w:rPr>
        <w:t>,</w:t>
      </w:r>
      <w:r w:rsidRPr="002D5E1B">
        <w:rPr>
          <w:szCs w:val="20"/>
        </w:rPr>
        <w:t xml:space="preserve"> og som har fået en PCO-diagnose i LPR, heraf er 1.118 kvinder startet i behandling inden for et år før eller efter en PCO-diagnose. I alt 910 kvinder har været i behandling i mere end år</w:t>
      </w:r>
      <w:r w:rsidR="00815745">
        <w:rPr>
          <w:szCs w:val="20"/>
        </w:rPr>
        <w:t>,</w:t>
      </w:r>
      <w:r w:rsidRPr="002D5E1B">
        <w:rPr>
          <w:szCs w:val="20"/>
        </w:rPr>
        <w:t xml:space="preserve"> før de har fået en PCO-diagnose. Det er undladt at ekskludere kvinder med en PCO-status i LPR, da der var tale om få. Det kan overvejes</w:t>
      </w:r>
      <w:r w:rsidR="00815745">
        <w:rPr>
          <w:szCs w:val="20"/>
        </w:rPr>
        <w:t>,</w:t>
      </w:r>
      <w:r w:rsidRPr="002D5E1B">
        <w:rPr>
          <w:szCs w:val="20"/>
        </w:rPr>
        <w:t xml:space="preserve"> om det skal inkluderes som et eksklusionskriterie.</w:t>
      </w:r>
    </w:p>
    <w:p w:rsidR="00F057C6" w:rsidRPr="002D5E1B" w:rsidRDefault="00F057C6" w:rsidP="00F057C6">
      <w:pPr>
        <w:rPr>
          <w:szCs w:val="20"/>
        </w:rPr>
      </w:pPr>
    </w:p>
    <w:p w:rsidR="00F057C6" w:rsidRPr="002D5E1B" w:rsidRDefault="00F057C6" w:rsidP="00F057C6">
      <w:pPr>
        <w:rPr>
          <w:szCs w:val="20"/>
        </w:rPr>
      </w:pPr>
      <w:r w:rsidRPr="002D5E1B">
        <w:rPr>
          <w:szCs w:val="20"/>
        </w:rPr>
        <w:t>Kvinder, der lider af graviditetsdiabetes er sorteret fra diabeteskohorten i RUKS, såfremt de ikke har indløst recept på antidiabetika mere end 280 dage før eller efter de fik diagnosen graviditetsdiabetes ved en</w:t>
      </w:r>
      <w:r w:rsidR="00815745">
        <w:rPr>
          <w:szCs w:val="20"/>
        </w:rPr>
        <w:t xml:space="preserve"> kontakt til sygehusvæsenet. Der</w:t>
      </w:r>
      <w:r w:rsidRPr="002D5E1B">
        <w:rPr>
          <w:szCs w:val="20"/>
        </w:rPr>
        <w:t xml:space="preserve"> er mulighed for at kvinderne, efter afslutning af deres svangerskab, udvikler type 1-diabetes eller type 2-diabetes. I så fald så indgår de i RUKS fra første receptindløsning </w:t>
      </w:r>
      <w:r w:rsidR="00042282">
        <w:rPr>
          <w:szCs w:val="20"/>
        </w:rPr>
        <w:t>mindst 280 dage efter</w:t>
      </w:r>
      <w:r w:rsidRPr="002D5E1B">
        <w:rPr>
          <w:szCs w:val="20"/>
        </w:rPr>
        <w:t xml:space="preserve"> diagnosetidspunktet for graviditetsdiabetes. Det kan overvejes om eksklusionskriteriet skal justeres.</w:t>
      </w:r>
    </w:p>
    <w:p w:rsidR="00F057C6" w:rsidRPr="002D5E1B" w:rsidRDefault="00F057C6" w:rsidP="00F057C6">
      <w:pPr>
        <w:rPr>
          <w:szCs w:val="20"/>
        </w:rPr>
      </w:pPr>
    </w:p>
    <w:p w:rsidR="00F057C6" w:rsidRPr="002D5E1B" w:rsidRDefault="00F057C6" w:rsidP="00F057C6">
      <w:pPr>
        <w:rPr>
          <w:i/>
          <w:szCs w:val="20"/>
        </w:rPr>
      </w:pPr>
      <w:r w:rsidRPr="002D5E1B">
        <w:rPr>
          <w:i/>
          <w:szCs w:val="20"/>
        </w:rPr>
        <w:t>Forbehold for at lade to receptindløsninger være kriterium for indtrædelse i RUKS</w:t>
      </w:r>
    </w:p>
    <w:p w:rsidR="00F057C6" w:rsidRPr="002D5E1B" w:rsidRDefault="00F057C6" w:rsidP="00F057C6">
      <w:pPr>
        <w:rPr>
          <w:szCs w:val="20"/>
        </w:rPr>
      </w:pPr>
      <w:r w:rsidRPr="002D5E1B">
        <w:rPr>
          <w:szCs w:val="20"/>
        </w:rPr>
        <w:t>Ved at lade dato for første receptindløsning være dato for inklusion i RUKS, risikeres en forsinket inklusion for de patienter, der har en diagnosekode for type 1-diabetes eller type 2-diabetes i LPR, der ligger før deres første receptindløsning på antidiabetika i LSR.</w:t>
      </w:r>
    </w:p>
    <w:p w:rsidR="00F057C6" w:rsidRPr="002D5E1B" w:rsidRDefault="00F057C6" w:rsidP="00F057C6">
      <w:pPr>
        <w:rPr>
          <w:szCs w:val="20"/>
        </w:rPr>
      </w:pPr>
    </w:p>
    <w:p w:rsidR="00F057C6" w:rsidRPr="002D5E1B" w:rsidRDefault="00F057C6" w:rsidP="00F057C6">
      <w:pPr>
        <w:rPr>
          <w:szCs w:val="20"/>
        </w:rPr>
      </w:pPr>
      <w:r w:rsidRPr="002D5E1B">
        <w:rPr>
          <w:szCs w:val="20"/>
        </w:rPr>
        <w:t>I alt har 13.452 patienter været indlagt/været i ambulant behandling med en diagnosekode for type 2-diabetes (DE11) som enten en aktions- eller bi-diagnose, forud for deres første receptindløsning på antidiabetika (A10B dvs. ikke insuliner eller insulinanaloger). Af disse patienter har 9.283 (69 procent) indløst den første recept på antidiabetika (A10B) inden for et år efter deres indlæggelse/ambulante behandling. I gennemsnit har de indløst første recept 56 dage efter indlæggelsen.</w:t>
      </w:r>
    </w:p>
    <w:p w:rsidR="00F057C6" w:rsidRPr="002D5E1B" w:rsidRDefault="00F057C6" w:rsidP="00F057C6">
      <w:pPr>
        <w:tabs>
          <w:tab w:val="left" w:pos="8565"/>
        </w:tabs>
        <w:rPr>
          <w:szCs w:val="20"/>
        </w:rPr>
      </w:pPr>
      <w:r w:rsidRPr="002D5E1B">
        <w:rPr>
          <w:szCs w:val="20"/>
        </w:rPr>
        <w:tab/>
      </w:r>
    </w:p>
    <w:p w:rsidR="00F057C6" w:rsidRPr="002D5E1B" w:rsidRDefault="00F057C6" w:rsidP="00F057C6">
      <w:pPr>
        <w:rPr>
          <w:szCs w:val="20"/>
        </w:rPr>
      </w:pPr>
      <w:r w:rsidRPr="002D5E1B">
        <w:rPr>
          <w:szCs w:val="20"/>
        </w:rPr>
        <w:t>I alt har 6.993 patienter være indlagt/i ambulant behandling med en diagnosekode for type 1-diabetes som enten aktions- eller bi-diagnose (DE10), forud for deres første receptindløsning på antidiabetika (A10A dvs. insuliner eller insulinanaloger). Af disse indløste 6.068 (87 procent) personer indløst deres første recept på antidiabetika inden for et år efter deres indlæggelse/ambulante behandling. I gennemsnit har de indløst første recept 27 dage efter indlæggelsen.</w:t>
      </w:r>
    </w:p>
    <w:p w:rsidR="00F057C6" w:rsidRPr="002D5E1B" w:rsidRDefault="00F057C6" w:rsidP="00F057C6">
      <w:pPr>
        <w:rPr>
          <w:szCs w:val="20"/>
        </w:rPr>
      </w:pPr>
    </w:p>
    <w:p w:rsidR="00F057C6" w:rsidRPr="002D5E1B" w:rsidRDefault="00F057C6" w:rsidP="00F057C6">
      <w:pPr>
        <w:rPr>
          <w:szCs w:val="20"/>
        </w:rPr>
      </w:pPr>
      <w:r w:rsidRPr="002D5E1B">
        <w:rPr>
          <w:szCs w:val="20"/>
        </w:rPr>
        <w:t xml:space="preserve">I alt har 7.096 patienter være indlagt/ambulant behandlet for en type1- eller en type 2-diabetes uden efterfølgende at have indløst en recept på antidiabetika i LSR. Blandt disse er 135 personer døde inden for en periode på 180 dage efter deres indlæggelse. </w:t>
      </w:r>
    </w:p>
    <w:p w:rsidR="00F057C6" w:rsidRPr="002D5E1B" w:rsidRDefault="00F057C6" w:rsidP="00F057C6">
      <w:pPr>
        <w:rPr>
          <w:szCs w:val="20"/>
        </w:rPr>
      </w:pPr>
    </w:p>
    <w:p w:rsidR="00F057C6" w:rsidRPr="002D5E1B" w:rsidRDefault="00F057C6" w:rsidP="00F057C6">
      <w:pPr>
        <w:rPr>
          <w:szCs w:val="20"/>
        </w:rPr>
      </w:pPr>
      <w:r w:rsidRPr="002D5E1B">
        <w:rPr>
          <w:szCs w:val="20"/>
        </w:rPr>
        <w:t xml:space="preserve">Ved at bruge dato for første receptindløsning i stedet for dato for første indlæggelse risikeres en forsinkelse for indtrædelse i RUKS. Forsinkelsen er i gennemsnit på 27 dage for gruppen af rene insulin- og insulinanalogbrugere, og 56 dage for type 2-diabetikere. </w:t>
      </w:r>
    </w:p>
    <w:p w:rsidR="00F057C6" w:rsidRPr="002D5E1B" w:rsidRDefault="00F057C6" w:rsidP="00F057C6">
      <w:pPr>
        <w:rPr>
          <w:szCs w:val="20"/>
        </w:rPr>
      </w:pPr>
    </w:p>
    <w:p w:rsidR="00F057C6" w:rsidRDefault="00F057C6" w:rsidP="00F057C6">
      <w:pPr>
        <w:rPr>
          <w:szCs w:val="20"/>
        </w:rPr>
      </w:pPr>
      <w:r w:rsidRPr="002D5E1B">
        <w:rPr>
          <w:szCs w:val="20"/>
        </w:rPr>
        <w:t xml:space="preserve">Ved at stille krav om mindst to receptindløsninger på enten insuliner og insulinanaloger (A10A) eller andet antidiabetika (A10B), kommer diabetespatienterne lidt forsinket ind i RUKS. Selvom de tæller med fra deres første køb, skal tiden mellem første og andet køb passere, inden de kan blive talt med. Det betyder at de personer, hvis første køb af antidiabetika ligger i slutningen af 2013 først indgår i 2013-populationen når deres næste køb, der ligger i 2014 er registreret. Beslutningen ændrer ikke nævneværdigt hverken ved incidensen eller prævalensen for diabetes i RUKS. </w:t>
      </w:r>
    </w:p>
    <w:p w:rsidR="00D66CAE" w:rsidRPr="002D5E1B" w:rsidRDefault="00D66CAE" w:rsidP="00F057C6">
      <w:pPr>
        <w:rPr>
          <w:szCs w:val="20"/>
        </w:rPr>
      </w:pPr>
    </w:p>
    <w:p w:rsidR="00F057C6" w:rsidRPr="002D5E1B" w:rsidRDefault="00F057C6" w:rsidP="00F057C6">
      <w:pPr>
        <w:rPr>
          <w:b/>
          <w:szCs w:val="20"/>
        </w:rPr>
      </w:pPr>
    </w:p>
    <w:p w:rsidR="00F057C6" w:rsidRPr="002D5E1B" w:rsidRDefault="00F057C6" w:rsidP="00F057C6">
      <w:pPr>
        <w:rPr>
          <w:i/>
          <w:szCs w:val="20"/>
        </w:rPr>
      </w:pPr>
      <w:r w:rsidRPr="002D5E1B">
        <w:rPr>
          <w:i/>
          <w:szCs w:val="20"/>
        </w:rPr>
        <w:t>Uddybelse af hvorfor de tidligere kriterier for diabetes ikke er anvendt</w:t>
      </w:r>
    </w:p>
    <w:p w:rsidR="00F057C6" w:rsidRPr="002D5E1B" w:rsidRDefault="00F057C6" w:rsidP="00F057C6">
      <w:pPr>
        <w:rPr>
          <w:szCs w:val="20"/>
        </w:rPr>
      </w:pPr>
      <w:r w:rsidRPr="002D5E1B">
        <w:rPr>
          <w:szCs w:val="20"/>
        </w:rPr>
        <w:t>I det tidligere diabetesregister var to af inklusionskriterierne, enten at man havde fået foretaget 2 blodsukkermålinger i 5 på hinanden følgende år (kendt som blod2i5-kriteriet), eller at man havde fået foretaget mindst 5 blodsukkermålinger inden for et år (kendt som blod5i1-kriteriet)</w:t>
      </w:r>
      <w:bookmarkStart w:id="15" w:name="_Ref390790944"/>
      <w:r w:rsidRPr="002D5E1B">
        <w:rPr>
          <w:rStyle w:val="Slutnotehenvisning"/>
          <w:szCs w:val="20"/>
        </w:rPr>
        <w:endnoteReference w:id="5"/>
      </w:r>
      <w:bookmarkEnd w:id="15"/>
      <w:r w:rsidRPr="002D5E1B">
        <w:rPr>
          <w:szCs w:val="20"/>
        </w:rPr>
        <w:t>. Der er flere personer, som får foretaget blodsukkermålinger i dag end tilbage i 1997, hvor det tidligere diabetesregister blev udviklet. WHO anbefalede i 2011 at indføre HbA1c som diagnostisk kriterium med et cut-off niveau på &gt;= 48mmol/mol. Pr. 1. januar 2012 blev HbA1c som diagnostisk kriterium indført i Danmark</w:t>
      </w:r>
      <w:r w:rsidRPr="002D5E1B">
        <w:rPr>
          <w:szCs w:val="20"/>
          <w:vertAlign w:val="superscript"/>
        </w:rPr>
        <w:fldChar w:fldCharType="begin"/>
      </w:r>
      <w:r w:rsidRPr="002D5E1B">
        <w:rPr>
          <w:szCs w:val="20"/>
          <w:vertAlign w:val="superscript"/>
        </w:rPr>
        <w:instrText xml:space="preserve"> NOTEREF _Ref390790944 \h  \* MERGEFORMAT </w:instrText>
      </w:r>
      <w:r w:rsidRPr="002D5E1B">
        <w:rPr>
          <w:szCs w:val="20"/>
          <w:vertAlign w:val="superscript"/>
        </w:rPr>
      </w:r>
      <w:r w:rsidRPr="002D5E1B">
        <w:rPr>
          <w:szCs w:val="20"/>
          <w:vertAlign w:val="superscript"/>
        </w:rPr>
        <w:fldChar w:fldCharType="separate"/>
      </w:r>
      <w:r w:rsidR="00581054">
        <w:rPr>
          <w:szCs w:val="20"/>
          <w:vertAlign w:val="superscript"/>
        </w:rPr>
        <w:t>5</w:t>
      </w:r>
      <w:r w:rsidRPr="002D5E1B">
        <w:rPr>
          <w:szCs w:val="20"/>
          <w:vertAlign w:val="superscript"/>
        </w:rPr>
        <w:fldChar w:fldCharType="end"/>
      </w:r>
      <w:r w:rsidRPr="002D5E1B">
        <w:rPr>
          <w:szCs w:val="20"/>
        </w:rPr>
        <w:t xml:space="preserve">. Vi har vurderet, at kriterierne om et bestemt antal blodsukkermålinger inden for et bestemt tidsinterval ikke længere passer som kriterium for en diabetesdiagnose. Et kriterium om et bestemt antal blodsukkermålinger er derfor ikke medtaget til bestemmelse af diabetespopulationen i RUKS. </w:t>
      </w:r>
    </w:p>
    <w:p w:rsidR="00F057C6" w:rsidRPr="002D5E1B" w:rsidRDefault="00F057C6" w:rsidP="00F057C6">
      <w:pPr>
        <w:rPr>
          <w:szCs w:val="20"/>
        </w:rPr>
      </w:pPr>
    </w:p>
    <w:p w:rsidR="00F057C6" w:rsidRPr="002D5E1B" w:rsidRDefault="00F057C6" w:rsidP="00F057C6">
      <w:pPr>
        <w:rPr>
          <w:szCs w:val="20"/>
        </w:rPr>
      </w:pPr>
    </w:p>
    <w:p w:rsidR="00F057C6" w:rsidRPr="002D5E1B" w:rsidRDefault="00F057C6" w:rsidP="00646132">
      <w:pPr>
        <w:pStyle w:val="Overskrift2"/>
        <w:rPr>
          <w:b/>
          <w:sz w:val="20"/>
          <w:szCs w:val="20"/>
        </w:rPr>
      </w:pPr>
      <w:bookmarkStart w:id="16" w:name="_Toc391624653"/>
      <w:r w:rsidRPr="002D5E1B">
        <w:rPr>
          <w:b/>
          <w:sz w:val="20"/>
          <w:szCs w:val="20"/>
        </w:rPr>
        <w:t>Fremtidig udbygning</w:t>
      </w:r>
      <w:bookmarkEnd w:id="16"/>
    </w:p>
    <w:p w:rsidR="00F057C6" w:rsidRPr="002D5E1B" w:rsidRDefault="00F057C6" w:rsidP="00F057C6">
      <w:pPr>
        <w:rPr>
          <w:b/>
          <w:szCs w:val="20"/>
        </w:rPr>
      </w:pPr>
    </w:p>
    <w:p w:rsidR="00F057C6" w:rsidRPr="002D5E1B" w:rsidRDefault="00F057C6" w:rsidP="00F057C6">
      <w:pPr>
        <w:rPr>
          <w:szCs w:val="20"/>
        </w:rPr>
      </w:pPr>
      <w:r w:rsidRPr="002D5E1B">
        <w:rPr>
          <w:szCs w:val="20"/>
        </w:rPr>
        <w:t>Forbedrede indikationskoder i LSR bør kunne bidrage til en opkvalificering af data, specielt hvad angår kvinder, der er i behandling for barnløshed. Indikationskoder kan ikke bruges til at skelne mellem type 1- og type 2-diabetes. Langt størstedelen af de recepter, der har en indikationskode har indikationen ”Sukkersyge”, Næsten ingen har indikationskoden ”Diabetes type 1”.</w:t>
      </w:r>
    </w:p>
    <w:p w:rsidR="00F057C6" w:rsidRPr="002D5E1B" w:rsidRDefault="00F057C6" w:rsidP="00F057C6">
      <w:pPr>
        <w:rPr>
          <w:b/>
          <w:szCs w:val="20"/>
        </w:rPr>
      </w:pPr>
    </w:p>
    <w:p w:rsidR="00F057C6" w:rsidRPr="002D5E1B" w:rsidRDefault="00F057C6" w:rsidP="00F057C6">
      <w:pPr>
        <w:rPr>
          <w:szCs w:val="20"/>
        </w:rPr>
      </w:pPr>
      <w:r w:rsidRPr="002D5E1B">
        <w:rPr>
          <w:szCs w:val="20"/>
        </w:rPr>
        <w:t xml:space="preserve">Udvælgelsen af diabetes-populationen kan formodentligt forbedres prospektivt ved berigelse med data fra DAK-E. I DAK-E skelner de praktiserende læger mellem hvilke af deres patienter, der lider af henholdsvis type 1- og type 2-diabetes. </w:t>
      </w:r>
    </w:p>
    <w:p w:rsidR="00F057C6" w:rsidRPr="002D5E1B" w:rsidRDefault="00F057C6" w:rsidP="00F057C6">
      <w:pPr>
        <w:rPr>
          <w:szCs w:val="20"/>
        </w:rPr>
      </w:pPr>
    </w:p>
    <w:p w:rsidR="00F057C6" w:rsidRPr="002D5E1B" w:rsidRDefault="00F057C6" w:rsidP="00F057C6">
      <w:pPr>
        <w:rPr>
          <w:szCs w:val="20"/>
        </w:rPr>
      </w:pPr>
      <w:r w:rsidRPr="002D5E1B">
        <w:rPr>
          <w:szCs w:val="20"/>
        </w:rPr>
        <w:t>Sundhedsstyr</w:t>
      </w:r>
      <w:r w:rsidR="001268F0">
        <w:rPr>
          <w:szCs w:val="20"/>
        </w:rPr>
        <w:t>elsen udsendte i februar 2014 en høring af</w:t>
      </w:r>
      <w:r w:rsidRPr="002D5E1B">
        <w:rPr>
          <w:szCs w:val="20"/>
        </w:rPr>
        <w:t xml:space="preserve"> nye nationale kliniske retningslinjer for PCO Heri foreslår arbejdsgruppen bag, at der udarbejdes en selvstændig kode til PCO i almen praksis (DAK-E). Herved kan kvinder, med denne lidelse, fremadrettet registreres. Det påpeges, at det vil muliggøre en samkøring af data og resultere i en eventuel monitorering af denne lidelse i forhold til diabetes</w:t>
      </w:r>
      <w:r w:rsidR="001268F0">
        <w:rPr>
          <w:rStyle w:val="Slutnotehenvisning"/>
          <w:szCs w:val="20"/>
        </w:rPr>
        <w:endnoteReference w:id="6"/>
      </w:r>
      <w:r w:rsidRPr="002D5E1B">
        <w:rPr>
          <w:szCs w:val="20"/>
        </w:rPr>
        <w:t xml:space="preserve">.   </w:t>
      </w:r>
    </w:p>
    <w:p w:rsidR="00F057C6" w:rsidRPr="002D5E1B" w:rsidRDefault="00F057C6" w:rsidP="00F057C6">
      <w:pPr>
        <w:rPr>
          <w:szCs w:val="20"/>
        </w:rPr>
      </w:pPr>
    </w:p>
    <w:p w:rsidR="00E26797" w:rsidRPr="002D5E1B" w:rsidRDefault="00E26797" w:rsidP="00F057C6">
      <w:pPr>
        <w:rPr>
          <w:szCs w:val="20"/>
        </w:rPr>
      </w:pPr>
    </w:p>
    <w:p w:rsidR="00E26797" w:rsidRPr="002D5E1B" w:rsidRDefault="00E26797" w:rsidP="00F057C6">
      <w:pPr>
        <w:rPr>
          <w:szCs w:val="20"/>
        </w:rPr>
      </w:pPr>
    </w:p>
    <w:p w:rsidR="00E26797" w:rsidRPr="002D5E1B" w:rsidRDefault="00E26797" w:rsidP="00F057C6">
      <w:pPr>
        <w:rPr>
          <w:szCs w:val="20"/>
        </w:rPr>
      </w:pPr>
    </w:p>
    <w:p w:rsidR="00E26797" w:rsidRDefault="00E26797" w:rsidP="00F057C6">
      <w:pPr>
        <w:rPr>
          <w:szCs w:val="20"/>
        </w:rPr>
      </w:pPr>
    </w:p>
    <w:p w:rsidR="002D5E1B" w:rsidRDefault="002D5E1B" w:rsidP="00F057C6">
      <w:pPr>
        <w:rPr>
          <w:szCs w:val="20"/>
        </w:rPr>
      </w:pPr>
    </w:p>
    <w:p w:rsidR="002D5E1B" w:rsidRDefault="002D5E1B" w:rsidP="00F057C6">
      <w:pPr>
        <w:rPr>
          <w:szCs w:val="20"/>
        </w:rPr>
      </w:pPr>
    </w:p>
    <w:p w:rsidR="002D5E1B" w:rsidRDefault="002D5E1B" w:rsidP="00F057C6">
      <w:pPr>
        <w:rPr>
          <w:szCs w:val="20"/>
        </w:rPr>
      </w:pPr>
    </w:p>
    <w:p w:rsidR="002D5E1B" w:rsidRDefault="002D5E1B" w:rsidP="00F057C6">
      <w:pPr>
        <w:rPr>
          <w:szCs w:val="20"/>
        </w:rPr>
      </w:pPr>
    </w:p>
    <w:p w:rsidR="002D5E1B" w:rsidRDefault="002D5E1B" w:rsidP="00F057C6">
      <w:pPr>
        <w:rPr>
          <w:szCs w:val="20"/>
        </w:rPr>
      </w:pPr>
    </w:p>
    <w:p w:rsidR="002D5E1B" w:rsidRDefault="002D5E1B" w:rsidP="00F057C6">
      <w:pPr>
        <w:rPr>
          <w:szCs w:val="20"/>
        </w:rPr>
      </w:pPr>
    </w:p>
    <w:p w:rsidR="00E93FF3" w:rsidRDefault="00E93FF3" w:rsidP="00F057C6">
      <w:pPr>
        <w:rPr>
          <w:szCs w:val="20"/>
        </w:rPr>
      </w:pPr>
    </w:p>
    <w:p w:rsidR="002D5E1B" w:rsidRPr="002D5E1B" w:rsidRDefault="002D5E1B" w:rsidP="00F057C6">
      <w:pPr>
        <w:rPr>
          <w:szCs w:val="20"/>
        </w:rPr>
      </w:pPr>
    </w:p>
    <w:p w:rsidR="00E26797" w:rsidRPr="002D5E1B" w:rsidRDefault="00E26797" w:rsidP="00F057C6">
      <w:pPr>
        <w:rPr>
          <w:szCs w:val="20"/>
        </w:rPr>
      </w:pPr>
    </w:p>
    <w:p w:rsidR="00E26797" w:rsidRDefault="00264164" w:rsidP="00E26797">
      <w:pPr>
        <w:pStyle w:val="Overskrift1"/>
      </w:pPr>
      <w:bookmarkStart w:id="17" w:name="_Toc391624654"/>
      <w:r>
        <w:t xml:space="preserve">2. </w:t>
      </w:r>
      <w:r w:rsidR="00E26797">
        <w:t>Kronisk obstruktiv lungesygdom (KOL)</w:t>
      </w:r>
      <w:bookmarkEnd w:id="17"/>
    </w:p>
    <w:p w:rsidR="001561FC" w:rsidRPr="001561FC" w:rsidRDefault="001561FC" w:rsidP="001561FC"/>
    <w:p w:rsidR="00E26797" w:rsidRPr="001561FC" w:rsidRDefault="00E26797" w:rsidP="00E26797">
      <w:pPr>
        <w:pStyle w:val="Overskrift2"/>
        <w:rPr>
          <w:b/>
          <w:sz w:val="20"/>
          <w:szCs w:val="20"/>
        </w:rPr>
      </w:pPr>
      <w:bookmarkStart w:id="18" w:name="_Toc391624655"/>
      <w:r w:rsidRPr="001561FC">
        <w:rPr>
          <w:b/>
          <w:sz w:val="20"/>
          <w:szCs w:val="20"/>
        </w:rPr>
        <w:t>Årsag til udvælgelse</w:t>
      </w:r>
      <w:bookmarkEnd w:id="18"/>
    </w:p>
    <w:p w:rsidR="00E26797" w:rsidRPr="001561FC" w:rsidRDefault="00E26797" w:rsidP="00E26797">
      <w:pPr>
        <w:rPr>
          <w:szCs w:val="20"/>
        </w:rPr>
      </w:pPr>
      <w:r w:rsidRPr="001561FC">
        <w:rPr>
          <w:szCs w:val="20"/>
        </w:rPr>
        <w:t xml:space="preserve">Kroniske lungesygdomme er valgt i Sundhedsstyrelsens tidligere kronikermonitorering. </w:t>
      </w:r>
      <w:r w:rsidR="00E939FF">
        <w:rPr>
          <w:szCs w:val="20"/>
        </w:rPr>
        <w:t>Stentens Serum Institut (</w:t>
      </w:r>
      <w:r w:rsidRPr="001561FC">
        <w:rPr>
          <w:szCs w:val="20"/>
        </w:rPr>
        <w:t>SSI</w:t>
      </w:r>
      <w:r w:rsidR="00E939FF">
        <w:rPr>
          <w:szCs w:val="20"/>
        </w:rPr>
        <w:t>)</w:t>
      </w:r>
      <w:r w:rsidRPr="001561FC">
        <w:rPr>
          <w:szCs w:val="20"/>
        </w:rPr>
        <w:t xml:space="preserve"> har fundet det hensigtsmæssigt at underopdele kroniske lungesygdomme i kronisk obstruktiv lungesygdom (KOL) og astma, pga. forskelle i sygdomme og populationer.</w:t>
      </w:r>
    </w:p>
    <w:p w:rsidR="00E26797" w:rsidRPr="001561FC" w:rsidRDefault="00E26797" w:rsidP="00E26797">
      <w:pPr>
        <w:rPr>
          <w:szCs w:val="20"/>
        </w:rPr>
      </w:pPr>
    </w:p>
    <w:p w:rsidR="00E26797" w:rsidRPr="001561FC" w:rsidRDefault="00E26797" w:rsidP="00E26797">
      <w:pPr>
        <w:pStyle w:val="Overskrift2"/>
        <w:rPr>
          <w:b/>
          <w:sz w:val="20"/>
          <w:szCs w:val="20"/>
        </w:rPr>
      </w:pPr>
      <w:bookmarkStart w:id="19" w:name="_Toc391624656"/>
      <w:r w:rsidRPr="001561FC">
        <w:rPr>
          <w:b/>
          <w:sz w:val="20"/>
          <w:szCs w:val="20"/>
        </w:rPr>
        <w:t>Rationale for udvælgelsesmetode og registre</w:t>
      </w:r>
      <w:bookmarkEnd w:id="19"/>
    </w:p>
    <w:p w:rsidR="00E26797" w:rsidRPr="001561FC" w:rsidRDefault="00E26797" w:rsidP="00E26797">
      <w:pPr>
        <w:rPr>
          <w:szCs w:val="20"/>
        </w:rPr>
      </w:pPr>
      <w:r w:rsidRPr="001561FC">
        <w:rPr>
          <w:szCs w:val="20"/>
        </w:rPr>
        <w:t xml:space="preserve">De fleste lægemidler, der anvendes til KOL, kan også anvendes til astma. KOL patienter kan derfor ikke </w:t>
      </w:r>
      <w:r w:rsidR="004A1D34">
        <w:rPr>
          <w:szCs w:val="20"/>
        </w:rPr>
        <w:t xml:space="preserve">alene </w:t>
      </w:r>
      <w:r w:rsidRPr="001561FC">
        <w:rPr>
          <w:szCs w:val="20"/>
        </w:rPr>
        <w:t>identificeres vha. specifikke lægemidler, el</w:t>
      </w:r>
      <w:r w:rsidR="004A1D34">
        <w:rPr>
          <w:szCs w:val="20"/>
        </w:rPr>
        <w:t>ler evt. styrker af disse</w:t>
      </w:r>
      <w:r w:rsidRPr="001561FC">
        <w:rPr>
          <w:szCs w:val="20"/>
        </w:rPr>
        <w:t xml:space="preserve">. Sygdomsspecifikke indikationstekster, svarende til den etikettetekst som apotekerne sætter på lægemiddelpakninger, er derfor også anvendt til udvælgelse af population af KOL patienter fra Lægemiddelstatistikregisteret (LSR). Indikationskoder indgår først i LSR fra 2005. </w:t>
      </w:r>
    </w:p>
    <w:p w:rsidR="00E26797" w:rsidRPr="001561FC" w:rsidRDefault="00E26797" w:rsidP="00E26797">
      <w:pPr>
        <w:rPr>
          <w:szCs w:val="20"/>
        </w:rPr>
      </w:pPr>
      <w:r w:rsidRPr="001561FC">
        <w:rPr>
          <w:szCs w:val="20"/>
        </w:rPr>
        <w:t xml:space="preserve">I Landspatientregisteret (LPR) er KOL patienter identificeret ved specifikke koder for KOL. Der er udtrukket både aktions- og bidiagnoser, da det ikke er entydigt over tid hvordan </w:t>
      </w:r>
      <w:r w:rsidR="000147A5" w:rsidRPr="001561FC">
        <w:rPr>
          <w:szCs w:val="20"/>
        </w:rPr>
        <w:t>fx</w:t>
      </w:r>
      <w:r w:rsidRPr="001561FC">
        <w:rPr>
          <w:szCs w:val="20"/>
        </w:rPr>
        <w:t xml:space="preserve"> forværring i KOL er blevet kodet mht. aktions- og bidiagnoser.</w:t>
      </w:r>
    </w:p>
    <w:p w:rsidR="00E26797" w:rsidRPr="001561FC" w:rsidRDefault="00E26797" w:rsidP="00E26797">
      <w:pPr>
        <w:rPr>
          <w:szCs w:val="20"/>
        </w:rPr>
      </w:pPr>
    </w:p>
    <w:p w:rsidR="00E26797" w:rsidRDefault="00E26797" w:rsidP="00E26797">
      <w:pPr>
        <w:pStyle w:val="Overskrift2"/>
        <w:rPr>
          <w:b/>
          <w:sz w:val="20"/>
          <w:szCs w:val="20"/>
        </w:rPr>
      </w:pPr>
      <w:bookmarkStart w:id="20" w:name="_Toc391624657"/>
      <w:r w:rsidRPr="001561FC">
        <w:rPr>
          <w:b/>
          <w:sz w:val="20"/>
          <w:szCs w:val="20"/>
        </w:rPr>
        <w:t>Inklusion og eksklusionskoder fra registre</w:t>
      </w:r>
      <w:bookmarkEnd w:id="20"/>
    </w:p>
    <w:p w:rsidR="00E26797" w:rsidRDefault="00E26797" w:rsidP="00E26797">
      <w:pPr>
        <w:rPr>
          <w:szCs w:val="20"/>
        </w:rPr>
      </w:pPr>
      <w:r w:rsidRPr="001561FC">
        <w:rPr>
          <w:szCs w:val="20"/>
        </w:rPr>
        <w:t xml:space="preserve">Inklusion: </w:t>
      </w:r>
    </w:p>
    <w:p w:rsidR="0095771C" w:rsidRPr="001561FC" w:rsidRDefault="0095771C" w:rsidP="00E26797">
      <w:pPr>
        <w:rPr>
          <w:szCs w:val="20"/>
        </w:rPr>
      </w:pPr>
    </w:p>
    <w:p w:rsidR="00E26797" w:rsidRPr="001561FC" w:rsidRDefault="00BE2F0A" w:rsidP="00E26797">
      <w:pPr>
        <w:pStyle w:val="Listeafsnit"/>
        <w:numPr>
          <w:ilvl w:val="0"/>
          <w:numId w:val="9"/>
        </w:numPr>
        <w:rPr>
          <w:szCs w:val="20"/>
        </w:rPr>
      </w:pPr>
      <w:r w:rsidRPr="001561FC">
        <w:rPr>
          <w:szCs w:val="20"/>
        </w:rPr>
        <w:t>P</w:t>
      </w:r>
      <w:r w:rsidR="00E26797" w:rsidRPr="001561FC">
        <w:rPr>
          <w:szCs w:val="20"/>
        </w:rPr>
        <w:t xml:space="preserve">ersoner med min. ét køb af medicin med specifik indikationskode i Lægemiddelstatistikregisteret. </w:t>
      </w:r>
    </w:p>
    <w:p w:rsidR="00E26797" w:rsidRPr="001561FC" w:rsidRDefault="00BE2F0A" w:rsidP="00E26797">
      <w:pPr>
        <w:pStyle w:val="Listeafsnit"/>
        <w:numPr>
          <w:ilvl w:val="0"/>
          <w:numId w:val="9"/>
        </w:numPr>
        <w:rPr>
          <w:szCs w:val="20"/>
        </w:rPr>
      </w:pPr>
      <w:r w:rsidRPr="001561FC">
        <w:rPr>
          <w:szCs w:val="20"/>
        </w:rPr>
        <w:t>P</w:t>
      </w:r>
      <w:r w:rsidR="00E26797" w:rsidRPr="001561FC">
        <w:rPr>
          <w:szCs w:val="20"/>
        </w:rPr>
        <w:t>ersoner, der har indløst min. én recept på lægemidler kun godkendt til KOL.</w:t>
      </w:r>
    </w:p>
    <w:p w:rsidR="00E26797" w:rsidRPr="001561FC" w:rsidRDefault="00320D6A" w:rsidP="00E26797">
      <w:pPr>
        <w:pStyle w:val="Listeafsnit"/>
        <w:numPr>
          <w:ilvl w:val="0"/>
          <w:numId w:val="9"/>
        </w:numPr>
        <w:rPr>
          <w:szCs w:val="20"/>
        </w:rPr>
      </w:pPr>
      <w:r w:rsidRPr="001561FC">
        <w:rPr>
          <w:szCs w:val="20"/>
        </w:rPr>
        <w:t>E</w:t>
      </w:r>
      <w:r w:rsidR="00A70997" w:rsidRPr="001561FC">
        <w:rPr>
          <w:szCs w:val="20"/>
        </w:rPr>
        <w:t>ller</w:t>
      </w:r>
      <w:r w:rsidRPr="001561FC">
        <w:rPr>
          <w:szCs w:val="20"/>
        </w:rPr>
        <w:t xml:space="preserve"> personer med</w:t>
      </w:r>
      <w:r w:rsidR="00E26797" w:rsidRPr="001561FC">
        <w:rPr>
          <w:szCs w:val="20"/>
        </w:rPr>
        <w:t xml:space="preserve"> min. én kontakt i Landspatientregisteret med relevant aktions- eller bidiagnose.</w:t>
      </w:r>
    </w:p>
    <w:p w:rsidR="00E26797" w:rsidRPr="001561FC" w:rsidRDefault="00E26797" w:rsidP="00E26797">
      <w:pPr>
        <w:rPr>
          <w:b/>
          <w:szCs w:val="20"/>
        </w:rPr>
      </w:pPr>
    </w:p>
    <w:tbl>
      <w:tblPr>
        <w:tblStyle w:val="Tabel-Gitter"/>
        <w:tblW w:w="9747" w:type="dxa"/>
        <w:tblLook w:val="04A0" w:firstRow="1" w:lastRow="0" w:firstColumn="1" w:lastColumn="0" w:noHBand="0" w:noVBand="1"/>
      </w:tblPr>
      <w:tblGrid>
        <w:gridCol w:w="3936"/>
        <w:gridCol w:w="5811"/>
      </w:tblGrid>
      <w:tr w:rsidR="00E26797" w:rsidRPr="001561FC" w:rsidTr="00E26797">
        <w:tc>
          <w:tcPr>
            <w:tcW w:w="3936" w:type="dxa"/>
          </w:tcPr>
          <w:p w:rsidR="00E26797" w:rsidRPr="001561FC" w:rsidRDefault="00E26797" w:rsidP="00E26797">
            <w:pPr>
              <w:rPr>
                <w:b/>
                <w:szCs w:val="20"/>
              </w:rPr>
            </w:pPr>
            <w:r w:rsidRPr="001561FC">
              <w:rPr>
                <w:b/>
                <w:szCs w:val="20"/>
              </w:rPr>
              <w:t>LPR</w:t>
            </w:r>
          </w:p>
        </w:tc>
        <w:tc>
          <w:tcPr>
            <w:tcW w:w="5811" w:type="dxa"/>
          </w:tcPr>
          <w:p w:rsidR="00E26797" w:rsidRPr="001561FC" w:rsidRDefault="00E26797" w:rsidP="00E26797">
            <w:pPr>
              <w:rPr>
                <w:b/>
                <w:szCs w:val="20"/>
              </w:rPr>
            </w:pPr>
            <w:r w:rsidRPr="001561FC">
              <w:rPr>
                <w:b/>
                <w:szCs w:val="20"/>
              </w:rPr>
              <w:t>LSR</w:t>
            </w:r>
          </w:p>
        </w:tc>
      </w:tr>
      <w:tr w:rsidR="00E26797" w:rsidRPr="001561FC" w:rsidTr="00E26797">
        <w:tc>
          <w:tcPr>
            <w:tcW w:w="3936" w:type="dxa"/>
          </w:tcPr>
          <w:p w:rsidR="00E26797" w:rsidRPr="001561FC" w:rsidRDefault="00E26797" w:rsidP="00E26797">
            <w:pPr>
              <w:rPr>
                <w:szCs w:val="20"/>
              </w:rPr>
            </w:pPr>
            <w:r w:rsidRPr="001561FC">
              <w:rPr>
                <w:szCs w:val="20"/>
              </w:rPr>
              <w:t>ICD-10 koder:</w:t>
            </w:r>
          </w:p>
          <w:p w:rsidR="00E26797" w:rsidRPr="001561FC" w:rsidRDefault="00E26797" w:rsidP="00E26797">
            <w:pPr>
              <w:rPr>
                <w:szCs w:val="20"/>
              </w:rPr>
            </w:pPr>
          </w:p>
          <w:p w:rsidR="00E26797" w:rsidRPr="001561FC" w:rsidRDefault="00E26797" w:rsidP="00E26797">
            <w:pPr>
              <w:rPr>
                <w:szCs w:val="20"/>
              </w:rPr>
            </w:pPr>
            <w:r w:rsidRPr="001561FC">
              <w:rPr>
                <w:szCs w:val="20"/>
              </w:rPr>
              <w:t>J44 (kronisk obstruktiv lungesygdom) og underkoder</w:t>
            </w:r>
          </w:p>
          <w:p w:rsidR="00E26797" w:rsidRPr="001561FC" w:rsidRDefault="00E26797" w:rsidP="00E26797">
            <w:pPr>
              <w:rPr>
                <w:szCs w:val="20"/>
              </w:rPr>
            </w:pPr>
          </w:p>
          <w:p w:rsidR="00E26797" w:rsidRPr="001561FC" w:rsidRDefault="00E26797" w:rsidP="00E26797">
            <w:pPr>
              <w:rPr>
                <w:b/>
                <w:szCs w:val="20"/>
              </w:rPr>
            </w:pPr>
          </w:p>
          <w:p w:rsidR="00E26797" w:rsidRPr="001561FC" w:rsidRDefault="00E26797" w:rsidP="00E26797">
            <w:pPr>
              <w:rPr>
                <w:b/>
                <w:szCs w:val="20"/>
              </w:rPr>
            </w:pPr>
          </w:p>
        </w:tc>
        <w:tc>
          <w:tcPr>
            <w:tcW w:w="5811" w:type="dxa"/>
          </w:tcPr>
          <w:p w:rsidR="00E26797" w:rsidRPr="001561FC" w:rsidRDefault="00E26797" w:rsidP="00E26797">
            <w:pPr>
              <w:rPr>
                <w:szCs w:val="20"/>
              </w:rPr>
            </w:pPr>
            <w:r w:rsidRPr="001561FC">
              <w:rPr>
                <w:szCs w:val="20"/>
              </w:rPr>
              <w:t>Indikationskoder:</w:t>
            </w:r>
          </w:p>
          <w:p w:rsidR="00E26797" w:rsidRPr="001561FC" w:rsidRDefault="00E26797" w:rsidP="00E26797">
            <w:pPr>
              <w:rPr>
                <w:szCs w:val="20"/>
              </w:rPr>
            </w:pPr>
          </w:p>
          <w:p w:rsidR="00E26797" w:rsidRPr="001561FC" w:rsidRDefault="00E26797" w:rsidP="00E26797">
            <w:pPr>
              <w:rPr>
                <w:szCs w:val="20"/>
              </w:rPr>
            </w:pPr>
            <w:r w:rsidRPr="001561FC">
              <w:rPr>
                <w:szCs w:val="20"/>
              </w:rPr>
              <w:t>379 ’ved kronisk obstruktiv lungesygdom (KOL)’</w:t>
            </w:r>
          </w:p>
          <w:p w:rsidR="00E26797" w:rsidRPr="001561FC" w:rsidRDefault="00E26797" w:rsidP="00E26797">
            <w:pPr>
              <w:rPr>
                <w:szCs w:val="20"/>
              </w:rPr>
            </w:pPr>
            <w:r w:rsidRPr="001561FC">
              <w:rPr>
                <w:szCs w:val="20"/>
              </w:rPr>
              <w:t xml:space="preserve">464 ’mod opblussen i kronisk obstruktiv lungesygdom </w:t>
            </w:r>
          </w:p>
          <w:p w:rsidR="00E26797" w:rsidRPr="001561FC" w:rsidRDefault="00E26797" w:rsidP="00E26797">
            <w:pPr>
              <w:rPr>
                <w:szCs w:val="20"/>
              </w:rPr>
            </w:pPr>
            <w:r w:rsidRPr="001561FC">
              <w:rPr>
                <w:szCs w:val="20"/>
              </w:rPr>
              <w:t xml:space="preserve">       (KOL)’</w:t>
            </w:r>
          </w:p>
          <w:p w:rsidR="00E26797" w:rsidRPr="001561FC" w:rsidRDefault="00E26797" w:rsidP="00E26797">
            <w:pPr>
              <w:rPr>
                <w:szCs w:val="20"/>
              </w:rPr>
            </w:pPr>
          </w:p>
          <w:p w:rsidR="00E26797" w:rsidRPr="001561FC" w:rsidRDefault="00E26797" w:rsidP="00E26797">
            <w:pPr>
              <w:rPr>
                <w:szCs w:val="20"/>
              </w:rPr>
            </w:pPr>
            <w:r w:rsidRPr="001561FC">
              <w:rPr>
                <w:szCs w:val="20"/>
              </w:rPr>
              <w:t>Lægemidler, der kun er godkendt til KOL:</w:t>
            </w:r>
          </w:p>
          <w:p w:rsidR="00E26797" w:rsidRPr="001561FC" w:rsidRDefault="00E26797" w:rsidP="00E26797">
            <w:pPr>
              <w:pStyle w:val="Listeafsnit"/>
              <w:numPr>
                <w:ilvl w:val="1"/>
                <w:numId w:val="9"/>
              </w:numPr>
              <w:rPr>
                <w:szCs w:val="20"/>
              </w:rPr>
            </w:pPr>
            <w:r w:rsidRPr="001561FC">
              <w:rPr>
                <w:szCs w:val="20"/>
              </w:rPr>
              <w:t>antikolinergika (R03BB)</w:t>
            </w:r>
          </w:p>
          <w:p w:rsidR="00E26797" w:rsidRPr="001561FC" w:rsidRDefault="00E26797" w:rsidP="00E26797">
            <w:pPr>
              <w:pStyle w:val="Listeafsnit"/>
              <w:numPr>
                <w:ilvl w:val="1"/>
                <w:numId w:val="9"/>
              </w:numPr>
              <w:rPr>
                <w:szCs w:val="20"/>
              </w:rPr>
            </w:pPr>
            <w:r w:rsidRPr="001561FC">
              <w:rPr>
                <w:szCs w:val="20"/>
              </w:rPr>
              <w:t>indacaterol (R03AC18)</w:t>
            </w:r>
          </w:p>
          <w:p w:rsidR="00E26797" w:rsidRPr="001561FC" w:rsidRDefault="00E26797" w:rsidP="00E26797">
            <w:pPr>
              <w:pStyle w:val="Listeafsnit"/>
              <w:numPr>
                <w:ilvl w:val="1"/>
                <w:numId w:val="9"/>
              </w:numPr>
              <w:rPr>
                <w:szCs w:val="20"/>
              </w:rPr>
            </w:pPr>
            <w:r w:rsidRPr="001561FC">
              <w:rPr>
                <w:szCs w:val="20"/>
              </w:rPr>
              <w:t>indacaterol og glycopyrronium (R03AL04)</w:t>
            </w:r>
          </w:p>
          <w:p w:rsidR="00E26797" w:rsidRPr="001561FC" w:rsidRDefault="00E26797" w:rsidP="00E26797">
            <w:pPr>
              <w:pStyle w:val="Listeafsnit"/>
              <w:numPr>
                <w:ilvl w:val="1"/>
                <w:numId w:val="9"/>
              </w:numPr>
              <w:rPr>
                <w:szCs w:val="20"/>
              </w:rPr>
            </w:pPr>
            <w:r w:rsidRPr="001561FC">
              <w:rPr>
                <w:szCs w:val="20"/>
              </w:rPr>
              <w:t>salbutamol og ipratropium (R03AL02)</w:t>
            </w:r>
          </w:p>
          <w:p w:rsidR="00E26797" w:rsidRPr="001561FC" w:rsidRDefault="00E26797" w:rsidP="00E26797">
            <w:pPr>
              <w:pStyle w:val="Listeafsnit"/>
              <w:numPr>
                <w:ilvl w:val="1"/>
                <w:numId w:val="9"/>
              </w:numPr>
              <w:rPr>
                <w:szCs w:val="20"/>
              </w:rPr>
            </w:pPr>
            <w:r w:rsidRPr="001561FC">
              <w:rPr>
                <w:szCs w:val="20"/>
              </w:rPr>
              <w:t>roflumilast (R03DX07)</w:t>
            </w:r>
          </w:p>
          <w:p w:rsidR="00E26797" w:rsidRPr="001561FC" w:rsidRDefault="00E26797" w:rsidP="00E26797">
            <w:pPr>
              <w:rPr>
                <w:b/>
                <w:szCs w:val="20"/>
              </w:rPr>
            </w:pPr>
          </w:p>
        </w:tc>
      </w:tr>
    </w:tbl>
    <w:p w:rsidR="00E26797" w:rsidRPr="001561FC" w:rsidRDefault="00E26797" w:rsidP="00E26797">
      <w:pPr>
        <w:rPr>
          <w:szCs w:val="20"/>
        </w:rPr>
      </w:pPr>
    </w:p>
    <w:p w:rsidR="00E26797" w:rsidRPr="001561FC" w:rsidRDefault="00E26797" w:rsidP="00E26797">
      <w:pPr>
        <w:rPr>
          <w:szCs w:val="20"/>
        </w:rPr>
      </w:pPr>
      <w:r w:rsidRPr="001561FC">
        <w:rPr>
          <w:szCs w:val="20"/>
        </w:rPr>
        <w:t xml:space="preserve">Eksklusion: </w:t>
      </w:r>
    </w:p>
    <w:p w:rsidR="00E26797" w:rsidRPr="001561FC" w:rsidRDefault="00E26797" w:rsidP="00E26797">
      <w:pPr>
        <w:rPr>
          <w:szCs w:val="20"/>
        </w:rPr>
      </w:pPr>
    </w:p>
    <w:p w:rsidR="00E26797" w:rsidRPr="001561FC" w:rsidRDefault="00E26797" w:rsidP="00E26797">
      <w:pPr>
        <w:pStyle w:val="Listeafsnit"/>
        <w:numPr>
          <w:ilvl w:val="0"/>
          <w:numId w:val="14"/>
        </w:numPr>
        <w:rPr>
          <w:szCs w:val="20"/>
        </w:rPr>
      </w:pPr>
      <w:r w:rsidRPr="001561FC">
        <w:rPr>
          <w:szCs w:val="20"/>
        </w:rPr>
        <w:t>Personer, der udelukkende er i LSR og kun har ét køb af medicin med specifik indikationskode eller én indløsning af et lægemiddel, der kun er godkendt til KOL</w:t>
      </w:r>
    </w:p>
    <w:p w:rsidR="00E26797" w:rsidRPr="001561FC" w:rsidRDefault="00E26797" w:rsidP="00E26797">
      <w:pPr>
        <w:rPr>
          <w:szCs w:val="20"/>
        </w:rPr>
      </w:pPr>
    </w:p>
    <w:p w:rsidR="00E26797" w:rsidRPr="001561FC" w:rsidRDefault="00E26797" w:rsidP="00E26797">
      <w:pPr>
        <w:pStyle w:val="Listeafsnit"/>
        <w:numPr>
          <w:ilvl w:val="0"/>
          <w:numId w:val="13"/>
        </w:numPr>
        <w:rPr>
          <w:szCs w:val="20"/>
        </w:rPr>
      </w:pPr>
      <w:r w:rsidRPr="001561FC">
        <w:rPr>
          <w:szCs w:val="20"/>
        </w:rPr>
        <w:t>Personer med cystisk fibrose (CF). Cystisk fibrose personer er identificeret ved enten diagnose (E84 og undergrupper), min. to køb af lægemidler med specifik indikationskode for cystisk fibrose eller lægemidler kun anvendt til cystisk fibrose (desoxiribonucleate, R05CB13). Cystisk fibrose patienter kan også anvende astmamedicin. Cystisk fibrose er en multiorgan sygdom, der er meget forskellig fra KOL og astma.</w:t>
      </w:r>
    </w:p>
    <w:p w:rsidR="00E26797" w:rsidRPr="001561FC" w:rsidRDefault="00E26797" w:rsidP="00E26797">
      <w:pPr>
        <w:pStyle w:val="Listeafsnit"/>
        <w:rPr>
          <w:szCs w:val="20"/>
        </w:rPr>
      </w:pPr>
    </w:p>
    <w:p w:rsidR="00E26797" w:rsidRPr="001561FC" w:rsidRDefault="00E26797" w:rsidP="00E26797">
      <w:pPr>
        <w:pStyle w:val="Listeafsnit"/>
        <w:numPr>
          <w:ilvl w:val="0"/>
          <w:numId w:val="13"/>
        </w:numPr>
        <w:rPr>
          <w:szCs w:val="20"/>
        </w:rPr>
      </w:pPr>
      <w:r w:rsidRPr="001561FC">
        <w:rPr>
          <w:szCs w:val="20"/>
        </w:rPr>
        <w:t>Børn, der udelukkende har været under 6 år ved LPR-kontakter eller indløsninger af recepter. Der ses der misklassifikation mellem astmatisk bronkitis og underkoden til KOL: ’kronisk astmatisk bronkitis’ (J44.8), formentlig pga. navnesammenfald.</w:t>
      </w:r>
    </w:p>
    <w:p w:rsidR="00E26797" w:rsidRPr="001561FC" w:rsidRDefault="00E26797" w:rsidP="00E26797">
      <w:pPr>
        <w:rPr>
          <w:szCs w:val="20"/>
        </w:rPr>
      </w:pPr>
    </w:p>
    <w:p w:rsidR="00E26797" w:rsidRPr="001561FC" w:rsidRDefault="00E26797" w:rsidP="00E26797">
      <w:pPr>
        <w:rPr>
          <w:szCs w:val="20"/>
        </w:rPr>
      </w:pPr>
    </w:p>
    <w:p w:rsidR="00E26797" w:rsidRPr="001561FC" w:rsidRDefault="00E26797" w:rsidP="00E26797">
      <w:pPr>
        <w:rPr>
          <w:szCs w:val="20"/>
        </w:rPr>
      </w:pPr>
    </w:p>
    <w:p w:rsidR="00E26797" w:rsidRDefault="00E26797" w:rsidP="00E26797">
      <w:pPr>
        <w:rPr>
          <w:b/>
          <w:sz w:val="22"/>
        </w:rPr>
      </w:pPr>
    </w:p>
    <w:p w:rsidR="00E26797" w:rsidRDefault="00E26797" w:rsidP="00E26797">
      <w:pPr>
        <w:rPr>
          <w:b/>
          <w:sz w:val="22"/>
        </w:rPr>
      </w:pPr>
    </w:p>
    <w:p w:rsidR="00E26797" w:rsidRDefault="00E26797" w:rsidP="00E26797">
      <w:pPr>
        <w:rPr>
          <w:b/>
          <w:sz w:val="22"/>
        </w:rPr>
      </w:pPr>
    </w:p>
    <w:p w:rsidR="00E26797" w:rsidRDefault="00E26797" w:rsidP="00E26797">
      <w:pPr>
        <w:rPr>
          <w:b/>
          <w:sz w:val="22"/>
        </w:rPr>
      </w:pPr>
    </w:p>
    <w:p w:rsidR="00E26797" w:rsidRDefault="00E26797" w:rsidP="00E26797">
      <w:pPr>
        <w:rPr>
          <w:b/>
          <w:sz w:val="22"/>
        </w:rPr>
      </w:pPr>
    </w:p>
    <w:p w:rsidR="00E26797" w:rsidRDefault="00E26797" w:rsidP="00E26797">
      <w:pPr>
        <w:rPr>
          <w:b/>
          <w:sz w:val="22"/>
        </w:rPr>
      </w:pPr>
    </w:p>
    <w:p w:rsidR="00E26797" w:rsidRDefault="00E26797" w:rsidP="00E26797">
      <w:pPr>
        <w:rPr>
          <w:b/>
          <w:sz w:val="22"/>
        </w:rPr>
      </w:pPr>
    </w:p>
    <w:p w:rsidR="00E26797" w:rsidRDefault="00E26797" w:rsidP="00E26797">
      <w:pPr>
        <w:rPr>
          <w:b/>
          <w:sz w:val="22"/>
        </w:rPr>
      </w:pPr>
    </w:p>
    <w:p w:rsidR="00E26797" w:rsidRDefault="00E26797" w:rsidP="00E26797">
      <w:pPr>
        <w:rPr>
          <w:b/>
          <w:sz w:val="22"/>
        </w:rPr>
      </w:pPr>
    </w:p>
    <w:p w:rsidR="00E26797" w:rsidRDefault="00E26797" w:rsidP="00E26797">
      <w:pPr>
        <w:rPr>
          <w:b/>
          <w:sz w:val="22"/>
        </w:rPr>
      </w:pPr>
    </w:p>
    <w:p w:rsidR="00E26797" w:rsidRDefault="00E26797" w:rsidP="00E26797">
      <w:pPr>
        <w:rPr>
          <w:b/>
          <w:sz w:val="22"/>
        </w:rPr>
      </w:pPr>
    </w:p>
    <w:p w:rsidR="00E26797" w:rsidRDefault="00E26797" w:rsidP="00E26797">
      <w:pPr>
        <w:rPr>
          <w:b/>
          <w:sz w:val="22"/>
        </w:rPr>
      </w:pPr>
    </w:p>
    <w:p w:rsidR="00E26797" w:rsidRDefault="00E26797" w:rsidP="00E26797">
      <w:pPr>
        <w:rPr>
          <w:b/>
          <w:sz w:val="22"/>
        </w:rPr>
      </w:pPr>
    </w:p>
    <w:p w:rsidR="00E26797" w:rsidRDefault="00E26797" w:rsidP="00E26797">
      <w:pPr>
        <w:rPr>
          <w:b/>
          <w:sz w:val="22"/>
        </w:rPr>
      </w:pPr>
    </w:p>
    <w:p w:rsidR="00E26797" w:rsidRDefault="00E26797" w:rsidP="00E26797">
      <w:pPr>
        <w:rPr>
          <w:b/>
          <w:sz w:val="22"/>
        </w:rPr>
      </w:pPr>
    </w:p>
    <w:p w:rsidR="00E26797" w:rsidRDefault="00E26797" w:rsidP="00E26797">
      <w:pPr>
        <w:rPr>
          <w:b/>
          <w:sz w:val="22"/>
        </w:rPr>
      </w:pPr>
    </w:p>
    <w:p w:rsidR="00E26797" w:rsidRDefault="00E26797" w:rsidP="00E26797">
      <w:pPr>
        <w:rPr>
          <w:b/>
          <w:sz w:val="22"/>
        </w:rPr>
      </w:pPr>
    </w:p>
    <w:p w:rsidR="00E26797" w:rsidRDefault="00E26797" w:rsidP="00E26797">
      <w:pPr>
        <w:rPr>
          <w:b/>
          <w:sz w:val="22"/>
        </w:rPr>
      </w:pPr>
    </w:p>
    <w:p w:rsidR="00E26797" w:rsidRDefault="00E26797" w:rsidP="00E26797">
      <w:pPr>
        <w:rPr>
          <w:b/>
          <w:sz w:val="22"/>
        </w:rPr>
      </w:pPr>
    </w:p>
    <w:p w:rsidR="00E26797" w:rsidRDefault="00E26797" w:rsidP="00E26797">
      <w:pPr>
        <w:rPr>
          <w:b/>
          <w:sz w:val="22"/>
        </w:rPr>
      </w:pPr>
    </w:p>
    <w:p w:rsidR="00E26797" w:rsidRDefault="00E26797" w:rsidP="00E26797">
      <w:pPr>
        <w:rPr>
          <w:b/>
          <w:sz w:val="22"/>
        </w:rPr>
      </w:pPr>
    </w:p>
    <w:p w:rsidR="00E26797" w:rsidRDefault="00E26797" w:rsidP="00E26797">
      <w:pPr>
        <w:rPr>
          <w:b/>
          <w:sz w:val="22"/>
        </w:rPr>
      </w:pPr>
    </w:p>
    <w:p w:rsidR="00E26797" w:rsidRDefault="00E26797" w:rsidP="00E26797">
      <w:pPr>
        <w:rPr>
          <w:b/>
          <w:sz w:val="22"/>
        </w:rPr>
      </w:pPr>
    </w:p>
    <w:p w:rsidR="00E26797" w:rsidRDefault="00E26797" w:rsidP="00E26797">
      <w:pPr>
        <w:rPr>
          <w:b/>
          <w:sz w:val="22"/>
        </w:rPr>
      </w:pPr>
    </w:p>
    <w:p w:rsidR="00E26797" w:rsidRDefault="00E26797" w:rsidP="00E26797">
      <w:pPr>
        <w:rPr>
          <w:b/>
          <w:sz w:val="22"/>
        </w:rPr>
      </w:pPr>
    </w:p>
    <w:p w:rsidR="00E26797" w:rsidRDefault="00E26797" w:rsidP="00E26797">
      <w:pPr>
        <w:rPr>
          <w:b/>
          <w:sz w:val="22"/>
        </w:rPr>
      </w:pPr>
    </w:p>
    <w:p w:rsidR="00E26797" w:rsidRDefault="00E26797" w:rsidP="00E26797">
      <w:pPr>
        <w:rPr>
          <w:b/>
          <w:sz w:val="22"/>
        </w:rPr>
      </w:pPr>
    </w:p>
    <w:p w:rsidR="00E26797" w:rsidRDefault="00E26797" w:rsidP="00E26797">
      <w:pPr>
        <w:rPr>
          <w:b/>
          <w:sz w:val="22"/>
        </w:rPr>
      </w:pPr>
    </w:p>
    <w:p w:rsidR="00E26797" w:rsidRDefault="00E26797" w:rsidP="00E26797">
      <w:pPr>
        <w:pStyle w:val="Overskrift2"/>
        <w:rPr>
          <w:b/>
          <w:sz w:val="22"/>
        </w:rPr>
      </w:pPr>
      <w:bookmarkStart w:id="21" w:name="_Toc391624658"/>
      <w:r>
        <w:rPr>
          <w:b/>
          <w:sz w:val="22"/>
        </w:rPr>
        <w:t>Flowdiagram for dannelse af KOL population pr. 1. januar 2013</w:t>
      </w:r>
      <w:bookmarkEnd w:id="21"/>
    </w:p>
    <w:p w:rsidR="00A15428" w:rsidRDefault="00A15428" w:rsidP="00A15428"/>
    <w:p w:rsidR="00A15428" w:rsidRPr="00A15428" w:rsidRDefault="00880F80" w:rsidP="00A15428">
      <w:r>
        <w:rPr>
          <w:noProof/>
          <w:lang w:eastAsia="da-DK"/>
        </w:rPr>
        <w:drawing>
          <wp:inline distT="0" distB="0" distL="0" distR="0" wp14:anchorId="7BA2C9E2">
            <wp:extent cx="6486525" cy="6248066"/>
            <wp:effectExtent l="0" t="0" r="0" b="63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92278" cy="6253607"/>
                    </a:xfrm>
                    <a:prstGeom prst="rect">
                      <a:avLst/>
                    </a:prstGeom>
                    <a:noFill/>
                  </pic:spPr>
                </pic:pic>
              </a:graphicData>
            </a:graphic>
          </wp:inline>
        </w:drawing>
      </w:r>
    </w:p>
    <w:p w:rsidR="00E26797" w:rsidRDefault="00E26797" w:rsidP="00E26797">
      <w:pPr>
        <w:rPr>
          <w:b/>
          <w:sz w:val="22"/>
        </w:rPr>
      </w:pPr>
    </w:p>
    <w:p w:rsidR="00E26797" w:rsidRDefault="00E26797" w:rsidP="00E26797">
      <w:pPr>
        <w:rPr>
          <w:b/>
          <w:sz w:val="22"/>
        </w:rPr>
      </w:pPr>
    </w:p>
    <w:p w:rsidR="00E26797" w:rsidRDefault="00E26797" w:rsidP="00E26797">
      <w:pPr>
        <w:rPr>
          <w:b/>
          <w:sz w:val="22"/>
        </w:rPr>
      </w:pPr>
    </w:p>
    <w:p w:rsidR="00E26797" w:rsidRDefault="00E26797" w:rsidP="00E26797">
      <w:pPr>
        <w:rPr>
          <w:b/>
          <w:sz w:val="22"/>
        </w:rPr>
      </w:pPr>
    </w:p>
    <w:p w:rsidR="002C4E64" w:rsidRDefault="002C4E64" w:rsidP="00E26797">
      <w:pPr>
        <w:rPr>
          <w:b/>
          <w:sz w:val="22"/>
        </w:rPr>
      </w:pPr>
    </w:p>
    <w:p w:rsidR="00E26797" w:rsidRPr="001561FC" w:rsidRDefault="00E26797" w:rsidP="00E26797">
      <w:pPr>
        <w:rPr>
          <w:b/>
          <w:szCs w:val="20"/>
        </w:rPr>
      </w:pPr>
      <w:r w:rsidRPr="001561FC">
        <w:rPr>
          <w:b/>
          <w:szCs w:val="20"/>
        </w:rPr>
        <w:t>Beskrivelse af den fundne population</w:t>
      </w:r>
    </w:p>
    <w:p w:rsidR="00E26797" w:rsidRPr="001561FC" w:rsidRDefault="00E26797" w:rsidP="00E26797">
      <w:pPr>
        <w:rPr>
          <w:szCs w:val="20"/>
        </w:rPr>
      </w:pPr>
    </w:p>
    <w:p w:rsidR="00E26797" w:rsidRPr="001561FC" w:rsidRDefault="00E26797" w:rsidP="00E26797">
      <w:pPr>
        <w:rPr>
          <w:szCs w:val="20"/>
        </w:rPr>
      </w:pPr>
      <w:r w:rsidRPr="001561FC">
        <w:rPr>
          <w:szCs w:val="20"/>
        </w:rPr>
        <w:t xml:space="preserve">I KOL populationen til RUKS er 55 </w:t>
      </w:r>
      <w:r w:rsidR="00B82458">
        <w:rPr>
          <w:szCs w:val="20"/>
        </w:rPr>
        <w:t>%</w:t>
      </w:r>
      <w:r w:rsidRPr="001561FC">
        <w:rPr>
          <w:szCs w:val="20"/>
        </w:rPr>
        <w:t xml:space="preserve"> kvinder pr. 1. januar 2013. Medianalderen ved debut er 62 år (53-70</w:t>
      </w:r>
      <w:r w:rsidRPr="001561FC">
        <w:rPr>
          <w:rStyle w:val="Fodnotehenvisning"/>
          <w:szCs w:val="20"/>
        </w:rPr>
        <w:footnoteReference w:id="5"/>
      </w:r>
      <w:r w:rsidRPr="001561FC">
        <w:rPr>
          <w:szCs w:val="20"/>
        </w:rPr>
        <w:t xml:space="preserve">) for begge køn, se figur </w:t>
      </w:r>
      <w:r w:rsidR="000F6AA1">
        <w:rPr>
          <w:szCs w:val="20"/>
        </w:rPr>
        <w:t>2.</w:t>
      </w:r>
      <w:r w:rsidRPr="001561FC">
        <w:rPr>
          <w:szCs w:val="20"/>
        </w:rPr>
        <w:t>1. Ved udregning af debutalder er personer, der har debutår tidligere end 1996 frasorteret, da registerudtrækkene</w:t>
      </w:r>
      <w:r w:rsidR="000F6AA1">
        <w:rPr>
          <w:szCs w:val="20"/>
        </w:rPr>
        <w:t xml:space="preserve"> går</w:t>
      </w:r>
      <w:r w:rsidRPr="001561FC">
        <w:rPr>
          <w:szCs w:val="20"/>
        </w:rPr>
        <w:t xml:space="preserve"> tilbage til 1995. Personerne kan have debuteret tidligere end vi har data for og deres alder i 1995 er således ikke nødvendigvis deres sande debutalder, se figur </w:t>
      </w:r>
      <w:r w:rsidR="000F6AA1">
        <w:rPr>
          <w:szCs w:val="20"/>
        </w:rPr>
        <w:t>2.1. Denne effekt kan</w:t>
      </w:r>
      <w:r w:rsidRPr="001561FC">
        <w:rPr>
          <w:szCs w:val="20"/>
        </w:rPr>
        <w:t xml:space="preserve"> forårsage at personerne ville have en usand for høj debutalder. I KOL populationens tilfælde har de frasorterede personer en yngre debutalder end dem der er debuteret senere end 1995, hvilket kan skyldes at de personer, der frasorteres, er personer med astma, der senere også har udviklet KOL. Disse personers debutalder vil pga. klassifikationsmetoden, hvor KOL vægtes højere end astma, i mange tilfælde kunne afspejle deres medicindebut for deres astma frem for debut af KOL (se ’Forbehold ved udvælgelsen’). Forholdet påvirker især kvinderne, se figur </w:t>
      </w:r>
      <w:r w:rsidR="00A70997" w:rsidRPr="001561FC">
        <w:rPr>
          <w:szCs w:val="20"/>
        </w:rPr>
        <w:t>2.</w:t>
      </w:r>
      <w:r w:rsidRPr="001561FC">
        <w:rPr>
          <w:szCs w:val="20"/>
        </w:rPr>
        <w:t>1.</w:t>
      </w:r>
    </w:p>
    <w:p w:rsidR="00E26797" w:rsidRPr="001561FC" w:rsidRDefault="00E26797" w:rsidP="00E26797">
      <w:pPr>
        <w:rPr>
          <w:szCs w:val="20"/>
        </w:rPr>
      </w:pPr>
    </w:p>
    <w:p w:rsidR="00E26797" w:rsidRPr="001561FC" w:rsidRDefault="00E26797" w:rsidP="00E26797">
      <w:pPr>
        <w:rPr>
          <w:szCs w:val="20"/>
        </w:rPr>
      </w:pPr>
      <w:r w:rsidRPr="001561FC">
        <w:rPr>
          <w:szCs w:val="20"/>
        </w:rPr>
        <w:t xml:space="preserve">Figur </w:t>
      </w:r>
      <w:r w:rsidR="00A70997" w:rsidRPr="001561FC">
        <w:rPr>
          <w:szCs w:val="20"/>
        </w:rPr>
        <w:t>2.</w:t>
      </w:r>
      <w:r w:rsidRPr="001561FC">
        <w:rPr>
          <w:szCs w:val="20"/>
        </w:rPr>
        <w:t>1. ’Debutalder’ i RUKS for KOL populationen pr. 1. januar 2013, målt som den første dato for kontakt i LPR eller først</w:t>
      </w:r>
      <w:r w:rsidR="00A70997" w:rsidRPr="001561FC">
        <w:rPr>
          <w:szCs w:val="20"/>
        </w:rPr>
        <w:t>e</w:t>
      </w:r>
      <w:r w:rsidR="001561FC" w:rsidRPr="001561FC">
        <w:rPr>
          <w:szCs w:val="20"/>
        </w:rPr>
        <w:t xml:space="preserve"> indløsning af recept af</w:t>
      </w:r>
      <w:r w:rsidR="00A70997" w:rsidRPr="001561FC">
        <w:rPr>
          <w:szCs w:val="20"/>
        </w:rPr>
        <w:t xml:space="preserve"> </w:t>
      </w:r>
      <w:r w:rsidRPr="001561FC">
        <w:rPr>
          <w:szCs w:val="20"/>
        </w:rPr>
        <w:t xml:space="preserve">astmamedicin (ATC-gruppe R03). </w:t>
      </w:r>
    </w:p>
    <w:p w:rsidR="00E26797" w:rsidRDefault="00E26797" w:rsidP="00E26797">
      <w:pPr>
        <w:rPr>
          <w:sz w:val="22"/>
        </w:rPr>
      </w:pPr>
    </w:p>
    <w:p w:rsidR="00E26797" w:rsidRDefault="0056389D" w:rsidP="00E26797">
      <w:pPr>
        <w:rPr>
          <w:sz w:val="22"/>
        </w:rPr>
      </w:pPr>
      <w:r>
        <w:rPr>
          <w:noProof/>
          <w:sz w:val="22"/>
          <w:lang w:eastAsia="da-DK"/>
        </w:rPr>
        <w:drawing>
          <wp:inline distT="0" distB="0" distL="0" distR="0" wp14:anchorId="18A37A4F" wp14:editId="3F4BC344">
            <wp:extent cx="5949950" cy="2560320"/>
            <wp:effectExtent l="0" t="0" r="0" b="0"/>
            <wp:docPr id="173" name="Billed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9950" cy="2560320"/>
                    </a:xfrm>
                    <a:prstGeom prst="rect">
                      <a:avLst/>
                    </a:prstGeom>
                    <a:noFill/>
                    <a:ln>
                      <a:noFill/>
                    </a:ln>
                  </pic:spPr>
                </pic:pic>
              </a:graphicData>
            </a:graphic>
          </wp:inline>
        </w:drawing>
      </w:r>
    </w:p>
    <w:p w:rsidR="00E26797" w:rsidRDefault="00E26797" w:rsidP="00E26797">
      <w:pPr>
        <w:rPr>
          <w:sz w:val="22"/>
        </w:rPr>
      </w:pPr>
    </w:p>
    <w:p w:rsidR="00E26797" w:rsidRDefault="00E26797" w:rsidP="00E26797">
      <w:pPr>
        <w:rPr>
          <w:szCs w:val="20"/>
        </w:rPr>
      </w:pPr>
      <w:r w:rsidRPr="001561FC">
        <w:rPr>
          <w:szCs w:val="20"/>
        </w:rPr>
        <w:t xml:space="preserve">Den samlede population af astma og KOL er 517.296 personer pr. 1. januar 2013. Ikke alle af disse personer har indløst recept på astmamedicin (ATC-gruppe R03) i 2012. I 2012 var der 446.591 personer, der har indløst recept på astma medicin. Sammenlignes debutalderen for population af astmapatienter med KOL patienter tyder det på, at de to populationer kan adskilles via udtræksalgoritmerne uden det store overlap og fejlklassificering (se figur </w:t>
      </w:r>
      <w:r w:rsidR="00A70997" w:rsidRPr="001561FC">
        <w:rPr>
          <w:szCs w:val="20"/>
        </w:rPr>
        <w:t>2.</w:t>
      </w:r>
      <w:r w:rsidRPr="001561FC">
        <w:rPr>
          <w:szCs w:val="20"/>
        </w:rPr>
        <w:t>2).</w:t>
      </w:r>
    </w:p>
    <w:p w:rsidR="001561FC" w:rsidRDefault="001561FC" w:rsidP="00E26797">
      <w:pPr>
        <w:rPr>
          <w:szCs w:val="20"/>
        </w:rPr>
      </w:pPr>
    </w:p>
    <w:p w:rsidR="001561FC" w:rsidRPr="001561FC" w:rsidRDefault="001561FC" w:rsidP="00E26797">
      <w:pPr>
        <w:rPr>
          <w:szCs w:val="20"/>
        </w:rPr>
      </w:pPr>
    </w:p>
    <w:p w:rsidR="00E26797" w:rsidRPr="001561FC" w:rsidRDefault="00E26797" w:rsidP="00E26797">
      <w:pPr>
        <w:rPr>
          <w:szCs w:val="20"/>
        </w:rPr>
      </w:pPr>
    </w:p>
    <w:p w:rsidR="00E26797" w:rsidRPr="001561FC" w:rsidRDefault="00E26797" w:rsidP="00E26797">
      <w:pPr>
        <w:rPr>
          <w:szCs w:val="20"/>
        </w:rPr>
      </w:pPr>
      <w:r w:rsidRPr="001561FC">
        <w:rPr>
          <w:szCs w:val="20"/>
        </w:rPr>
        <w:t xml:space="preserve">Figur </w:t>
      </w:r>
      <w:r w:rsidR="00A70997" w:rsidRPr="001561FC">
        <w:rPr>
          <w:szCs w:val="20"/>
        </w:rPr>
        <w:t>2.</w:t>
      </w:r>
      <w:r w:rsidRPr="001561FC">
        <w:rPr>
          <w:szCs w:val="20"/>
        </w:rPr>
        <w:t>2. ’Debutalder’ i RUKS for astma population og KOL population. Kun astmapatienter der er debuteret senere end 5 års alderen er vist på figuren for at kunne se nuancerne i de ældre aldersgrupper.</w:t>
      </w:r>
    </w:p>
    <w:p w:rsidR="00E26797" w:rsidRDefault="00E26797" w:rsidP="00E26797">
      <w:pPr>
        <w:rPr>
          <w:sz w:val="22"/>
        </w:rPr>
      </w:pPr>
    </w:p>
    <w:p w:rsidR="00E26797" w:rsidRDefault="005B21FC" w:rsidP="00E26797">
      <w:pPr>
        <w:rPr>
          <w:sz w:val="22"/>
        </w:rPr>
      </w:pPr>
      <w:r>
        <w:rPr>
          <w:noProof/>
          <w:sz w:val="22"/>
          <w:lang w:eastAsia="da-DK"/>
        </w:rPr>
        <w:drawing>
          <wp:inline distT="0" distB="0" distL="0" distR="0" wp14:anchorId="5F7B72D5" wp14:editId="74596F1F">
            <wp:extent cx="6151245" cy="2889885"/>
            <wp:effectExtent l="0" t="0" r="1905" b="5715"/>
            <wp:docPr id="174" name="Billed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1245" cy="2889885"/>
                    </a:xfrm>
                    <a:prstGeom prst="rect">
                      <a:avLst/>
                    </a:prstGeom>
                    <a:noFill/>
                  </pic:spPr>
                </pic:pic>
              </a:graphicData>
            </a:graphic>
          </wp:inline>
        </w:drawing>
      </w:r>
    </w:p>
    <w:p w:rsidR="00E26797" w:rsidRDefault="00E26797" w:rsidP="00E26797">
      <w:pPr>
        <w:rPr>
          <w:sz w:val="22"/>
        </w:rPr>
      </w:pPr>
    </w:p>
    <w:p w:rsidR="00E26797" w:rsidRPr="001561FC" w:rsidRDefault="00E26797" w:rsidP="00E26797">
      <w:pPr>
        <w:rPr>
          <w:szCs w:val="20"/>
        </w:rPr>
      </w:pPr>
    </w:p>
    <w:p w:rsidR="00E26797" w:rsidRPr="001561FC" w:rsidRDefault="00E26797" w:rsidP="00E26797">
      <w:pPr>
        <w:pStyle w:val="Overskrift2"/>
        <w:rPr>
          <w:b/>
          <w:sz w:val="20"/>
          <w:szCs w:val="20"/>
        </w:rPr>
      </w:pPr>
      <w:bookmarkStart w:id="22" w:name="_Toc391624659"/>
      <w:r w:rsidRPr="001561FC">
        <w:rPr>
          <w:b/>
          <w:sz w:val="20"/>
          <w:szCs w:val="20"/>
        </w:rPr>
        <w:t>Antal personer med KOL 2007 til 2013 i RUKS</w:t>
      </w:r>
      <w:bookmarkEnd w:id="22"/>
    </w:p>
    <w:p w:rsidR="00A70997" w:rsidRPr="001561FC" w:rsidRDefault="00A70997" w:rsidP="00A70997">
      <w:pPr>
        <w:rPr>
          <w:szCs w:val="20"/>
        </w:rPr>
      </w:pPr>
    </w:p>
    <w:p w:rsidR="00E26797" w:rsidRPr="001561FC" w:rsidRDefault="00E26797" w:rsidP="00E26797">
      <w:pPr>
        <w:rPr>
          <w:szCs w:val="20"/>
        </w:rPr>
      </w:pPr>
      <w:r w:rsidRPr="001561FC">
        <w:rPr>
          <w:szCs w:val="20"/>
        </w:rPr>
        <w:t xml:space="preserve">Tabel </w:t>
      </w:r>
      <w:r w:rsidR="00A70997" w:rsidRPr="001561FC">
        <w:rPr>
          <w:szCs w:val="20"/>
        </w:rPr>
        <w:t>2.</w:t>
      </w:r>
      <w:r w:rsidRPr="001561FC">
        <w:rPr>
          <w:szCs w:val="20"/>
        </w:rPr>
        <w:t>1. Prævalens af personer i RUKS pr. 1. januar det pågældende år.</w:t>
      </w:r>
    </w:p>
    <w:p w:rsidR="00E26797" w:rsidRPr="001561FC" w:rsidRDefault="00E26797" w:rsidP="00E26797">
      <w:pPr>
        <w:rPr>
          <w:b/>
          <w:szCs w:val="20"/>
        </w:rPr>
      </w:pPr>
    </w:p>
    <w:tbl>
      <w:tblPr>
        <w:tblStyle w:val="Tabel-Gitter"/>
        <w:tblW w:w="0" w:type="auto"/>
        <w:tblLook w:val="04A0" w:firstRow="1" w:lastRow="0" w:firstColumn="1" w:lastColumn="0" w:noHBand="0" w:noVBand="1"/>
      </w:tblPr>
      <w:tblGrid>
        <w:gridCol w:w="1374"/>
        <w:gridCol w:w="1375"/>
        <w:gridCol w:w="1375"/>
        <w:gridCol w:w="1376"/>
        <w:gridCol w:w="1376"/>
        <w:gridCol w:w="1376"/>
        <w:gridCol w:w="1376"/>
      </w:tblGrid>
      <w:tr w:rsidR="00614866" w:rsidRPr="001561FC" w:rsidTr="00E26797">
        <w:tc>
          <w:tcPr>
            <w:tcW w:w="1396" w:type="dxa"/>
          </w:tcPr>
          <w:p w:rsidR="00E26797" w:rsidRPr="001561FC" w:rsidRDefault="00E26797" w:rsidP="00E26797">
            <w:pPr>
              <w:jc w:val="center"/>
              <w:rPr>
                <w:b/>
                <w:szCs w:val="20"/>
              </w:rPr>
            </w:pPr>
            <w:r w:rsidRPr="001561FC">
              <w:rPr>
                <w:b/>
                <w:szCs w:val="20"/>
              </w:rPr>
              <w:t>2007</w:t>
            </w:r>
          </w:p>
        </w:tc>
        <w:tc>
          <w:tcPr>
            <w:tcW w:w="1397" w:type="dxa"/>
          </w:tcPr>
          <w:p w:rsidR="00E26797" w:rsidRPr="001561FC" w:rsidRDefault="00E26797" w:rsidP="00E26797">
            <w:pPr>
              <w:jc w:val="center"/>
              <w:rPr>
                <w:b/>
                <w:szCs w:val="20"/>
              </w:rPr>
            </w:pPr>
            <w:r w:rsidRPr="001561FC">
              <w:rPr>
                <w:b/>
                <w:szCs w:val="20"/>
              </w:rPr>
              <w:t>2008</w:t>
            </w:r>
          </w:p>
        </w:tc>
        <w:tc>
          <w:tcPr>
            <w:tcW w:w="1397" w:type="dxa"/>
          </w:tcPr>
          <w:p w:rsidR="00E26797" w:rsidRPr="001561FC" w:rsidRDefault="00E26797" w:rsidP="00E26797">
            <w:pPr>
              <w:jc w:val="center"/>
              <w:rPr>
                <w:b/>
                <w:szCs w:val="20"/>
              </w:rPr>
            </w:pPr>
            <w:r w:rsidRPr="001561FC">
              <w:rPr>
                <w:b/>
                <w:szCs w:val="20"/>
              </w:rPr>
              <w:t>2009</w:t>
            </w:r>
          </w:p>
        </w:tc>
        <w:tc>
          <w:tcPr>
            <w:tcW w:w="1397" w:type="dxa"/>
          </w:tcPr>
          <w:p w:rsidR="00E26797" w:rsidRPr="001561FC" w:rsidRDefault="00E26797" w:rsidP="00E26797">
            <w:pPr>
              <w:jc w:val="center"/>
              <w:rPr>
                <w:b/>
                <w:szCs w:val="20"/>
              </w:rPr>
            </w:pPr>
            <w:r w:rsidRPr="001561FC">
              <w:rPr>
                <w:b/>
                <w:szCs w:val="20"/>
              </w:rPr>
              <w:t>2010</w:t>
            </w:r>
          </w:p>
        </w:tc>
        <w:tc>
          <w:tcPr>
            <w:tcW w:w="1397" w:type="dxa"/>
          </w:tcPr>
          <w:p w:rsidR="00E26797" w:rsidRPr="001561FC" w:rsidRDefault="00E26797" w:rsidP="00E26797">
            <w:pPr>
              <w:jc w:val="center"/>
              <w:rPr>
                <w:b/>
                <w:szCs w:val="20"/>
              </w:rPr>
            </w:pPr>
            <w:r w:rsidRPr="001561FC">
              <w:rPr>
                <w:b/>
                <w:szCs w:val="20"/>
              </w:rPr>
              <w:t>2011</w:t>
            </w:r>
          </w:p>
        </w:tc>
        <w:tc>
          <w:tcPr>
            <w:tcW w:w="1397" w:type="dxa"/>
          </w:tcPr>
          <w:p w:rsidR="00E26797" w:rsidRPr="001561FC" w:rsidRDefault="00E26797" w:rsidP="00E26797">
            <w:pPr>
              <w:jc w:val="center"/>
              <w:rPr>
                <w:b/>
                <w:szCs w:val="20"/>
              </w:rPr>
            </w:pPr>
            <w:r w:rsidRPr="001561FC">
              <w:rPr>
                <w:b/>
                <w:szCs w:val="20"/>
              </w:rPr>
              <w:t>2012</w:t>
            </w:r>
          </w:p>
        </w:tc>
        <w:tc>
          <w:tcPr>
            <w:tcW w:w="1397" w:type="dxa"/>
          </w:tcPr>
          <w:p w:rsidR="00E26797" w:rsidRPr="001561FC" w:rsidRDefault="00E26797" w:rsidP="00E26797">
            <w:pPr>
              <w:jc w:val="center"/>
              <w:rPr>
                <w:b/>
                <w:szCs w:val="20"/>
              </w:rPr>
            </w:pPr>
            <w:r w:rsidRPr="001561FC">
              <w:rPr>
                <w:b/>
                <w:szCs w:val="20"/>
              </w:rPr>
              <w:t>2013</w:t>
            </w:r>
          </w:p>
        </w:tc>
      </w:tr>
      <w:tr w:rsidR="00614866" w:rsidRPr="001561FC" w:rsidTr="00E26797">
        <w:tc>
          <w:tcPr>
            <w:tcW w:w="1396" w:type="dxa"/>
          </w:tcPr>
          <w:p w:rsidR="00E26797" w:rsidRPr="001561FC" w:rsidRDefault="00614866" w:rsidP="00E26797">
            <w:pPr>
              <w:jc w:val="center"/>
              <w:rPr>
                <w:szCs w:val="20"/>
              </w:rPr>
            </w:pPr>
            <w:r>
              <w:rPr>
                <w:szCs w:val="20"/>
              </w:rPr>
              <w:t>148.460</w:t>
            </w:r>
          </w:p>
        </w:tc>
        <w:tc>
          <w:tcPr>
            <w:tcW w:w="1397" w:type="dxa"/>
          </w:tcPr>
          <w:p w:rsidR="00E26797" w:rsidRPr="001561FC" w:rsidRDefault="00614866" w:rsidP="00E26797">
            <w:pPr>
              <w:jc w:val="center"/>
              <w:rPr>
                <w:szCs w:val="20"/>
              </w:rPr>
            </w:pPr>
            <w:r>
              <w:rPr>
                <w:szCs w:val="20"/>
              </w:rPr>
              <w:t>151.011</w:t>
            </w:r>
          </w:p>
        </w:tc>
        <w:tc>
          <w:tcPr>
            <w:tcW w:w="1397" w:type="dxa"/>
          </w:tcPr>
          <w:p w:rsidR="00E26797" w:rsidRPr="001561FC" w:rsidRDefault="00614866" w:rsidP="00E26797">
            <w:pPr>
              <w:jc w:val="center"/>
              <w:rPr>
                <w:szCs w:val="20"/>
              </w:rPr>
            </w:pPr>
            <w:r>
              <w:rPr>
                <w:szCs w:val="20"/>
              </w:rPr>
              <w:t>152.823</w:t>
            </w:r>
          </w:p>
        </w:tc>
        <w:tc>
          <w:tcPr>
            <w:tcW w:w="1397" w:type="dxa"/>
          </w:tcPr>
          <w:p w:rsidR="00E26797" w:rsidRPr="001561FC" w:rsidRDefault="00614866" w:rsidP="00E26797">
            <w:pPr>
              <w:jc w:val="center"/>
              <w:rPr>
                <w:szCs w:val="20"/>
              </w:rPr>
            </w:pPr>
            <w:r>
              <w:rPr>
                <w:szCs w:val="20"/>
              </w:rPr>
              <w:t>154.069</w:t>
            </w:r>
          </w:p>
        </w:tc>
        <w:tc>
          <w:tcPr>
            <w:tcW w:w="1397" w:type="dxa"/>
          </w:tcPr>
          <w:p w:rsidR="00E26797" w:rsidRPr="001561FC" w:rsidRDefault="00614866" w:rsidP="00E26797">
            <w:pPr>
              <w:jc w:val="center"/>
              <w:rPr>
                <w:szCs w:val="20"/>
              </w:rPr>
            </w:pPr>
            <w:r>
              <w:rPr>
                <w:szCs w:val="20"/>
              </w:rPr>
              <w:t>155.436</w:t>
            </w:r>
          </w:p>
        </w:tc>
        <w:tc>
          <w:tcPr>
            <w:tcW w:w="1397" w:type="dxa"/>
          </w:tcPr>
          <w:p w:rsidR="00E26797" w:rsidRPr="001561FC" w:rsidRDefault="00614866" w:rsidP="00E26797">
            <w:pPr>
              <w:jc w:val="center"/>
              <w:rPr>
                <w:szCs w:val="20"/>
              </w:rPr>
            </w:pPr>
            <w:r>
              <w:rPr>
                <w:szCs w:val="20"/>
              </w:rPr>
              <w:t>156.044</w:t>
            </w:r>
          </w:p>
        </w:tc>
        <w:tc>
          <w:tcPr>
            <w:tcW w:w="1397" w:type="dxa"/>
          </w:tcPr>
          <w:p w:rsidR="00E26797" w:rsidRPr="001561FC" w:rsidRDefault="00614866" w:rsidP="00E26797">
            <w:pPr>
              <w:jc w:val="center"/>
              <w:rPr>
                <w:szCs w:val="20"/>
              </w:rPr>
            </w:pPr>
            <w:r>
              <w:rPr>
                <w:szCs w:val="20"/>
              </w:rPr>
              <w:t>154.941</w:t>
            </w:r>
          </w:p>
        </w:tc>
      </w:tr>
    </w:tbl>
    <w:p w:rsidR="00E26797" w:rsidRPr="001561FC" w:rsidRDefault="00E26797" w:rsidP="00E26797">
      <w:pPr>
        <w:rPr>
          <w:szCs w:val="20"/>
        </w:rPr>
      </w:pPr>
    </w:p>
    <w:p w:rsidR="00E26797" w:rsidRPr="001561FC" w:rsidRDefault="00E26797" w:rsidP="00E26797">
      <w:pPr>
        <w:rPr>
          <w:szCs w:val="20"/>
        </w:rPr>
      </w:pPr>
      <w:r w:rsidRPr="001561FC">
        <w:rPr>
          <w:szCs w:val="20"/>
        </w:rPr>
        <w:t>Der har været en stigning i prævalens af KOL patienter op til 2013, som nu ses at afløses af et fald. Årsagen er,</w:t>
      </w:r>
      <w:r w:rsidRPr="001561FC">
        <w:rPr>
          <w:b/>
          <w:szCs w:val="20"/>
        </w:rPr>
        <w:t xml:space="preserve"> </w:t>
      </w:r>
      <w:r w:rsidRPr="001561FC">
        <w:rPr>
          <w:szCs w:val="20"/>
        </w:rPr>
        <w:t xml:space="preserve">at der førhen er tilkommet flere nye patienter (incidens) end der døde (mortalitet). Dødeligheden har dog været stigende og ligger nu højere end tilgangen af nye patienter, se figur </w:t>
      </w:r>
      <w:r w:rsidR="00DA2197">
        <w:rPr>
          <w:szCs w:val="20"/>
        </w:rPr>
        <w:t>2.</w:t>
      </w:r>
      <w:r w:rsidRPr="001561FC">
        <w:rPr>
          <w:szCs w:val="20"/>
        </w:rPr>
        <w:t>3.</w:t>
      </w:r>
    </w:p>
    <w:p w:rsidR="00E26797" w:rsidRPr="001561FC" w:rsidRDefault="00E26797" w:rsidP="00E26797">
      <w:pPr>
        <w:rPr>
          <w:szCs w:val="20"/>
        </w:rPr>
      </w:pPr>
    </w:p>
    <w:p w:rsidR="00E26797" w:rsidRPr="001561FC" w:rsidRDefault="00E26797" w:rsidP="00E26797">
      <w:pPr>
        <w:rPr>
          <w:szCs w:val="20"/>
        </w:rPr>
      </w:pPr>
      <w:r w:rsidRPr="001561FC">
        <w:rPr>
          <w:szCs w:val="20"/>
        </w:rPr>
        <w:t xml:space="preserve">Incidensen vil falde jo nærmere opgørelsen vil være på opdateringstidspunktet, da personer først bliver klassificerede som KOL patienter, når der er indsamlet en vis mængde information. Klassificeringen foregår derefter bagudrettet. Det anbefales derfor at opgørelsestidspunkt for mål som </w:t>
      </w:r>
      <w:r w:rsidR="000147A5" w:rsidRPr="001561FC">
        <w:rPr>
          <w:szCs w:val="20"/>
        </w:rPr>
        <w:t>fx</w:t>
      </w:r>
      <w:r w:rsidRPr="001561FC">
        <w:rPr>
          <w:szCs w:val="20"/>
        </w:rPr>
        <w:t xml:space="preserve"> prævalens, incidens og mortalitet ligger mindst 1 år før seneste opdatering.</w:t>
      </w:r>
    </w:p>
    <w:p w:rsidR="00E26797" w:rsidRDefault="00E26797" w:rsidP="00E26797">
      <w:pPr>
        <w:rPr>
          <w:szCs w:val="20"/>
        </w:rPr>
      </w:pPr>
    </w:p>
    <w:p w:rsidR="001561FC" w:rsidRDefault="001561FC" w:rsidP="00E26797">
      <w:pPr>
        <w:rPr>
          <w:szCs w:val="20"/>
        </w:rPr>
      </w:pPr>
    </w:p>
    <w:p w:rsidR="001561FC" w:rsidRPr="001561FC" w:rsidRDefault="001561FC" w:rsidP="00E26797">
      <w:pPr>
        <w:rPr>
          <w:szCs w:val="20"/>
        </w:rPr>
      </w:pPr>
    </w:p>
    <w:p w:rsidR="00264164" w:rsidRDefault="00264164" w:rsidP="00E26797">
      <w:pPr>
        <w:rPr>
          <w:szCs w:val="20"/>
        </w:rPr>
      </w:pPr>
    </w:p>
    <w:p w:rsidR="00D66CAE" w:rsidRPr="001561FC" w:rsidRDefault="00D66CAE" w:rsidP="00E26797">
      <w:pPr>
        <w:rPr>
          <w:szCs w:val="20"/>
        </w:rPr>
      </w:pPr>
    </w:p>
    <w:p w:rsidR="00264164" w:rsidRPr="001561FC" w:rsidRDefault="00264164" w:rsidP="00E26797">
      <w:pPr>
        <w:rPr>
          <w:szCs w:val="20"/>
        </w:rPr>
      </w:pPr>
    </w:p>
    <w:p w:rsidR="00E26797" w:rsidRDefault="00E26797" w:rsidP="00E26797">
      <w:pPr>
        <w:rPr>
          <w:szCs w:val="20"/>
        </w:rPr>
      </w:pPr>
      <w:r w:rsidRPr="001561FC">
        <w:rPr>
          <w:szCs w:val="20"/>
        </w:rPr>
        <w:t xml:space="preserve">Figur </w:t>
      </w:r>
      <w:r w:rsidR="00A70997" w:rsidRPr="001561FC">
        <w:rPr>
          <w:szCs w:val="20"/>
        </w:rPr>
        <w:t>2.</w:t>
      </w:r>
      <w:r w:rsidRPr="001561FC">
        <w:rPr>
          <w:szCs w:val="20"/>
        </w:rPr>
        <w:t>3. Forekomst (prævalens), tilgang (incidens) og dødelighed (mortalitet) af KOL population i RUKS.</w:t>
      </w:r>
    </w:p>
    <w:p w:rsidR="00D66CAE" w:rsidRPr="001561FC" w:rsidRDefault="00D66CAE" w:rsidP="00E26797">
      <w:pPr>
        <w:rPr>
          <w:szCs w:val="20"/>
        </w:rPr>
      </w:pPr>
    </w:p>
    <w:p w:rsidR="00E26797" w:rsidRDefault="00B43590" w:rsidP="00E26797">
      <w:pPr>
        <w:rPr>
          <w:sz w:val="22"/>
        </w:rPr>
      </w:pPr>
      <w:r>
        <w:rPr>
          <w:noProof/>
          <w:sz w:val="22"/>
          <w:lang w:eastAsia="da-DK"/>
        </w:rPr>
        <w:drawing>
          <wp:inline distT="0" distB="0" distL="0" distR="0" wp14:anchorId="4EDF0914">
            <wp:extent cx="5495925" cy="2620260"/>
            <wp:effectExtent l="0" t="0" r="0" b="8890"/>
            <wp:docPr id="238" name="Billed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4717" cy="2643522"/>
                    </a:xfrm>
                    <a:prstGeom prst="rect">
                      <a:avLst/>
                    </a:prstGeom>
                    <a:noFill/>
                  </pic:spPr>
                </pic:pic>
              </a:graphicData>
            </a:graphic>
          </wp:inline>
        </w:drawing>
      </w:r>
    </w:p>
    <w:p w:rsidR="00E26797" w:rsidRPr="00264164" w:rsidRDefault="00E26797" w:rsidP="00E26797">
      <w:pPr>
        <w:rPr>
          <w:sz w:val="22"/>
        </w:rPr>
      </w:pPr>
    </w:p>
    <w:p w:rsidR="00E26797" w:rsidRDefault="00E26797" w:rsidP="00E26797">
      <w:pPr>
        <w:rPr>
          <w:b/>
          <w:sz w:val="22"/>
        </w:rPr>
      </w:pPr>
    </w:p>
    <w:p w:rsidR="00E26797" w:rsidRPr="001561FC" w:rsidRDefault="00E26797" w:rsidP="00E26797">
      <w:pPr>
        <w:pStyle w:val="Overskrift2"/>
        <w:rPr>
          <w:b/>
          <w:sz w:val="20"/>
          <w:szCs w:val="20"/>
        </w:rPr>
      </w:pPr>
      <w:bookmarkStart w:id="23" w:name="_Toc391624660"/>
      <w:r w:rsidRPr="001561FC">
        <w:rPr>
          <w:b/>
          <w:sz w:val="20"/>
          <w:szCs w:val="20"/>
        </w:rPr>
        <w:t>Andre kilders oplysninger</w:t>
      </w:r>
      <w:bookmarkEnd w:id="23"/>
    </w:p>
    <w:p w:rsidR="00E26797" w:rsidRPr="001561FC" w:rsidRDefault="00E26797" w:rsidP="00E26797">
      <w:pPr>
        <w:rPr>
          <w:szCs w:val="20"/>
        </w:rPr>
      </w:pPr>
    </w:p>
    <w:p w:rsidR="00E26797" w:rsidRPr="001561FC" w:rsidRDefault="00E26797" w:rsidP="00E26797">
      <w:pPr>
        <w:rPr>
          <w:szCs w:val="20"/>
        </w:rPr>
      </w:pPr>
      <w:r w:rsidRPr="001561FC">
        <w:rPr>
          <w:szCs w:val="20"/>
        </w:rPr>
        <w:t>I Sundhedsprofil 2013 har forskerne spurgt til ’kronisk lungesygdom’ og estimerer på baggrund af spørgeskemaundersøgelsen antal personer med KOL på landsplan til 200.000 personer</w:t>
      </w:r>
      <w:r w:rsidRPr="001561FC">
        <w:rPr>
          <w:szCs w:val="20"/>
          <w:vertAlign w:val="superscript"/>
        </w:rPr>
        <w:fldChar w:fldCharType="begin"/>
      </w:r>
      <w:r w:rsidRPr="001561FC">
        <w:rPr>
          <w:szCs w:val="20"/>
          <w:vertAlign w:val="superscript"/>
        </w:rPr>
        <w:instrText xml:space="preserve"> NOTEREF _Ref390888737 \h  \* MERGEFORMAT </w:instrText>
      </w:r>
      <w:r w:rsidRPr="001561FC">
        <w:rPr>
          <w:szCs w:val="20"/>
          <w:vertAlign w:val="superscript"/>
        </w:rPr>
      </w:r>
      <w:r w:rsidRPr="001561FC">
        <w:rPr>
          <w:szCs w:val="20"/>
          <w:vertAlign w:val="superscript"/>
        </w:rPr>
        <w:fldChar w:fldCharType="separate"/>
      </w:r>
      <w:r w:rsidR="00581054">
        <w:rPr>
          <w:szCs w:val="20"/>
          <w:vertAlign w:val="superscript"/>
        </w:rPr>
        <w:t>4</w:t>
      </w:r>
      <w:r w:rsidRPr="001561FC">
        <w:rPr>
          <w:szCs w:val="20"/>
          <w:vertAlign w:val="superscript"/>
        </w:rPr>
        <w:fldChar w:fldCharType="end"/>
      </w:r>
      <w:r w:rsidRPr="001561FC">
        <w:rPr>
          <w:szCs w:val="20"/>
        </w:rPr>
        <w:t>. Sundhedsprofil 2013 har foruden KOL, også inkluderet emfysem og kronisk bronkitis i spørgsmålet om kronisk lungesygdom</w:t>
      </w:r>
      <w:bookmarkStart w:id="24" w:name="_Ref390892004"/>
      <w:r w:rsidRPr="001561FC">
        <w:rPr>
          <w:rStyle w:val="Slutnotehenvisning"/>
          <w:szCs w:val="20"/>
        </w:rPr>
        <w:endnoteReference w:id="7"/>
      </w:r>
      <w:bookmarkEnd w:id="24"/>
      <w:r w:rsidRPr="001561FC">
        <w:rPr>
          <w:szCs w:val="20"/>
        </w:rPr>
        <w:t>. Kronisk bronkitis er en længerevarende betændelsestilstand, der giver anledning til daglig hoste og opspyt ad slim fra lungerne. Diagnosen kronisk bronkitis stilles alene på baggrund af rapporterede symptomer fra patienten. Kronisk bronkitis er således ikke det samme som KOL, men kan være et forstadie til KOL</w:t>
      </w:r>
      <w:r w:rsidRPr="001561FC">
        <w:rPr>
          <w:rStyle w:val="Slutnotehenvisning"/>
          <w:szCs w:val="20"/>
        </w:rPr>
        <w:endnoteReference w:id="8"/>
      </w:r>
      <w:r w:rsidRPr="001561FC">
        <w:rPr>
          <w:szCs w:val="20"/>
        </w:rPr>
        <w:t xml:space="preserve">. </w:t>
      </w:r>
    </w:p>
    <w:p w:rsidR="00E26797" w:rsidRPr="001561FC" w:rsidRDefault="00E26797" w:rsidP="00E26797">
      <w:pPr>
        <w:rPr>
          <w:szCs w:val="20"/>
        </w:rPr>
      </w:pPr>
    </w:p>
    <w:p w:rsidR="00E26797" w:rsidRPr="001561FC" w:rsidRDefault="00E26797" w:rsidP="00E26797">
      <w:pPr>
        <w:rPr>
          <w:szCs w:val="20"/>
        </w:rPr>
      </w:pPr>
      <w:r w:rsidRPr="001561FC">
        <w:rPr>
          <w:szCs w:val="20"/>
        </w:rPr>
        <w:t xml:space="preserve"> I en artikel fra 2013 har forskere opgjort antallet af KOL patienter ud fra antal af patienter med F44 og underkoder som aktions- eller bidiagnose i perioden 1998 til 2010 og får det til 171.557 personer</w:t>
      </w:r>
      <w:r w:rsidRPr="001561FC">
        <w:rPr>
          <w:rStyle w:val="Slutnotehenvisning"/>
          <w:szCs w:val="20"/>
        </w:rPr>
        <w:endnoteReference w:id="9"/>
      </w:r>
      <w:r w:rsidRPr="001561FC">
        <w:rPr>
          <w:szCs w:val="20"/>
        </w:rPr>
        <w:t>. I denne artikel frasorteredes ikke evt. børn der var blevet misklassificeret med J44.8, og der sås 2.269 under 20 år med KOL. I en anden artikel fra samme forfattergruppe på samme materiale, frasorterede de alle med diagnose J44.8, og fik 131.811 personer</w:t>
      </w:r>
      <w:r w:rsidRPr="001561FC">
        <w:rPr>
          <w:rStyle w:val="Slutnotehenvisning"/>
          <w:szCs w:val="20"/>
        </w:rPr>
        <w:endnoteReference w:id="10"/>
      </w:r>
      <w:r w:rsidRPr="001561FC">
        <w:rPr>
          <w:szCs w:val="20"/>
        </w:rPr>
        <w:t>.</w:t>
      </w:r>
    </w:p>
    <w:p w:rsidR="00E26797" w:rsidRPr="001561FC" w:rsidRDefault="00E26797" w:rsidP="00E26797">
      <w:pPr>
        <w:rPr>
          <w:szCs w:val="20"/>
        </w:rPr>
      </w:pPr>
    </w:p>
    <w:p w:rsidR="00E26797" w:rsidRPr="001561FC" w:rsidRDefault="00E26797" w:rsidP="00E26797">
      <w:pPr>
        <w:rPr>
          <w:szCs w:val="20"/>
        </w:rPr>
      </w:pPr>
      <w:r w:rsidRPr="001561FC">
        <w:rPr>
          <w:szCs w:val="20"/>
        </w:rPr>
        <w:t>På baggrund af ØBRO 4 studiet (4.908 personer, 2000-2004) estimeres forekomsten af KOL så høj som ca. 430.000 personer</w:t>
      </w:r>
      <w:r w:rsidRPr="001561FC">
        <w:rPr>
          <w:rStyle w:val="Slutnotehenvisning"/>
          <w:szCs w:val="20"/>
        </w:rPr>
        <w:endnoteReference w:id="11"/>
      </w:r>
      <w:r w:rsidRPr="001561FC">
        <w:rPr>
          <w:szCs w:val="20"/>
        </w:rPr>
        <w:t>. I dette studie måles lungefunktionen hos personer før inhalation af bronkieudvidende medicin, og prævalensen af rygere i stikprøven angives ikke, men forfatterne skriver</w:t>
      </w:r>
      <w:r w:rsidR="00F95CFB">
        <w:rPr>
          <w:szCs w:val="20"/>
        </w:rPr>
        <w:t>,</w:t>
      </w:r>
      <w:r w:rsidRPr="001561FC">
        <w:rPr>
          <w:szCs w:val="20"/>
        </w:rPr>
        <w:t xml:space="preserve"> at det væsentligste metodologiske problem ved undersøgelsen er, at den undersøgte befolkning på Østerbro og Nørrebro næppe er repræsentativ for hele den danske befolkning.</w:t>
      </w:r>
    </w:p>
    <w:p w:rsidR="00E26797" w:rsidRPr="001561FC" w:rsidRDefault="00E26797" w:rsidP="00E26797">
      <w:pPr>
        <w:rPr>
          <w:szCs w:val="20"/>
        </w:rPr>
      </w:pPr>
      <w:r w:rsidRPr="001561FC">
        <w:rPr>
          <w:szCs w:val="20"/>
        </w:rPr>
        <w:t>Det Nordjyske Multipatientundersøgelse (4.535</w:t>
      </w:r>
      <w:r w:rsidR="00F95CFB">
        <w:rPr>
          <w:szCs w:val="20"/>
        </w:rPr>
        <w:t xml:space="preserve"> personer</w:t>
      </w:r>
      <w:r w:rsidRPr="001561FC">
        <w:rPr>
          <w:szCs w:val="20"/>
        </w:rPr>
        <w:t>, 2004-2006) angiver forekomsten til 68.000-91.000 kvinder og 97.000-130.000 mænd</w:t>
      </w:r>
      <w:r w:rsidRPr="001561FC">
        <w:rPr>
          <w:rStyle w:val="Slutnotehenvisning"/>
          <w:szCs w:val="20"/>
        </w:rPr>
        <w:endnoteReference w:id="12"/>
      </w:r>
      <w:r w:rsidRPr="001561FC">
        <w:rPr>
          <w:szCs w:val="20"/>
        </w:rPr>
        <w:t>. I denne undersøgelse måltes lungefunktionen efter inhalation af lungeudvidende medicin.</w:t>
      </w:r>
    </w:p>
    <w:p w:rsidR="00E26797" w:rsidRPr="001561FC" w:rsidRDefault="00E26797" w:rsidP="00E26797">
      <w:pPr>
        <w:rPr>
          <w:szCs w:val="20"/>
        </w:rPr>
      </w:pPr>
    </w:p>
    <w:p w:rsidR="00E26797" w:rsidRPr="001561FC" w:rsidRDefault="00E26797" w:rsidP="00E26797">
      <w:pPr>
        <w:pStyle w:val="Overskrift2"/>
        <w:rPr>
          <w:b/>
          <w:sz w:val="20"/>
          <w:szCs w:val="20"/>
        </w:rPr>
      </w:pPr>
      <w:bookmarkStart w:id="25" w:name="_Toc391624661"/>
      <w:r w:rsidRPr="001561FC">
        <w:rPr>
          <w:b/>
          <w:sz w:val="20"/>
          <w:szCs w:val="20"/>
        </w:rPr>
        <w:t>Forbehold ved udvælgelsen</w:t>
      </w:r>
      <w:bookmarkEnd w:id="25"/>
    </w:p>
    <w:p w:rsidR="00E26797" w:rsidRPr="001561FC" w:rsidRDefault="00E26797" w:rsidP="00E26797">
      <w:pPr>
        <w:rPr>
          <w:szCs w:val="20"/>
        </w:rPr>
      </w:pPr>
    </w:p>
    <w:p w:rsidR="00E26797" w:rsidRPr="001561FC" w:rsidRDefault="00E26797" w:rsidP="00E26797">
      <w:pPr>
        <w:rPr>
          <w:szCs w:val="20"/>
        </w:rPr>
      </w:pPr>
      <w:r w:rsidRPr="001561FC">
        <w:rPr>
          <w:szCs w:val="20"/>
        </w:rPr>
        <w:t>Udvælgelsen er sket på baggrund af en udtræksalgoritme fra registre. Udtræksalgoritmen er ikke valideret. Validering vil kræve journalgennemgang af journaler på sygehuse og hos læger i primærsektoren.</w:t>
      </w:r>
    </w:p>
    <w:p w:rsidR="00E26797" w:rsidRPr="001561FC" w:rsidRDefault="00E26797" w:rsidP="00E26797">
      <w:pPr>
        <w:rPr>
          <w:szCs w:val="20"/>
        </w:rPr>
      </w:pPr>
    </w:p>
    <w:p w:rsidR="00E26797" w:rsidRPr="001561FC" w:rsidRDefault="00E26797" w:rsidP="00E26797">
      <w:pPr>
        <w:rPr>
          <w:szCs w:val="20"/>
        </w:rPr>
      </w:pPr>
      <w:r w:rsidRPr="001561FC">
        <w:rPr>
          <w:szCs w:val="20"/>
        </w:rPr>
        <w:t>En KOL klassifikation er vægtet højere end en astma klassifikation. Astmatikere, der senere udvikler KOL, vil kun optræde som KOL patienter. Hvor mange personer, der har begge sygdomme kan derfor ikke opgøres. Debutalderen for personer med astma, der udvikler KOL, vil blive udregnet som første kontakt med en KOL diagnose eller første indløsning af en recept på astma medicin. Debutalderen for disse vil derfor kunne være kunstig lav, da den i mange tilfælde formentlig vil afspejle deres medicindebut for astma.</w:t>
      </w:r>
    </w:p>
    <w:p w:rsidR="00E26797" w:rsidRPr="001561FC" w:rsidRDefault="00E26797" w:rsidP="00E26797">
      <w:pPr>
        <w:rPr>
          <w:szCs w:val="20"/>
        </w:rPr>
      </w:pPr>
    </w:p>
    <w:p w:rsidR="00E26797" w:rsidRPr="001561FC" w:rsidRDefault="00E26797" w:rsidP="00E26797">
      <w:pPr>
        <w:rPr>
          <w:szCs w:val="20"/>
        </w:rPr>
      </w:pPr>
      <w:r w:rsidRPr="001561FC">
        <w:rPr>
          <w:szCs w:val="20"/>
        </w:rPr>
        <w:t xml:space="preserve">Der er anvendt specifikke indikationskoder og lægemidler kun godkendt til KOL til identifikation af KOL patienter i Lægemiddelstatistikregisteret. Lægemidler udskrives dog også nogle gange til andre indikationer end den godkendte, såkaldt off-label, </w:t>
      </w:r>
      <w:r w:rsidR="000147A5" w:rsidRPr="001561FC">
        <w:rPr>
          <w:szCs w:val="20"/>
        </w:rPr>
        <w:t>fx</w:t>
      </w:r>
      <w:r w:rsidRPr="001561FC">
        <w:rPr>
          <w:szCs w:val="20"/>
        </w:rPr>
        <w:t xml:space="preserve"> har der været reklameret for at tiotropium (R03BB04) kan anvendes til astma</w:t>
      </w:r>
      <w:r w:rsidRPr="001561FC">
        <w:rPr>
          <w:rStyle w:val="Slutnotehenvisning"/>
          <w:szCs w:val="20"/>
        </w:rPr>
        <w:endnoteReference w:id="13"/>
      </w:r>
      <w:r w:rsidRPr="001561FC">
        <w:rPr>
          <w:szCs w:val="20"/>
        </w:rPr>
        <w:t>. Astmatikere, der har fået KOL-medicin off-label mere end én gang vil derfor blive misklassificerede som KOL patienter.</w:t>
      </w:r>
    </w:p>
    <w:p w:rsidR="00E26797" w:rsidRPr="001561FC" w:rsidRDefault="00E26797" w:rsidP="00E26797">
      <w:pPr>
        <w:rPr>
          <w:szCs w:val="20"/>
        </w:rPr>
      </w:pPr>
    </w:p>
    <w:p w:rsidR="00E26797" w:rsidRPr="001561FC" w:rsidRDefault="00E26797" w:rsidP="00E26797">
      <w:pPr>
        <w:rPr>
          <w:szCs w:val="20"/>
        </w:rPr>
      </w:pPr>
      <w:r w:rsidRPr="001561FC">
        <w:rPr>
          <w:szCs w:val="20"/>
        </w:rPr>
        <w:t>Der er anvendt indikationskoder fra Lægemiddelstatistikregisteret svarende til de tekster</w:t>
      </w:r>
      <w:r w:rsidR="004E3AAB">
        <w:rPr>
          <w:szCs w:val="20"/>
        </w:rPr>
        <w:t>,</w:t>
      </w:r>
      <w:r w:rsidRPr="001561FC">
        <w:rPr>
          <w:szCs w:val="20"/>
        </w:rPr>
        <w:t xml:space="preserve"> der sættes på apotekets etiket. I lægesystemer vælges indikationer fra en dropdown liste. Der kan derfor være ’transposition errors’ – det at man ved en fejl vælger den over eller under i stedet. Det kan også være at lægen af bekvemmelig</w:t>
      </w:r>
      <w:r w:rsidR="004E3AAB">
        <w:rPr>
          <w:szCs w:val="20"/>
        </w:rPr>
        <w:t>hed</w:t>
      </w:r>
      <w:r w:rsidRPr="001561FC">
        <w:rPr>
          <w:szCs w:val="20"/>
        </w:rPr>
        <w:t xml:space="preserve"> vælger den øverste. Derudover kan der være diskretionshensyn ved valg af indikationstekst. I nogle lægesystemer kan lægen overskrive teksten med fritekst. I dette tilfælde indberettes stadig den oprindelige kode og lægen</w:t>
      </w:r>
      <w:r w:rsidR="004E3AAB">
        <w:rPr>
          <w:szCs w:val="20"/>
        </w:rPr>
        <w:t>s</w:t>
      </w:r>
      <w:r w:rsidRPr="001561FC">
        <w:rPr>
          <w:szCs w:val="20"/>
        </w:rPr>
        <w:t xml:space="preserve"> redigering kan ikke ses af Lægemidde</w:t>
      </w:r>
      <w:r w:rsidR="004E3AAB">
        <w:rPr>
          <w:szCs w:val="20"/>
        </w:rPr>
        <w:t>lstatistikregisteret. Se tabel 2.2</w:t>
      </w:r>
      <w:r w:rsidRPr="001561FC">
        <w:rPr>
          <w:szCs w:val="20"/>
        </w:rPr>
        <w:t xml:space="preserve"> for en liste over de lægemidler, der har medvirket til at inkludere personer i RUKS. </w:t>
      </w:r>
    </w:p>
    <w:p w:rsidR="00E26797" w:rsidRPr="001561FC" w:rsidRDefault="00E26797" w:rsidP="00E26797">
      <w:pPr>
        <w:rPr>
          <w:szCs w:val="20"/>
        </w:rPr>
      </w:pPr>
      <w:bookmarkStart w:id="26" w:name="IDX"/>
      <w:bookmarkEnd w:id="26"/>
    </w:p>
    <w:p w:rsidR="00E26797" w:rsidRPr="001561FC" w:rsidRDefault="00E26797" w:rsidP="00E26797">
      <w:pPr>
        <w:rPr>
          <w:szCs w:val="20"/>
        </w:rPr>
      </w:pPr>
      <w:r w:rsidRPr="001561FC">
        <w:rPr>
          <w:szCs w:val="20"/>
        </w:rPr>
        <w:t>Lægemidler, der er solgt med indikationskoder fo</w:t>
      </w:r>
      <w:r w:rsidR="004E3AAB">
        <w:rPr>
          <w:szCs w:val="20"/>
        </w:rPr>
        <w:t>r KOL, anvendes til KOL. Det sker</w:t>
      </w:r>
      <w:r w:rsidRPr="001561FC">
        <w:rPr>
          <w:szCs w:val="20"/>
        </w:rPr>
        <w:t xml:space="preserve"> dog</w:t>
      </w:r>
      <w:r w:rsidR="004E3AAB">
        <w:rPr>
          <w:szCs w:val="20"/>
        </w:rPr>
        <w:t>, at</w:t>
      </w:r>
      <w:r w:rsidRPr="001561FC">
        <w:rPr>
          <w:szCs w:val="20"/>
        </w:rPr>
        <w:t xml:space="preserve"> indbere</w:t>
      </w:r>
      <w:r w:rsidR="004E3AAB">
        <w:rPr>
          <w:szCs w:val="20"/>
        </w:rPr>
        <w:t>tningen af indikationskode er fejlbehæftede</w:t>
      </w:r>
      <w:r w:rsidRPr="001561FC">
        <w:rPr>
          <w:szCs w:val="20"/>
        </w:rPr>
        <w:t>, da lægemidler</w:t>
      </w:r>
      <w:r w:rsidR="004E3AAB">
        <w:rPr>
          <w:szCs w:val="20"/>
        </w:rPr>
        <w:t>,</w:t>
      </w:r>
      <w:r w:rsidRPr="001561FC">
        <w:rPr>
          <w:szCs w:val="20"/>
        </w:rPr>
        <w:t xml:space="preserve"> der ikke anvendes til KOL</w:t>
      </w:r>
      <w:r w:rsidR="004E3AAB">
        <w:rPr>
          <w:szCs w:val="20"/>
        </w:rPr>
        <w:t>,</w:t>
      </w:r>
      <w:r w:rsidRPr="001561FC">
        <w:rPr>
          <w:szCs w:val="20"/>
        </w:rPr>
        <w:t xml:space="preserve"> også i nogle tilfælde har fået indikationskoder for KOL.</w:t>
      </w:r>
    </w:p>
    <w:p w:rsidR="00484D17" w:rsidRDefault="00484D17" w:rsidP="00E26797">
      <w:pPr>
        <w:rPr>
          <w:szCs w:val="20"/>
        </w:rPr>
      </w:pPr>
    </w:p>
    <w:p w:rsidR="00E26797" w:rsidRPr="001561FC" w:rsidRDefault="00A70997" w:rsidP="00E26797">
      <w:pPr>
        <w:rPr>
          <w:szCs w:val="20"/>
        </w:rPr>
      </w:pPr>
      <w:r w:rsidRPr="001561FC">
        <w:rPr>
          <w:szCs w:val="20"/>
        </w:rPr>
        <w:t>Tabel 2.2</w:t>
      </w:r>
      <w:r w:rsidR="00E26797" w:rsidRPr="001561FC">
        <w:rPr>
          <w:szCs w:val="20"/>
        </w:rPr>
        <w:t>. Lægemidler der er indberettet til Lægemiddelstatistikregisteret med specifikke indikationskoder for KOL</w:t>
      </w:r>
    </w:p>
    <w:tbl>
      <w:tblPr>
        <w:tblW w:w="0" w:type="auto"/>
        <w:jc w:val="center"/>
        <w:tblLayout w:type="fixed"/>
        <w:tblCellMar>
          <w:left w:w="60" w:type="dxa"/>
          <w:right w:w="60" w:type="dxa"/>
        </w:tblCellMar>
        <w:tblLook w:val="0000" w:firstRow="0" w:lastRow="0" w:firstColumn="0" w:lastColumn="0" w:noHBand="0" w:noVBand="0"/>
      </w:tblPr>
      <w:tblGrid>
        <w:gridCol w:w="3274"/>
        <w:gridCol w:w="1139"/>
        <w:gridCol w:w="975"/>
        <w:gridCol w:w="1942"/>
      </w:tblGrid>
      <w:tr w:rsidR="00E26797" w:rsidRPr="00264164" w:rsidTr="00264164">
        <w:trPr>
          <w:cantSplit/>
          <w:trHeight w:val="462"/>
          <w:tblHeader/>
          <w:jc w:val="center"/>
        </w:trPr>
        <w:tc>
          <w:tcPr>
            <w:tcW w:w="3274" w:type="dxa"/>
            <w:tcBorders>
              <w:top w:val="single" w:sz="6" w:space="0" w:color="000000"/>
              <w:left w:val="single" w:sz="6" w:space="0" w:color="000000"/>
              <w:bottom w:val="single" w:sz="2" w:space="0" w:color="000000"/>
              <w:right w:val="nil"/>
            </w:tcBorders>
            <w:shd w:val="clear" w:color="auto" w:fill="BBBBBB"/>
            <w:vAlign w:val="bottom"/>
          </w:tcPr>
          <w:p w:rsidR="00E26797" w:rsidRPr="00264164" w:rsidRDefault="00E26797" w:rsidP="00E26797">
            <w:pPr>
              <w:keepNext/>
              <w:adjustRightInd w:val="0"/>
              <w:spacing w:before="60" w:after="60"/>
              <w:rPr>
                <w:rFonts w:ascii="Times" w:hAnsi="Times" w:cs="Times"/>
                <w:b/>
                <w:bCs/>
                <w:color w:val="000000"/>
                <w:sz w:val="18"/>
                <w:szCs w:val="18"/>
              </w:rPr>
            </w:pPr>
            <w:r w:rsidRPr="00264164">
              <w:rPr>
                <w:sz w:val="18"/>
                <w:szCs w:val="18"/>
              </w:rPr>
              <w:fldChar w:fldCharType="begin"/>
            </w:r>
            <w:r w:rsidRPr="00264164">
              <w:rPr>
                <w:sz w:val="18"/>
                <w:szCs w:val="18"/>
              </w:rPr>
              <w:instrText>tc "SQL " \f C \l 1</w:instrText>
            </w:r>
            <w:r w:rsidRPr="00264164">
              <w:rPr>
                <w:sz w:val="18"/>
                <w:szCs w:val="18"/>
              </w:rPr>
              <w:fldChar w:fldCharType="end"/>
            </w:r>
            <w:r w:rsidRPr="00264164">
              <w:rPr>
                <w:sz w:val="18"/>
                <w:szCs w:val="18"/>
              </w:rPr>
              <w:fldChar w:fldCharType="begin"/>
            </w:r>
            <w:r w:rsidRPr="00264164">
              <w:rPr>
                <w:sz w:val="18"/>
                <w:szCs w:val="18"/>
              </w:rPr>
              <w:instrText>tc "Query Results " \f C \l 2</w:instrText>
            </w:r>
            <w:r w:rsidRPr="00264164">
              <w:rPr>
                <w:sz w:val="18"/>
                <w:szCs w:val="18"/>
              </w:rPr>
              <w:fldChar w:fldCharType="end"/>
            </w:r>
            <w:r w:rsidRPr="00264164">
              <w:rPr>
                <w:rFonts w:ascii="Times" w:hAnsi="Times" w:cs="Times"/>
                <w:b/>
                <w:bCs/>
                <w:color w:val="000000"/>
                <w:sz w:val="18"/>
                <w:szCs w:val="18"/>
              </w:rPr>
              <w:t>Lægemiddel</w:t>
            </w:r>
          </w:p>
        </w:tc>
        <w:tc>
          <w:tcPr>
            <w:tcW w:w="1139" w:type="dxa"/>
            <w:tcBorders>
              <w:top w:val="single" w:sz="6" w:space="0" w:color="000000"/>
              <w:left w:val="single" w:sz="2" w:space="0" w:color="000000"/>
              <w:bottom w:val="single" w:sz="2" w:space="0" w:color="000000"/>
              <w:right w:val="nil"/>
            </w:tcBorders>
            <w:shd w:val="clear" w:color="auto" w:fill="BBBBBB"/>
            <w:vAlign w:val="bottom"/>
          </w:tcPr>
          <w:p w:rsidR="00E26797" w:rsidRPr="00264164" w:rsidRDefault="00E26797" w:rsidP="00E26797">
            <w:pPr>
              <w:keepNext/>
              <w:adjustRightInd w:val="0"/>
              <w:spacing w:before="60" w:after="60"/>
              <w:rPr>
                <w:rFonts w:ascii="Times" w:hAnsi="Times" w:cs="Times"/>
                <w:b/>
                <w:bCs/>
                <w:color w:val="000000"/>
                <w:sz w:val="18"/>
                <w:szCs w:val="18"/>
              </w:rPr>
            </w:pPr>
            <w:r w:rsidRPr="00264164">
              <w:rPr>
                <w:rFonts w:ascii="Times" w:hAnsi="Times" w:cs="Times"/>
                <w:b/>
                <w:bCs/>
                <w:color w:val="000000"/>
                <w:sz w:val="18"/>
                <w:szCs w:val="18"/>
              </w:rPr>
              <w:t>ATC-kode</w:t>
            </w:r>
          </w:p>
        </w:tc>
        <w:tc>
          <w:tcPr>
            <w:tcW w:w="975" w:type="dxa"/>
            <w:tcBorders>
              <w:top w:val="single" w:sz="6" w:space="0" w:color="000000"/>
              <w:left w:val="single" w:sz="2" w:space="0" w:color="000000"/>
              <w:bottom w:val="single" w:sz="2" w:space="0" w:color="000000"/>
              <w:right w:val="nil"/>
            </w:tcBorders>
            <w:shd w:val="clear" w:color="auto" w:fill="BBBBBB"/>
            <w:vAlign w:val="bottom"/>
          </w:tcPr>
          <w:p w:rsidR="00E26797" w:rsidRPr="00264164" w:rsidRDefault="00E26797" w:rsidP="00E26797">
            <w:pPr>
              <w:keepNext/>
              <w:adjustRightInd w:val="0"/>
              <w:spacing w:before="60" w:after="60"/>
              <w:jc w:val="right"/>
              <w:rPr>
                <w:rFonts w:ascii="Times" w:hAnsi="Times" w:cs="Times"/>
                <w:b/>
                <w:bCs/>
                <w:color w:val="000000"/>
                <w:sz w:val="18"/>
                <w:szCs w:val="18"/>
              </w:rPr>
            </w:pPr>
            <w:r w:rsidRPr="00264164">
              <w:rPr>
                <w:rFonts w:ascii="Times" w:hAnsi="Times" w:cs="Times"/>
                <w:b/>
                <w:bCs/>
                <w:color w:val="000000"/>
                <w:sz w:val="18"/>
                <w:szCs w:val="18"/>
              </w:rPr>
              <w:t>Antal personer</w:t>
            </w:r>
          </w:p>
        </w:tc>
        <w:tc>
          <w:tcPr>
            <w:tcW w:w="1942" w:type="dxa"/>
            <w:tcBorders>
              <w:top w:val="single" w:sz="6" w:space="0" w:color="000000"/>
              <w:left w:val="single" w:sz="2" w:space="0" w:color="000000"/>
              <w:bottom w:val="single" w:sz="2" w:space="0" w:color="000000"/>
              <w:right w:val="single" w:sz="6" w:space="0" w:color="000000"/>
            </w:tcBorders>
            <w:shd w:val="clear" w:color="auto" w:fill="BBBBBB"/>
            <w:vAlign w:val="bottom"/>
          </w:tcPr>
          <w:p w:rsidR="00E26797" w:rsidRPr="00264164" w:rsidRDefault="00E26797" w:rsidP="00E26797">
            <w:pPr>
              <w:keepNext/>
              <w:adjustRightInd w:val="0"/>
              <w:spacing w:before="60" w:after="60"/>
              <w:jc w:val="right"/>
              <w:rPr>
                <w:rFonts w:ascii="Times" w:hAnsi="Times" w:cs="Times"/>
                <w:b/>
                <w:bCs/>
                <w:color w:val="000000"/>
                <w:sz w:val="18"/>
                <w:szCs w:val="18"/>
              </w:rPr>
            </w:pPr>
            <w:r w:rsidRPr="00264164">
              <w:rPr>
                <w:rFonts w:ascii="Times" w:hAnsi="Times" w:cs="Times"/>
                <w:b/>
                <w:bCs/>
                <w:color w:val="000000"/>
                <w:sz w:val="18"/>
                <w:szCs w:val="18"/>
              </w:rPr>
              <w:t>Antal receptindløsninger</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keepNext/>
              <w:adjustRightInd w:val="0"/>
              <w:spacing w:before="60" w:after="60"/>
              <w:rPr>
                <w:rFonts w:ascii="Times" w:hAnsi="Times" w:cs="Times"/>
                <w:color w:val="000000"/>
                <w:sz w:val="18"/>
                <w:szCs w:val="18"/>
              </w:rPr>
            </w:pPr>
            <w:r w:rsidRPr="00264164">
              <w:rPr>
                <w:rFonts w:ascii="Times" w:hAnsi="Times" w:cs="Times"/>
                <w:color w:val="000000"/>
                <w:sz w:val="18"/>
                <w:szCs w:val="18"/>
              </w:rPr>
              <w:t>Tiotropiumbromid</w:t>
            </w:r>
          </w:p>
        </w:tc>
        <w:tc>
          <w:tcPr>
            <w:tcW w:w="1139" w:type="dxa"/>
            <w:tcBorders>
              <w:top w:val="nil"/>
              <w:left w:val="single" w:sz="2" w:space="0" w:color="000000"/>
              <w:bottom w:val="single" w:sz="2" w:space="0" w:color="000000"/>
              <w:right w:val="nil"/>
            </w:tcBorders>
          </w:tcPr>
          <w:p w:rsidR="00E26797" w:rsidRPr="00264164" w:rsidRDefault="00E26797" w:rsidP="00E26797">
            <w:pPr>
              <w:keepNext/>
              <w:adjustRightInd w:val="0"/>
              <w:spacing w:before="60" w:after="60"/>
              <w:rPr>
                <w:rFonts w:ascii="Times" w:hAnsi="Times" w:cs="Times"/>
                <w:color w:val="000000"/>
                <w:sz w:val="18"/>
                <w:szCs w:val="18"/>
              </w:rPr>
            </w:pPr>
            <w:r w:rsidRPr="00264164">
              <w:rPr>
                <w:rFonts w:ascii="Times" w:hAnsi="Times" w:cs="Times"/>
                <w:color w:val="000000"/>
                <w:sz w:val="18"/>
                <w:szCs w:val="18"/>
              </w:rPr>
              <w:t>R03BB04</w:t>
            </w:r>
          </w:p>
        </w:tc>
        <w:tc>
          <w:tcPr>
            <w:tcW w:w="975" w:type="dxa"/>
            <w:tcBorders>
              <w:top w:val="nil"/>
              <w:left w:val="single" w:sz="2" w:space="0" w:color="000000"/>
              <w:bottom w:val="single" w:sz="2" w:space="0" w:color="000000"/>
              <w:right w:val="nil"/>
            </w:tcBorders>
          </w:tcPr>
          <w:p w:rsidR="00E26797" w:rsidRPr="00264164" w:rsidRDefault="00E26797" w:rsidP="00E26797">
            <w:pPr>
              <w:keepNext/>
              <w:adjustRightInd w:val="0"/>
              <w:spacing w:before="60" w:after="60"/>
              <w:jc w:val="right"/>
              <w:rPr>
                <w:rFonts w:ascii="Times" w:hAnsi="Times" w:cs="Times"/>
                <w:color w:val="000000"/>
                <w:sz w:val="18"/>
                <w:szCs w:val="18"/>
              </w:rPr>
            </w:pPr>
            <w:r w:rsidRPr="00264164">
              <w:rPr>
                <w:rFonts w:ascii="Times" w:hAnsi="Times" w:cs="Times"/>
                <w:color w:val="000000"/>
                <w:sz w:val="18"/>
                <w:szCs w:val="18"/>
              </w:rPr>
              <w:t>88.558</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keepNext/>
              <w:adjustRightInd w:val="0"/>
              <w:spacing w:before="60" w:after="60"/>
              <w:jc w:val="right"/>
              <w:rPr>
                <w:rFonts w:ascii="Times" w:hAnsi="Times" w:cs="Times"/>
                <w:color w:val="000000"/>
                <w:sz w:val="18"/>
                <w:szCs w:val="18"/>
              </w:rPr>
            </w:pPr>
            <w:r w:rsidRPr="00264164">
              <w:rPr>
                <w:rFonts w:ascii="Times" w:hAnsi="Times" w:cs="Times"/>
                <w:color w:val="000000"/>
                <w:sz w:val="18"/>
                <w:szCs w:val="18"/>
              </w:rPr>
              <w:t>1.207.253</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keepNext/>
              <w:adjustRightInd w:val="0"/>
              <w:spacing w:before="60" w:after="60"/>
              <w:rPr>
                <w:rFonts w:ascii="Times" w:hAnsi="Times" w:cs="Times"/>
                <w:color w:val="000000"/>
                <w:sz w:val="18"/>
                <w:szCs w:val="18"/>
              </w:rPr>
            </w:pPr>
            <w:r w:rsidRPr="00264164">
              <w:rPr>
                <w:rFonts w:ascii="Times" w:hAnsi="Times" w:cs="Times"/>
                <w:color w:val="000000"/>
                <w:sz w:val="18"/>
                <w:szCs w:val="18"/>
              </w:rPr>
              <w:t>Formoterol og budesonid</w:t>
            </w:r>
          </w:p>
        </w:tc>
        <w:tc>
          <w:tcPr>
            <w:tcW w:w="1139" w:type="dxa"/>
            <w:tcBorders>
              <w:top w:val="nil"/>
              <w:left w:val="single" w:sz="2" w:space="0" w:color="000000"/>
              <w:bottom w:val="single" w:sz="2" w:space="0" w:color="000000"/>
              <w:right w:val="nil"/>
            </w:tcBorders>
          </w:tcPr>
          <w:p w:rsidR="00E26797" w:rsidRPr="00264164" w:rsidRDefault="00E26797" w:rsidP="00E26797">
            <w:pPr>
              <w:keepNext/>
              <w:adjustRightInd w:val="0"/>
              <w:spacing w:before="60" w:after="60"/>
              <w:rPr>
                <w:rFonts w:ascii="Times" w:hAnsi="Times" w:cs="Times"/>
                <w:color w:val="000000"/>
                <w:sz w:val="18"/>
                <w:szCs w:val="18"/>
              </w:rPr>
            </w:pPr>
            <w:r w:rsidRPr="00264164">
              <w:rPr>
                <w:rFonts w:ascii="Times" w:hAnsi="Times" w:cs="Times"/>
                <w:color w:val="000000"/>
                <w:sz w:val="18"/>
                <w:szCs w:val="18"/>
              </w:rPr>
              <w:t>R03AK07</w:t>
            </w:r>
          </w:p>
        </w:tc>
        <w:tc>
          <w:tcPr>
            <w:tcW w:w="975" w:type="dxa"/>
            <w:tcBorders>
              <w:top w:val="nil"/>
              <w:left w:val="single" w:sz="2" w:space="0" w:color="000000"/>
              <w:bottom w:val="single" w:sz="2" w:space="0" w:color="000000"/>
              <w:right w:val="nil"/>
            </w:tcBorders>
          </w:tcPr>
          <w:p w:rsidR="00E26797" w:rsidRPr="00264164" w:rsidRDefault="00E26797" w:rsidP="00E26797">
            <w:pPr>
              <w:keepNext/>
              <w:adjustRightInd w:val="0"/>
              <w:spacing w:before="60" w:after="60"/>
              <w:jc w:val="right"/>
              <w:rPr>
                <w:rFonts w:ascii="Times" w:hAnsi="Times" w:cs="Times"/>
                <w:color w:val="000000"/>
                <w:sz w:val="18"/>
                <w:szCs w:val="18"/>
              </w:rPr>
            </w:pPr>
            <w:r w:rsidRPr="00264164">
              <w:rPr>
                <w:rFonts w:ascii="Times" w:hAnsi="Times" w:cs="Times"/>
                <w:color w:val="000000"/>
                <w:sz w:val="18"/>
                <w:szCs w:val="18"/>
              </w:rPr>
              <w:t>50.531</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keepNext/>
              <w:adjustRightInd w:val="0"/>
              <w:spacing w:before="60" w:after="60"/>
              <w:jc w:val="right"/>
              <w:rPr>
                <w:rFonts w:ascii="Times" w:hAnsi="Times" w:cs="Times"/>
                <w:color w:val="000000"/>
                <w:sz w:val="18"/>
                <w:szCs w:val="18"/>
              </w:rPr>
            </w:pPr>
            <w:r w:rsidRPr="00264164">
              <w:rPr>
                <w:rFonts w:ascii="Times" w:hAnsi="Times" w:cs="Times"/>
                <w:color w:val="000000"/>
                <w:sz w:val="18"/>
                <w:szCs w:val="18"/>
              </w:rPr>
              <w:t>531.807</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Salmeterol og fluticason</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R03AK06</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28.944</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284.380</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Amoxicillin og enzym-hæmmer</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J01CR02</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14.730</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26.617</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Indacaterol</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R03AC18</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14.531</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90.715</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Fenoterol og ipratropiumbromid</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R03AL01</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11.266</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86.544</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Formoterol</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R03AC13</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9.068</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54.291</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Salmeterol</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R03AC12</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4.252</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32.344</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Glycopyrroniumbromid</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R03BB06</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1.924</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5.871</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Salbutamol og ipratropiumbromid</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R03AL02</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1.700</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10.611</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Ipratropiumbromid</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R03BB01</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1.192</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8.435</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Phenoxymethylpenicillin</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J01CE02</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1.120</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1.442</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Aclidiniumbromid</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R03BB05</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976</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3.011</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Roxithromycin</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J01FA06</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942</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1.342</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Roflumilast</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R03DX07</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855</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3.659</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Terbutalin</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R03AC03</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797</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1.301</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Formoterol og beclometason</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R03AK08</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637</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4.130</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Moxifloxacin</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J01MA14</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411</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580</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Prednisolon</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H02AB06</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336</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379</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Clarithromycin</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J01FA09</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302</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410</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Azithromycin</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J01FA10</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103</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209</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Salbutamol</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R03AC02</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80</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154</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Ciprofloxacin</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J01MA02</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67</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85</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Formoterol og fluticason</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R03AK11</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53</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112</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Erythromycin</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J01FA01</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45</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74</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Fluticason</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R03BA05</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43</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138</w:t>
            </w:r>
          </w:p>
        </w:tc>
      </w:tr>
      <w:tr w:rsidR="00E26797" w:rsidRPr="00264164" w:rsidTr="00264164">
        <w:trPr>
          <w:cantSplit/>
          <w:trHeight w:val="276"/>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Budesonid</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R03BA02</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41</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83</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Theophyllin</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R03DA04</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24</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29</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Escitalopram</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N06AB10</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22</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82</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Dicloxacillin</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J01CF01</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18</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28</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Indacaterol og glycopyrroniumbromid</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R03AL04</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11</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11</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Simvastatin</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C10AA01</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5</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5</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Norethisteron og østrogen</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G03FA01</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4</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8</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Beclomethason</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R03BA01</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4</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5</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Ampicillin</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J01CA01</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4</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4</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Paracetamol</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N02BE01</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4</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4</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Ipratropiumbromid</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R01AX03</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3</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5</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Furosemid</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C03CA01</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2</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2</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Lansoprazol</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A02BC03</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2</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2</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Acetylcystein</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R05CB01</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2</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4</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Ciclesonid</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R03BA08</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Mometason</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R03BA07</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2</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Bisacodyl</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A06AB02</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Sulfamethizol</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J01EB02</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Enalapril</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C09AA02</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Cefuroxim</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J01DC02</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Omeprazol</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A02BC01</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Rabeprazol</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A02BC04</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13</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Amlodipin</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C08CA01</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Amoxicillin</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J01CA04</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Pivampicillin</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J01CA02</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Budesonid</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R01AD05</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Quinin</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P01BC01</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Nicotin</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N07BA01</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Acetylsalicylsyre</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B01AC06</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3</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Levothyroxinnatrium</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H03AA01</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Amitriptylin</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N06AA09</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Zopiclon</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N05CF01</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Nicomorphin</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N02AA04</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Natriumdocusat, inkl. kombinationer</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A06AG10</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r>
      <w:tr w:rsidR="00E26797" w:rsidRPr="00264164" w:rsidTr="00484D17">
        <w:trPr>
          <w:cantSplit/>
          <w:trHeight w:val="176"/>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Finasterid</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G04CB01</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Mycophenolsyre</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L04AA06</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6</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Tamsulosin</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G04CA02</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Promethazin</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R06AD02</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Magnesiumhydroxid</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A02AA04</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Kombinationer af almindelige salte</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A02AD01</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Pantoprazol</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A02BC02</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Natriumpicosulfat</w:t>
            </w:r>
          </w:p>
        </w:tc>
        <w:tc>
          <w:tcPr>
            <w:tcW w:w="1139"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rPr>
                <w:rFonts w:ascii="Times" w:hAnsi="Times" w:cs="Times"/>
                <w:color w:val="000000"/>
                <w:sz w:val="18"/>
                <w:szCs w:val="18"/>
              </w:rPr>
            </w:pPr>
            <w:r w:rsidRPr="00264164">
              <w:rPr>
                <w:rFonts w:ascii="Times" w:hAnsi="Times" w:cs="Times"/>
                <w:color w:val="000000"/>
                <w:sz w:val="18"/>
                <w:szCs w:val="18"/>
              </w:rPr>
              <w:t>A06AB08</w:t>
            </w:r>
          </w:p>
        </w:tc>
        <w:tc>
          <w:tcPr>
            <w:tcW w:w="975" w:type="dxa"/>
            <w:tcBorders>
              <w:top w:val="nil"/>
              <w:left w:val="single" w:sz="2" w:space="0" w:color="000000"/>
              <w:bottom w:val="single" w:sz="2" w:space="0" w:color="000000"/>
              <w:right w:val="nil"/>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r>
      <w:tr w:rsidR="00E26797" w:rsidRPr="00264164" w:rsidTr="00264164">
        <w:trPr>
          <w:cantSplit/>
          <w:trHeight w:val="267"/>
          <w:jc w:val="center"/>
        </w:trPr>
        <w:tc>
          <w:tcPr>
            <w:tcW w:w="3274" w:type="dxa"/>
            <w:tcBorders>
              <w:top w:val="nil"/>
              <w:left w:val="single" w:sz="6" w:space="0" w:color="000000"/>
              <w:bottom w:val="single" w:sz="2" w:space="0" w:color="000000"/>
              <w:right w:val="nil"/>
            </w:tcBorders>
          </w:tcPr>
          <w:p w:rsidR="00E26797" w:rsidRPr="00264164" w:rsidRDefault="00E26797" w:rsidP="00E26797">
            <w:pPr>
              <w:keepNext/>
              <w:adjustRightInd w:val="0"/>
              <w:spacing w:before="60" w:after="60"/>
              <w:rPr>
                <w:rFonts w:ascii="Times" w:hAnsi="Times" w:cs="Times"/>
                <w:color w:val="000000"/>
                <w:sz w:val="18"/>
                <w:szCs w:val="18"/>
              </w:rPr>
            </w:pPr>
            <w:r w:rsidRPr="00264164">
              <w:rPr>
                <w:rFonts w:ascii="Times" w:hAnsi="Times" w:cs="Times"/>
                <w:color w:val="000000"/>
                <w:sz w:val="18"/>
                <w:szCs w:val="18"/>
              </w:rPr>
              <w:t>Sildenafil</w:t>
            </w:r>
          </w:p>
        </w:tc>
        <w:tc>
          <w:tcPr>
            <w:tcW w:w="1139" w:type="dxa"/>
            <w:tcBorders>
              <w:top w:val="nil"/>
              <w:left w:val="single" w:sz="2" w:space="0" w:color="000000"/>
              <w:bottom w:val="single" w:sz="2" w:space="0" w:color="000000"/>
              <w:right w:val="nil"/>
            </w:tcBorders>
          </w:tcPr>
          <w:p w:rsidR="00E26797" w:rsidRPr="00264164" w:rsidRDefault="00E26797" w:rsidP="00E26797">
            <w:pPr>
              <w:keepNext/>
              <w:adjustRightInd w:val="0"/>
              <w:spacing w:before="60" w:after="60"/>
              <w:rPr>
                <w:rFonts w:ascii="Times" w:hAnsi="Times" w:cs="Times"/>
                <w:color w:val="000000"/>
                <w:sz w:val="18"/>
                <w:szCs w:val="18"/>
              </w:rPr>
            </w:pPr>
            <w:r w:rsidRPr="00264164">
              <w:rPr>
                <w:rFonts w:ascii="Times" w:hAnsi="Times" w:cs="Times"/>
                <w:color w:val="000000"/>
                <w:sz w:val="18"/>
                <w:szCs w:val="18"/>
              </w:rPr>
              <w:t>G04BE03</w:t>
            </w:r>
          </w:p>
        </w:tc>
        <w:tc>
          <w:tcPr>
            <w:tcW w:w="975" w:type="dxa"/>
            <w:tcBorders>
              <w:top w:val="nil"/>
              <w:left w:val="single" w:sz="2" w:space="0" w:color="000000"/>
              <w:bottom w:val="single" w:sz="2" w:space="0" w:color="000000"/>
              <w:right w:val="nil"/>
            </w:tcBorders>
          </w:tcPr>
          <w:p w:rsidR="00E26797" w:rsidRPr="00264164" w:rsidRDefault="00E26797" w:rsidP="00E26797">
            <w:pPr>
              <w:keepNext/>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c>
          <w:tcPr>
            <w:tcW w:w="1942" w:type="dxa"/>
            <w:tcBorders>
              <w:top w:val="nil"/>
              <w:left w:val="single" w:sz="2" w:space="0" w:color="000000"/>
              <w:bottom w:val="single" w:sz="2" w:space="0" w:color="000000"/>
              <w:right w:val="single" w:sz="6" w:space="0" w:color="000000"/>
            </w:tcBorders>
          </w:tcPr>
          <w:p w:rsidR="00E26797" w:rsidRPr="00264164" w:rsidRDefault="00E26797" w:rsidP="00E26797">
            <w:pPr>
              <w:keepNext/>
              <w:adjustRightInd w:val="0"/>
              <w:spacing w:before="60" w:after="60"/>
              <w:jc w:val="right"/>
              <w:rPr>
                <w:rFonts w:ascii="Times" w:hAnsi="Times" w:cs="Times"/>
                <w:color w:val="000000"/>
                <w:sz w:val="18"/>
                <w:szCs w:val="18"/>
              </w:rPr>
            </w:pPr>
            <w:r w:rsidRPr="00264164">
              <w:rPr>
                <w:rFonts w:ascii="Times" w:hAnsi="Times" w:cs="Times"/>
                <w:color w:val="000000"/>
                <w:sz w:val="18"/>
                <w:szCs w:val="18"/>
              </w:rPr>
              <w:t>1</w:t>
            </w:r>
          </w:p>
        </w:tc>
      </w:tr>
    </w:tbl>
    <w:p w:rsidR="001561FC" w:rsidRDefault="001561FC" w:rsidP="00E26797">
      <w:pPr>
        <w:rPr>
          <w:szCs w:val="20"/>
        </w:rPr>
      </w:pPr>
    </w:p>
    <w:p w:rsidR="00E26797" w:rsidRDefault="00E26797" w:rsidP="00E26797">
      <w:pPr>
        <w:rPr>
          <w:szCs w:val="20"/>
        </w:rPr>
      </w:pPr>
      <w:r w:rsidRPr="001561FC">
        <w:rPr>
          <w:szCs w:val="20"/>
        </w:rPr>
        <w:t>Udtrækket fra Landspatientregisteret er baseret på aktion- og bidiagnoser. Der er ikke taget hensyn til</w:t>
      </w:r>
      <w:r w:rsidR="008327FC">
        <w:rPr>
          <w:szCs w:val="20"/>
        </w:rPr>
        <w:t>,</w:t>
      </w:r>
      <w:r w:rsidRPr="001561FC">
        <w:rPr>
          <w:szCs w:val="20"/>
        </w:rPr>
        <w:t xml:space="preserve"> hvilket hovedspeciale som den afdeling, der har behandlet patient, har. Det kunne tænkes</w:t>
      </w:r>
      <w:r w:rsidR="008327FC">
        <w:rPr>
          <w:szCs w:val="20"/>
        </w:rPr>
        <w:t>,</w:t>
      </w:r>
      <w:r w:rsidRPr="001561FC">
        <w:rPr>
          <w:szCs w:val="20"/>
        </w:rPr>
        <w:t xml:space="preserve"> at diagnoser fra sygehusafdelinger, der ikke har lungemedicin som speciale</w:t>
      </w:r>
      <w:r w:rsidR="008327FC">
        <w:rPr>
          <w:szCs w:val="20"/>
        </w:rPr>
        <w:t>,</w:t>
      </w:r>
      <w:r w:rsidRPr="001561FC">
        <w:rPr>
          <w:szCs w:val="20"/>
        </w:rPr>
        <w:t xml:space="preserve"> er mindre sikre. Det er dog i nogle regioner svært at afgøre om lungemedicin er et speciale, der er knyttet til afdelingen. I Region Midtjylland angives sygehusafdeling nogle steder som en medicinsk overafdeling med intern medicin som speciale og uden tilknytning af bispecialer. Der er anvendt én diagnose for KOL som inklusionskriterie via Landspatientregisteret. Kun børn under 6 år er sorteret fra på baggrund af mistanke om misklassifikation. Øvrige personer over 6 år, der ved en fejl har fået tilknyttet en diagnose for KOL som aktions- eller bidiagnose i Landspatientregisteret, er inkluderet i KOL popula</w:t>
      </w:r>
      <w:r w:rsidR="008327FC">
        <w:rPr>
          <w:szCs w:val="20"/>
        </w:rPr>
        <w:t>tionen. Det vil kræve flere</w:t>
      </w:r>
      <w:r w:rsidRPr="001561FC">
        <w:rPr>
          <w:szCs w:val="20"/>
        </w:rPr>
        <w:t xml:space="preserve"> analyser at indsnævre inklusions- og eksklusionskriterierne for KOL</w:t>
      </w:r>
      <w:r w:rsidR="008327FC">
        <w:rPr>
          <w:szCs w:val="20"/>
        </w:rPr>
        <w:t xml:space="preserve"> yderligere</w:t>
      </w:r>
      <w:r w:rsidRPr="001561FC">
        <w:rPr>
          <w:szCs w:val="20"/>
        </w:rPr>
        <w:t xml:space="preserve"> i RUKS.</w:t>
      </w:r>
    </w:p>
    <w:p w:rsidR="00484D17" w:rsidRPr="001561FC" w:rsidRDefault="00484D17" w:rsidP="00E26797">
      <w:pPr>
        <w:rPr>
          <w:szCs w:val="20"/>
        </w:rPr>
      </w:pPr>
    </w:p>
    <w:p w:rsidR="00E26797" w:rsidRPr="001561FC" w:rsidRDefault="00E26797" w:rsidP="00E26797">
      <w:pPr>
        <w:pStyle w:val="Overskrift2"/>
        <w:rPr>
          <w:b/>
          <w:sz w:val="20"/>
          <w:szCs w:val="20"/>
        </w:rPr>
      </w:pPr>
      <w:bookmarkStart w:id="27" w:name="_Toc391624662"/>
      <w:r w:rsidRPr="001561FC">
        <w:rPr>
          <w:b/>
          <w:sz w:val="20"/>
          <w:szCs w:val="20"/>
        </w:rPr>
        <w:t>Fremtidig udbygning</w:t>
      </w:r>
      <w:bookmarkEnd w:id="27"/>
    </w:p>
    <w:p w:rsidR="00E26797" w:rsidRPr="001561FC" w:rsidRDefault="00E26797" w:rsidP="00E26797">
      <w:pPr>
        <w:rPr>
          <w:b/>
          <w:szCs w:val="20"/>
        </w:rPr>
      </w:pPr>
    </w:p>
    <w:p w:rsidR="00E26797" w:rsidRPr="001561FC" w:rsidRDefault="00E26797" w:rsidP="00E26797">
      <w:pPr>
        <w:rPr>
          <w:szCs w:val="20"/>
        </w:rPr>
      </w:pPr>
      <w:r w:rsidRPr="001561FC">
        <w:rPr>
          <w:szCs w:val="20"/>
        </w:rPr>
        <w:t xml:space="preserve">Populationsudvælgelsen kan formentlig forbedres ved berigelse med data fra DAK-E. </w:t>
      </w:r>
    </w:p>
    <w:p w:rsidR="00E26797" w:rsidRPr="001561FC" w:rsidRDefault="00E26797" w:rsidP="00E26797">
      <w:pPr>
        <w:rPr>
          <w:szCs w:val="20"/>
        </w:rPr>
      </w:pPr>
    </w:p>
    <w:p w:rsidR="00E26797" w:rsidRPr="001561FC" w:rsidRDefault="00E26797" w:rsidP="00E26797">
      <w:pPr>
        <w:rPr>
          <w:szCs w:val="20"/>
        </w:rPr>
      </w:pPr>
      <w:r w:rsidRPr="001561FC">
        <w:rPr>
          <w:szCs w:val="20"/>
        </w:rPr>
        <w:t xml:space="preserve">Det kan overvejes om cystisk fibrose skal tilføjes som særskilt kronisk sygdom i RUKS. </w:t>
      </w:r>
    </w:p>
    <w:p w:rsidR="00164EE1" w:rsidRDefault="00164EE1" w:rsidP="00E26797">
      <w:pPr>
        <w:rPr>
          <w:sz w:val="22"/>
        </w:rPr>
      </w:pPr>
    </w:p>
    <w:p w:rsidR="00E26797" w:rsidRDefault="00E26797" w:rsidP="00E26797">
      <w:pPr>
        <w:rPr>
          <w:sz w:val="22"/>
        </w:rPr>
      </w:pPr>
    </w:p>
    <w:p w:rsidR="00E26797" w:rsidRDefault="00E26797" w:rsidP="00E26797">
      <w:pPr>
        <w:rPr>
          <w:sz w:val="22"/>
        </w:rPr>
      </w:pPr>
    </w:p>
    <w:p w:rsidR="005F3F11" w:rsidRDefault="00264164" w:rsidP="00583C5D">
      <w:pPr>
        <w:pStyle w:val="Overskrift1"/>
        <w:rPr>
          <w:sz w:val="24"/>
          <w:szCs w:val="24"/>
        </w:rPr>
      </w:pPr>
      <w:bookmarkStart w:id="28" w:name="_Toc391624663"/>
      <w:r>
        <w:t xml:space="preserve">3. </w:t>
      </w:r>
      <w:r w:rsidR="00583C5D">
        <w:t>Astma</w:t>
      </w:r>
      <w:bookmarkEnd w:id="28"/>
    </w:p>
    <w:p w:rsidR="005F3F11" w:rsidRPr="001561FC" w:rsidRDefault="005F3F11" w:rsidP="005F3F11">
      <w:pPr>
        <w:rPr>
          <w:szCs w:val="20"/>
        </w:rPr>
      </w:pPr>
    </w:p>
    <w:p w:rsidR="005F3F11" w:rsidRPr="001561FC" w:rsidRDefault="005F3F11" w:rsidP="00583C5D">
      <w:pPr>
        <w:pStyle w:val="Overskrift2"/>
        <w:rPr>
          <w:b/>
          <w:sz w:val="20"/>
          <w:szCs w:val="20"/>
        </w:rPr>
      </w:pPr>
      <w:bookmarkStart w:id="29" w:name="_Toc391624664"/>
      <w:r w:rsidRPr="001561FC">
        <w:rPr>
          <w:b/>
          <w:sz w:val="20"/>
          <w:szCs w:val="20"/>
        </w:rPr>
        <w:t>Årsag til udvælgelse</w:t>
      </w:r>
      <w:bookmarkEnd w:id="29"/>
    </w:p>
    <w:p w:rsidR="005F3F11" w:rsidRPr="001561FC" w:rsidRDefault="005F3F11" w:rsidP="005F3F11">
      <w:pPr>
        <w:rPr>
          <w:szCs w:val="20"/>
        </w:rPr>
      </w:pPr>
      <w:r w:rsidRPr="001561FC">
        <w:rPr>
          <w:szCs w:val="20"/>
        </w:rPr>
        <w:t>Kroniske lungesygdomme er valgt i Sundhedsstyrelsens tidligere kronikermonitorering. SSI har fundet det hensigtsmæssigt at underopdele kroniske lungesygdomme i kronisk obstruktiv lungesygdom (KOL) og astma pga. forskelle i sygdomme og populationer.</w:t>
      </w:r>
    </w:p>
    <w:p w:rsidR="005F3F11" w:rsidRPr="001561FC" w:rsidRDefault="005F3F11" w:rsidP="005F3F11">
      <w:pPr>
        <w:rPr>
          <w:szCs w:val="20"/>
        </w:rPr>
      </w:pPr>
    </w:p>
    <w:p w:rsidR="005F3F11" w:rsidRPr="001561FC" w:rsidRDefault="005F3F11" w:rsidP="00583C5D">
      <w:pPr>
        <w:pStyle w:val="Overskrift2"/>
        <w:rPr>
          <w:b/>
          <w:sz w:val="20"/>
          <w:szCs w:val="20"/>
        </w:rPr>
      </w:pPr>
      <w:bookmarkStart w:id="30" w:name="_Toc391624665"/>
      <w:r w:rsidRPr="001561FC">
        <w:rPr>
          <w:b/>
          <w:sz w:val="20"/>
          <w:szCs w:val="20"/>
        </w:rPr>
        <w:t>Rationale for udvælgelsesmetode og registre</w:t>
      </w:r>
      <w:bookmarkEnd w:id="30"/>
    </w:p>
    <w:p w:rsidR="005F3F11" w:rsidRPr="001561FC" w:rsidRDefault="005F3F11" w:rsidP="005F3F11">
      <w:pPr>
        <w:rPr>
          <w:szCs w:val="20"/>
        </w:rPr>
      </w:pPr>
      <w:r w:rsidRPr="001561FC">
        <w:rPr>
          <w:szCs w:val="20"/>
        </w:rPr>
        <w:t xml:space="preserve">De fleste lægemidler, der anvendes til astma, kan også anvendes til KOL. Astma patienter kan derfor ikke </w:t>
      </w:r>
      <w:r w:rsidR="00694D2C">
        <w:rPr>
          <w:szCs w:val="20"/>
        </w:rPr>
        <w:t xml:space="preserve">alene </w:t>
      </w:r>
      <w:r w:rsidRPr="001561FC">
        <w:rPr>
          <w:szCs w:val="20"/>
        </w:rPr>
        <w:t>identificeres vha. specifikke lægemidler, el</w:t>
      </w:r>
      <w:r w:rsidR="00694D2C">
        <w:rPr>
          <w:szCs w:val="20"/>
        </w:rPr>
        <w:t>ler evt. styrker af disse</w:t>
      </w:r>
      <w:r w:rsidRPr="001561FC">
        <w:rPr>
          <w:szCs w:val="20"/>
        </w:rPr>
        <w:t xml:space="preserve">. Sygdomsspecifikke indikationstekster, svarende til den etikettetekst, som apotekerne sætter på lægemiddelpakninger, er derfor også anvendt til udvælgelse af population af astma patienter fra Lægemiddelstatistikregisteret (LSR). Indikationskoder indgår først i LSR fra 2005. </w:t>
      </w:r>
    </w:p>
    <w:p w:rsidR="005F3F11" w:rsidRPr="001561FC" w:rsidRDefault="005F3F11" w:rsidP="005F3F11">
      <w:pPr>
        <w:rPr>
          <w:szCs w:val="20"/>
        </w:rPr>
      </w:pPr>
      <w:r w:rsidRPr="001561FC">
        <w:rPr>
          <w:szCs w:val="20"/>
        </w:rPr>
        <w:t xml:space="preserve">I Landspatientregisteret (LPR) er astma patienter identificeret ved specifikke koder for astma. Der er udtrukket både aktions- og bidiagnoser, men ikke </w:t>
      </w:r>
      <w:r w:rsidR="000147A5" w:rsidRPr="001561FC">
        <w:rPr>
          <w:szCs w:val="20"/>
        </w:rPr>
        <w:t>fx</w:t>
      </w:r>
      <w:r w:rsidRPr="001561FC">
        <w:rPr>
          <w:szCs w:val="20"/>
        </w:rPr>
        <w:t xml:space="preserve"> henvisningsdiagnoser.</w:t>
      </w:r>
    </w:p>
    <w:p w:rsidR="005F3F11" w:rsidRPr="001561FC" w:rsidRDefault="005F3F11" w:rsidP="005F3F11">
      <w:pPr>
        <w:rPr>
          <w:szCs w:val="20"/>
        </w:rPr>
      </w:pPr>
    </w:p>
    <w:p w:rsidR="005F3F11" w:rsidRDefault="005F3F11" w:rsidP="00583C5D">
      <w:pPr>
        <w:pStyle w:val="Overskrift2"/>
        <w:rPr>
          <w:b/>
          <w:sz w:val="20"/>
          <w:szCs w:val="20"/>
        </w:rPr>
      </w:pPr>
      <w:bookmarkStart w:id="31" w:name="_Toc391624666"/>
      <w:r w:rsidRPr="001561FC">
        <w:rPr>
          <w:b/>
          <w:sz w:val="20"/>
          <w:szCs w:val="20"/>
        </w:rPr>
        <w:t>Inklusion og eksklusionskoder fra registre</w:t>
      </w:r>
      <w:bookmarkEnd w:id="31"/>
    </w:p>
    <w:p w:rsidR="005F3F11" w:rsidRDefault="0095771C" w:rsidP="005F3F11">
      <w:pPr>
        <w:rPr>
          <w:szCs w:val="20"/>
        </w:rPr>
      </w:pPr>
      <w:r>
        <w:rPr>
          <w:szCs w:val="20"/>
        </w:rPr>
        <w:t xml:space="preserve">Inklusion: </w:t>
      </w:r>
    </w:p>
    <w:p w:rsidR="0095771C" w:rsidRPr="001561FC" w:rsidRDefault="0095771C" w:rsidP="005F3F11">
      <w:pPr>
        <w:rPr>
          <w:szCs w:val="20"/>
        </w:rPr>
      </w:pPr>
    </w:p>
    <w:p w:rsidR="005F3F11" w:rsidRPr="001561FC" w:rsidRDefault="00320D6A" w:rsidP="005F3F11">
      <w:pPr>
        <w:pStyle w:val="Listeafsnit"/>
        <w:numPr>
          <w:ilvl w:val="0"/>
          <w:numId w:val="9"/>
        </w:numPr>
        <w:rPr>
          <w:szCs w:val="20"/>
        </w:rPr>
      </w:pPr>
      <w:r w:rsidRPr="001561FC">
        <w:rPr>
          <w:szCs w:val="20"/>
        </w:rPr>
        <w:t>P</w:t>
      </w:r>
      <w:r w:rsidR="005F3F11" w:rsidRPr="001561FC">
        <w:rPr>
          <w:szCs w:val="20"/>
        </w:rPr>
        <w:t>ersoner med min. ét køb af medicin med specifik indikationskode for astma i Lægemiddelstatistikregisteret.</w:t>
      </w:r>
    </w:p>
    <w:p w:rsidR="005F3F11" w:rsidRPr="001561FC" w:rsidRDefault="00320D6A" w:rsidP="005F3F11">
      <w:pPr>
        <w:pStyle w:val="Listeafsnit"/>
        <w:numPr>
          <w:ilvl w:val="0"/>
          <w:numId w:val="9"/>
        </w:numPr>
        <w:rPr>
          <w:szCs w:val="20"/>
        </w:rPr>
      </w:pPr>
      <w:r w:rsidRPr="001561FC">
        <w:rPr>
          <w:szCs w:val="20"/>
        </w:rPr>
        <w:t>P</w:t>
      </w:r>
      <w:r w:rsidR="005F3F11" w:rsidRPr="001561FC">
        <w:rPr>
          <w:szCs w:val="20"/>
        </w:rPr>
        <w:t>ersoner, der har indløst min. én recept på lægemidler kun godkendt til astma.</w:t>
      </w:r>
    </w:p>
    <w:p w:rsidR="005F3F11" w:rsidRPr="001561FC" w:rsidRDefault="005F3F11" w:rsidP="005F3F11">
      <w:pPr>
        <w:pStyle w:val="Listeafsnit"/>
        <w:numPr>
          <w:ilvl w:val="0"/>
          <w:numId w:val="9"/>
        </w:numPr>
        <w:rPr>
          <w:szCs w:val="20"/>
        </w:rPr>
      </w:pPr>
      <w:r w:rsidRPr="001561FC">
        <w:rPr>
          <w:szCs w:val="20"/>
        </w:rPr>
        <w:t>eller personer med min. én kontakt i Landspatientregisteret med relevant aktions- eller bidiagnose.</w:t>
      </w:r>
    </w:p>
    <w:p w:rsidR="005F3F11" w:rsidRPr="001561FC" w:rsidRDefault="005F3F11" w:rsidP="005F3F11">
      <w:pPr>
        <w:rPr>
          <w:b/>
          <w:szCs w:val="20"/>
        </w:rPr>
      </w:pPr>
    </w:p>
    <w:tbl>
      <w:tblPr>
        <w:tblStyle w:val="Tabel-Gitter"/>
        <w:tblW w:w="0" w:type="auto"/>
        <w:tblLook w:val="04A0" w:firstRow="1" w:lastRow="0" w:firstColumn="1" w:lastColumn="0" w:noHBand="0" w:noVBand="1"/>
      </w:tblPr>
      <w:tblGrid>
        <w:gridCol w:w="3510"/>
        <w:gridCol w:w="5812"/>
      </w:tblGrid>
      <w:tr w:rsidR="005F3F11" w:rsidRPr="001561FC" w:rsidTr="005F3F11">
        <w:tc>
          <w:tcPr>
            <w:tcW w:w="3510" w:type="dxa"/>
          </w:tcPr>
          <w:p w:rsidR="005F3F11" w:rsidRPr="001561FC" w:rsidRDefault="005F3F11" w:rsidP="005F3F11">
            <w:pPr>
              <w:rPr>
                <w:b/>
                <w:szCs w:val="20"/>
              </w:rPr>
            </w:pPr>
            <w:r w:rsidRPr="001561FC">
              <w:rPr>
                <w:b/>
                <w:szCs w:val="20"/>
              </w:rPr>
              <w:t>LPR</w:t>
            </w:r>
          </w:p>
        </w:tc>
        <w:tc>
          <w:tcPr>
            <w:tcW w:w="5812" w:type="dxa"/>
          </w:tcPr>
          <w:p w:rsidR="005F3F11" w:rsidRPr="001561FC" w:rsidRDefault="005F3F11" w:rsidP="005F3F11">
            <w:pPr>
              <w:rPr>
                <w:b/>
                <w:szCs w:val="20"/>
              </w:rPr>
            </w:pPr>
            <w:r w:rsidRPr="001561FC">
              <w:rPr>
                <w:b/>
                <w:szCs w:val="20"/>
              </w:rPr>
              <w:t>LSR</w:t>
            </w:r>
          </w:p>
        </w:tc>
      </w:tr>
      <w:tr w:rsidR="005F3F11" w:rsidRPr="001561FC" w:rsidTr="005F3F11">
        <w:tc>
          <w:tcPr>
            <w:tcW w:w="3510" w:type="dxa"/>
          </w:tcPr>
          <w:p w:rsidR="005F3F11" w:rsidRPr="001561FC" w:rsidRDefault="005F3F11" w:rsidP="005F3F11">
            <w:pPr>
              <w:rPr>
                <w:szCs w:val="20"/>
              </w:rPr>
            </w:pPr>
            <w:r w:rsidRPr="001561FC">
              <w:rPr>
                <w:szCs w:val="20"/>
              </w:rPr>
              <w:t>ICD-10 koder:</w:t>
            </w:r>
          </w:p>
          <w:p w:rsidR="005F3F11" w:rsidRPr="001561FC" w:rsidRDefault="005F3F11" w:rsidP="005F3F11">
            <w:pPr>
              <w:rPr>
                <w:szCs w:val="20"/>
              </w:rPr>
            </w:pPr>
          </w:p>
          <w:p w:rsidR="005F3F11" w:rsidRPr="001561FC" w:rsidRDefault="005F3F11" w:rsidP="005F3F11">
            <w:pPr>
              <w:rPr>
                <w:szCs w:val="20"/>
              </w:rPr>
            </w:pPr>
            <w:r w:rsidRPr="001561FC">
              <w:rPr>
                <w:szCs w:val="20"/>
              </w:rPr>
              <w:t>J45 (astma) og underkoder,</w:t>
            </w:r>
          </w:p>
          <w:p w:rsidR="005F3F11" w:rsidRPr="001561FC" w:rsidRDefault="005F3F11" w:rsidP="005F3F11">
            <w:pPr>
              <w:rPr>
                <w:szCs w:val="20"/>
              </w:rPr>
            </w:pPr>
            <w:r w:rsidRPr="001561FC">
              <w:rPr>
                <w:szCs w:val="20"/>
              </w:rPr>
              <w:t>aktions- og bidiagnoser</w:t>
            </w:r>
          </w:p>
          <w:p w:rsidR="005F3F11" w:rsidRPr="001561FC" w:rsidRDefault="005F3F11" w:rsidP="005F3F11">
            <w:pPr>
              <w:rPr>
                <w:szCs w:val="20"/>
              </w:rPr>
            </w:pPr>
          </w:p>
          <w:p w:rsidR="005F3F11" w:rsidRPr="001561FC" w:rsidRDefault="005F3F11" w:rsidP="005F3F11">
            <w:pPr>
              <w:rPr>
                <w:b/>
                <w:szCs w:val="20"/>
              </w:rPr>
            </w:pPr>
          </w:p>
          <w:p w:rsidR="005F3F11" w:rsidRPr="001561FC" w:rsidRDefault="005F3F11" w:rsidP="005F3F11">
            <w:pPr>
              <w:rPr>
                <w:b/>
                <w:szCs w:val="20"/>
              </w:rPr>
            </w:pPr>
          </w:p>
        </w:tc>
        <w:tc>
          <w:tcPr>
            <w:tcW w:w="5812" w:type="dxa"/>
          </w:tcPr>
          <w:p w:rsidR="005F3F11" w:rsidRPr="001561FC" w:rsidRDefault="005F3F11" w:rsidP="005F3F11">
            <w:pPr>
              <w:rPr>
                <w:szCs w:val="20"/>
              </w:rPr>
            </w:pPr>
            <w:r w:rsidRPr="001561FC">
              <w:rPr>
                <w:szCs w:val="20"/>
              </w:rPr>
              <w:t>Indikationskoder:</w:t>
            </w:r>
          </w:p>
          <w:p w:rsidR="005F3F11" w:rsidRPr="001561FC" w:rsidRDefault="005F3F11" w:rsidP="005F3F11">
            <w:pPr>
              <w:rPr>
                <w:szCs w:val="20"/>
              </w:rPr>
            </w:pPr>
          </w:p>
          <w:p w:rsidR="005F3F11" w:rsidRPr="001561FC" w:rsidRDefault="005F3F11" w:rsidP="005F3F11">
            <w:pPr>
              <w:rPr>
                <w:szCs w:val="20"/>
              </w:rPr>
            </w:pPr>
            <w:r w:rsidRPr="001561FC">
              <w:rPr>
                <w:szCs w:val="20"/>
              </w:rPr>
              <w:t>202 ’mod astma’</w:t>
            </w:r>
          </w:p>
          <w:p w:rsidR="005F3F11" w:rsidRPr="001561FC" w:rsidRDefault="005F3F11" w:rsidP="005F3F11">
            <w:pPr>
              <w:rPr>
                <w:szCs w:val="20"/>
              </w:rPr>
            </w:pPr>
            <w:r w:rsidRPr="001561FC">
              <w:rPr>
                <w:szCs w:val="20"/>
              </w:rPr>
              <w:t>203 ’til forebyggelse af astma’</w:t>
            </w:r>
          </w:p>
          <w:p w:rsidR="005F3F11" w:rsidRPr="001561FC" w:rsidRDefault="005F3F11" w:rsidP="005F3F11">
            <w:pPr>
              <w:rPr>
                <w:szCs w:val="20"/>
              </w:rPr>
            </w:pPr>
          </w:p>
          <w:p w:rsidR="005F3F11" w:rsidRPr="001561FC" w:rsidRDefault="005F3F11" w:rsidP="005F3F11">
            <w:pPr>
              <w:rPr>
                <w:szCs w:val="20"/>
              </w:rPr>
            </w:pPr>
            <w:r w:rsidRPr="001561FC">
              <w:rPr>
                <w:szCs w:val="20"/>
              </w:rPr>
              <w:t>Lægemiddel:</w:t>
            </w:r>
          </w:p>
          <w:p w:rsidR="005F3F11" w:rsidRPr="001561FC" w:rsidRDefault="005F3F11" w:rsidP="005F3F11">
            <w:pPr>
              <w:pStyle w:val="Listeafsnit"/>
              <w:numPr>
                <w:ilvl w:val="1"/>
                <w:numId w:val="9"/>
              </w:numPr>
              <w:rPr>
                <w:szCs w:val="20"/>
              </w:rPr>
            </w:pPr>
            <w:r w:rsidRPr="001561FC">
              <w:rPr>
                <w:szCs w:val="20"/>
              </w:rPr>
              <w:t>montelukast (R03DC03)</w:t>
            </w:r>
          </w:p>
          <w:p w:rsidR="005F3F11" w:rsidRPr="001561FC" w:rsidRDefault="005F3F11" w:rsidP="005F3F11">
            <w:pPr>
              <w:rPr>
                <w:b/>
                <w:szCs w:val="20"/>
              </w:rPr>
            </w:pPr>
          </w:p>
        </w:tc>
      </w:tr>
    </w:tbl>
    <w:p w:rsidR="005F3F11" w:rsidRPr="001561FC" w:rsidRDefault="005F3F11" w:rsidP="005F3F11">
      <w:pPr>
        <w:rPr>
          <w:szCs w:val="20"/>
        </w:rPr>
      </w:pPr>
    </w:p>
    <w:p w:rsidR="005F3F11" w:rsidRPr="001561FC" w:rsidRDefault="005F3F11" w:rsidP="005F3F11">
      <w:pPr>
        <w:rPr>
          <w:szCs w:val="20"/>
        </w:rPr>
      </w:pPr>
      <w:r w:rsidRPr="001561FC">
        <w:rPr>
          <w:szCs w:val="20"/>
        </w:rPr>
        <w:t xml:space="preserve">Eksklusion: </w:t>
      </w:r>
    </w:p>
    <w:p w:rsidR="005F3F11" w:rsidRPr="001561FC" w:rsidRDefault="005F3F11" w:rsidP="005F3F11">
      <w:pPr>
        <w:rPr>
          <w:szCs w:val="20"/>
        </w:rPr>
      </w:pPr>
    </w:p>
    <w:p w:rsidR="005F3F11" w:rsidRPr="001561FC" w:rsidRDefault="005F3F11" w:rsidP="005F3F11">
      <w:pPr>
        <w:pStyle w:val="Listeafsnit"/>
        <w:numPr>
          <w:ilvl w:val="0"/>
          <w:numId w:val="14"/>
        </w:numPr>
        <w:rPr>
          <w:szCs w:val="20"/>
        </w:rPr>
      </w:pPr>
      <w:r w:rsidRPr="001561FC">
        <w:rPr>
          <w:szCs w:val="20"/>
        </w:rPr>
        <w:t>Personer, der er klassificeret med KOL i RUKS. ’Astma’ er en mindre stigmatiserende sygdom end KOL</w:t>
      </w:r>
      <w:r w:rsidR="005B2D38">
        <w:rPr>
          <w:szCs w:val="20"/>
        </w:rPr>
        <w:t>,</w:t>
      </w:r>
      <w:r w:rsidRPr="001561FC">
        <w:rPr>
          <w:szCs w:val="20"/>
        </w:rPr>
        <w:t xml:space="preserve"> og personer kan af diskretionshensyn have fået indikationskoder for astma selvom de har KOL. En KOL klassificering vægtes derfor højere end en astma klassifikation.</w:t>
      </w:r>
    </w:p>
    <w:p w:rsidR="005F3F11" w:rsidRPr="001561FC" w:rsidRDefault="005F3F11" w:rsidP="005F3F11">
      <w:pPr>
        <w:pStyle w:val="Listeafsnit"/>
        <w:rPr>
          <w:szCs w:val="20"/>
        </w:rPr>
      </w:pPr>
    </w:p>
    <w:p w:rsidR="005F3F11" w:rsidRPr="001561FC" w:rsidRDefault="005F3F11" w:rsidP="005F3F11">
      <w:pPr>
        <w:pStyle w:val="Listeafsnit"/>
        <w:numPr>
          <w:ilvl w:val="0"/>
          <w:numId w:val="14"/>
        </w:numPr>
        <w:rPr>
          <w:szCs w:val="20"/>
        </w:rPr>
      </w:pPr>
      <w:r w:rsidRPr="001561FC">
        <w:rPr>
          <w:szCs w:val="20"/>
        </w:rPr>
        <w:t>Personer, der udelukkende er i LSR og ikke har haft mere end to køb af medicin med specifikke indikationskoder eller to indløsninger af lægemidler, der kun er godkendt til astma.</w:t>
      </w:r>
    </w:p>
    <w:p w:rsidR="005F3F11" w:rsidRPr="001561FC" w:rsidRDefault="005F3F11" w:rsidP="005F3F11">
      <w:pPr>
        <w:pStyle w:val="Listeafsnit"/>
        <w:rPr>
          <w:szCs w:val="20"/>
        </w:rPr>
      </w:pPr>
    </w:p>
    <w:p w:rsidR="005F3F11" w:rsidRPr="001561FC" w:rsidRDefault="005F3F11" w:rsidP="005F3F11">
      <w:pPr>
        <w:pStyle w:val="Listeafsnit"/>
        <w:numPr>
          <w:ilvl w:val="0"/>
          <w:numId w:val="14"/>
        </w:numPr>
        <w:rPr>
          <w:szCs w:val="20"/>
        </w:rPr>
      </w:pPr>
      <w:r w:rsidRPr="001561FC">
        <w:rPr>
          <w:szCs w:val="20"/>
        </w:rPr>
        <w:t>Personer, der udelukkende er i LSR og har haft mere end 2 køb af medicin med specifikke indikationskoder for astma, men ikke har købt astmamedicin (R03). Disse personer har købt ipratropin, næsespray (R01AX03), der er godkendt til allergisk og non-allergisk rhinitis (løbenæse), eller fået en allergitest (V01AA) ’mod astma’.</w:t>
      </w:r>
    </w:p>
    <w:p w:rsidR="005F3F11" w:rsidRPr="001561FC" w:rsidRDefault="005F3F11" w:rsidP="005F3F11">
      <w:pPr>
        <w:rPr>
          <w:szCs w:val="20"/>
        </w:rPr>
      </w:pPr>
    </w:p>
    <w:p w:rsidR="005F3F11" w:rsidRPr="001561FC" w:rsidRDefault="005F3F11" w:rsidP="005F3F11">
      <w:pPr>
        <w:pStyle w:val="Listeafsnit"/>
        <w:numPr>
          <w:ilvl w:val="0"/>
          <w:numId w:val="13"/>
        </w:numPr>
        <w:rPr>
          <w:szCs w:val="20"/>
        </w:rPr>
      </w:pPr>
      <w:r w:rsidRPr="001561FC">
        <w:rPr>
          <w:szCs w:val="20"/>
        </w:rPr>
        <w:t>Personer med cystisk fibrose (CF). Cystisk fibrose personer er identificeret ved enten diagnose (E84 og undergrupper), min. to køb af lægemidler med specifik indikationskode for cystisk fibrose eller lægemidler kun anvendt til cystisk fibrose (desoxiribonucleate, R05CB13). Cystisk fibrose patienter kan også anvende astmamedicin. Cystisk fibrose er en multiorgan sygdom, der er meget forskellig fra KOL og astma.</w:t>
      </w:r>
    </w:p>
    <w:p w:rsidR="005F3F11" w:rsidRPr="001561FC" w:rsidRDefault="005F3F11" w:rsidP="005F3F11">
      <w:pPr>
        <w:pStyle w:val="Listeafsnit"/>
        <w:rPr>
          <w:szCs w:val="20"/>
        </w:rPr>
      </w:pPr>
    </w:p>
    <w:p w:rsidR="005F3F11" w:rsidRPr="001561FC" w:rsidRDefault="005F3F11" w:rsidP="005F3F11">
      <w:pPr>
        <w:pStyle w:val="Listeafsnit"/>
        <w:numPr>
          <w:ilvl w:val="0"/>
          <w:numId w:val="13"/>
        </w:numPr>
        <w:rPr>
          <w:szCs w:val="20"/>
        </w:rPr>
      </w:pPr>
      <w:r w:rsidRPr="001561FC">
        <w:rPr>
          <w:szCs w:val="20"/>
        </w:rPr>
        <w:t>Børn, der udelukkende har været under 6 år ved indlæggelser eller indløsninger af recepter. Børn under 6 år pilles ud og betegnes ’børneastma’, da det er vanskeligt at skelne mellem diagnosen astma og virusudløst astma (astmatisk bronkitis) hos små børn</w:t>
      </w:r>
      <w:r w:rsidRPr="001561FC">
        <w:rPr>
          <w:rStyle w:val="Slutnotehenvisning"/>
          <w:szCs w:val="20"/>
        </w:rPr>
        <w:endnoteReference w:id="14"/>
      </w:r>
      <w:r w:rsidRPr="001561FC">
        <w:rPr>
          <w:rStyle w:val="Slutnotehenvisning"/>
          <w:szCs w:val="20"/>
        </w:rPr>
        <w:endnoteReference w:id="15"/>
      </w:r>
      <w:r w:rsidRPr="001561FC">
        <w:rPr>
          <w:szCs w:val="20"/>
        </w:rPr>
        <w:t>. 2/3 af små børn, der har haft astmalignende symptomer ved forkølelse vokser fra det inden</w:t>
      </w:r>
      <w:r w:rsidR="005B2D38">
        <w:rPr>
          <w:szCs w:val="20"/>
        </w:rPr>
        <w:t>,</w:t>
      </w:r>
      <w:r w:rsidRPr="001561FC">
        <w:rPr>
          <w:szCs w:val="20"/>
        </w:rPr>
        <w:t xml:space="preserve"> de når skolealderen. </w:t>
      </w:r>
    </w:p>
    <w:p w:rsidR="005F3F11" w:rsidRPr="001561FC" w:rsidRDefault="005F3F11" w:rsidP="005F3F11">
      <w:pPr>
        <w:pStyle w:val="Listeafsnit"/>
        <w:rPr>
          <w:szCs w:val="20"/>
        </w:rPr>
      </w:pPr>
    </w:p>
    <w:p w:rsidR="005F3F11" w:rsidRPr="0069636A" w:rsidRDefault="005F3F11" w:rsidP="005F3F11">
      <w:pPr>
        <w:rPr>
          <w:sz w:val="22"/>
        </w:rPr>
      </w:pPr>
    </w:p>
    <w:p w:rsidR="005F3F11" w:rsidRDefault="005F3F11" w:rsidP="005F3F11">
      <w:pPr>
        <w:rPr>
          <w:sz w:val="22"/>
        </w:rPr>
      </w:pPr>
    </w:p>
    <w:p w:rsidR="005F3F11" w:rsidRDefault="005F3F11" w:rsidP="005F3F11">
      <w:pPr>
        <w:rPr>
          <w:sz w:val="22"/>
        </w:rPr>
      </w:pPr>
    </w:p>
    <w:p w:rsidR="005F3F11" w:rsidRPr="00C46A08" w:rsidRDefault="005F3F11" w:rsidP="005F3F11">
      <w:pPr>
        <w:rPr>
          <w:sz w:val="22"/>
        </w:rPr>
      </w:pPr>
    </w:p>
    <w:p w:rsidR="005F3F11" w:rsidRDefault="005F3F11" w:rsidP="005F3F11">
      <w:pPr>
        <w:rPr>
          <w:b/>
          <w:sz w:val="22"/>
        </w:rPr>
      </w:pPr>
    </w:p>
    <w:p w:rsidR="005F3F11" w:rsidRDefault="005F3F11" w:rsidP="005F3F11">
      <w:pPr>
        <w:rPr>
          <w:b/>
          <w:sz w:val="22"/>
        </w:rPr>
      </w:pPr>
    </w:p>
    <w:p w:rsidR="005F3F11" w:rsidRDefault="005F3F11" w:rsidP="005F3F11">
      <w:pPr>
        <w:rPr>
          <w:b/>
          <w:sz w:val="22"/>
        </w:rPr>
      </w:pPr>
    </w:p>
    <w:p w:rsidR="005F3F11" w:rsidRDefault="005F3F11" w:rsidP="005F3F11">
      <w:pPr>
        <w:rPr>
          <w:b/>
          <w:sz w:val="22"/>
        </w:rPr>
      </w:pPr>
    </w:p>
    <w:p w:rsidR="005F3F11" w:rsidRDefault="005F3F11" w:rsidP="005F3F11">
      <w:pPr>
        <w:rPr>
          <w:b/>
          <w:sz w:val="22"/>
        </w:rPr>
      </w:pPr>
    </w:p>
    <w:p w:rsidR="005F3F11" w:rsidRDefault="005F3F11" w:rsidP="005F3F11">
      <w:pPr>
        <w:rPr>
          <w:b/>
          <w:sz w:val="22"/>
        </w:rPr>
      </w:pPr>
    </w:p>
    <w:p w:rsidR="005F3F11" w:rsidRDefault="005F3F11" w:rsidP="005F3F11">
      <w:pPr>
        <w:rPr>
          <w:b/>
          <w:sz w:val="22"/>
        </w:rPr>
      </w:pPr>
    </w:p>
    <w:p w:rsidR="005F3F11" w:rsidRDefault="005F3F11" w:rsidP="005F3F11">
      <w:pPr>
        <w:rPr>
          <w:b/>
          <w:sz w:val="22"/>
        </w:rPr>
      </w:pPr>
    </w:p>
    <w:p w:rsidR="005F3F11" w:rsidRDefault="005F3F11" w:rsidP="005F3F11">
      <w:pPr>
        <w:rPr>
          <w:b/>
          <w:sz w:val="22"/>
        </w:rPr>
      </w:pPr>
    </w:p>
    <w:p w:rsidR="00583C5D" w:rsidRDefault="00583C5D" w:rsidP="005F3F11">
      <w:pPr>
        <w:rPr>
          <w:b/>
          <w:sz w:val="22"/>
        </w:rPr>
      </w:pPr>
    </w:p>
    <w:p w:rsidR="005F3F11" w:rsidRDefault="005F3F11" w:rsidP="005F3F11">
      <w:pPr>
        <w:rPr>
          <w:b/>
          <w:sz w:val="22"/>
        </w:rPr>
      </w:pPr>
    </w:p>
    <w:p w:rsidR="001561FC" w:rsidRDefault="001561FC" w:rsidP="005F3F11">
      <w:pPr>
        <w:rPr>
          <w:b/>
          <w:sz w:val="22"/>
        </w:rPr>
      </w:pPr>
    </w:p>
    <w:p w:rsidR="001561FC" w:rsidRDefault="001561FC" w:rsidP="005F3F11">
      <w:pPr>
        <w:rPr>
          <w:b/>
          <w:sz w:val="22"/>
        </w:rPr>
      </w:pPr>
    </w:p>
    <w:p w:rsidR="001561FC" w:rsidRDefault="001561FC" w:rsidP="005F3F11">
      <w:pPr>
        <w:rPr>
          <w:b/>
          <w:sz w:val="22"/>
        </w:rPr>
      </w:pPr>
    </w:p>
    <w:p w:rsidR="001561FC" w:rsidRDefault="001561FC" w:rsidP="005F3F11">
      <w:pPr>
        <w:rPr>
          <w:b/>
          <w:sz w:val="22"/>
        </w:rPr>
      </w:pPr>
    </w:p>
    <w:p w:rsidR="001561FC" w:rsidRDefault="001561FC" w:rsidP="005F3F11">
      <w:pPr>
        <w:rPr>
          <w:b/>
          <w:sz w:val="22"/>
        </w:rPr>
      </w:pPr>
    </w:p>
    <w:p w:rsidR="001561FC" w:rsidRDefault="001561FC" w:rsidP="005F3F11">
      <w:pPr>
        <w:rPr>
          <w:b/>
          <w:sz w:val="22"/>
        </w:rPr>
      </w:pPr>
    </w:p>
    <w:p w:rsidR="001561FC" w:rsidRDefault="001561FC" w:rsidP="005F3F11">
      <w:pPr>
        <w:rPr>
          <w:b/>
          <w:sz w:val="22"/>
        </w:rPr>
      </w:pPr>
    </w:p>
    <w:p w:rsidR="001561FC" w:rsidRDefault="001561FC" w:rsidP="005F3F11">
      <w:pPr>
        <w:rPr>
          <w:b/>
          <w:sz w:val="22"/>
        </w:rPr>
      </w:pPr>
    </w:p>
    <w:p w:rsidR="005F3F11" w:rsidRDefault="005F3F11" w:rsidP="005F3F11">
      <w:pPr>
        <w:rPr>
          <w:b/>
          <w:sz w:val="22"/>
        </w:rPr>
      </w:pPr>
    </w:p>
    <w:p w:rsidR="005F3F11" w:rsidRPr="001561FC" w:rsidRDefault="005F3F11" w:rsidP="00583C5D">
      <w:pPr>
        <w:pStyle w:val="Overskrift2"/>
        <w:rPr>
          <w:b/>
          <w:sz w:val="20"/>
          <w:szCs w:val="20"/>
        </w:rPr>
      </w:pPr>
      <w:bookmarkStart w:id="32" w:name="_Toc391624667"/>
      <w:r w:rsidRPr="001561FC">
        <w:rPr>
          <w:b/>
          <w:sz w:val="20"/>
          <w:szCs w:val="20"/>
        </w:rPr>
        <w:t xml:space="preserve">Flowdiagram for dannelse af </w:t>
      </w:r>
      <w:r w:rsidR="004D4D3E">
        <w:rPr>
          <w:b/>
          <w:sz w:val="20"/>
          <w:szCs w:val="20"/>
        </w:rPr>
        <w:t xml:space="preserve">astma </w:t>
      </w:r>
      <w:r w:rsidRPr="001561FC">
        <w:rPr>
          <w:b/>
          <w:sz w:val="20"/>
          <w:szCs w:val="20"/>
        </w:rPr>
        <w:t>population pr. 1. januar 2013</w:t>
      </w:r>
      <w:bookmarkEnd w:id="32"/>
    </w:p>
    <w:p w:rsidR="005F3F11" w:rsidRDefault="005F3F11" w:rsidP="005F3F11">
      <w:pPr>
        <w:rPr>
          <w:b/>
          <w:szCs w:val="20"/>
        </w:rPr>
      </w:pPr>
    </w:p>
    <w:p w:rsidR="00090914" w:rsidRPr="001561FC" w:rsidRDefault="00090914" w:rsidP="005F3F11">
      <w:pPr>
        <w:rPr>
          <w:b/>
          <w:szCs w:val="20"/>
        </w:rPr>
      </w:pPr>
    </w:p>
    <w:p w:rsidR="005F3F11" w:rsidRDefault="00090914" w:rsidP="005F3F11">
      <w:pPr>
        <w:rPr>
          <w:b/>
          <w:sz w:val="22"/>
        </w:rPr>
      </w:pPr>
      <w:r>
        <w:rPr>
          <w:b/>
          <w:noProof/>
          <w:sz w:val="22"/>
          <w:lang w:eastAsia="da-DK"/>
        </w:rPr>
        <w:drawing>
          <wp:inline distT="0" distB="0" distL="0" distR="0" wp14:anchorId="6EF96AF2" wp14:editId="76FD1473">
            <wp:extent cx="6410325" cy="6352540"/>
            <wp:effectExtent l="0" t="0" r="9525" b="0"/>
            <wp:docPr id="211" name="Billed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10325" cy="6352540"/>
                    </a:xfrm>
                    <a:prstGeom prst="rect">
                      <a:avLst/>
                    </a:prstGeom>
                    <a:noFill/>
                  </pic:spPr>
                </pic:pic>
              </a:graphicData>
            </a:graphic>
          </wp:inline>
        </w:drawing>
      </w:r>
    </w:p>
    <w:p w:rsidR="00B24239" w:rsidRDefault="00B24239" w:rsidP="00583C5D">
      <w:pPr>
        <w:pStyle w:val="Overskrift2"/>
        <w:rPr>
          <w:b/>
          <w:sz w:val="20"/>
          <w:szCs w:val="20"/>
        </w:rPr>
      </w:pPr>
    </w:p>
    <w:p w:rsidR="00B24239" w:rsidRDefault="00B24239" w:rsidP="00583C5D">
      <w:pPr>
        <w:pStyle w:val="Overskrift2"/>
        <w:rPr>
          <w:b/>
          <w:sz w:val="20"/>
          <w:szCs w:val="20"/>
        </w:rPr>
      </w:pPr>
    </w:p>
    <w:p w:rsidR="005F3F11" w:rsidRPr="001561FC" w:rsidRDefault="005F3F11" w:rsidP="00583C5D">
      <w:pPr>
        <w:pStyle w:val="Overskrift2"/>
        <w:rPr>
          <w:b/>
          <w:sz w:val="20"/>
          <w:szCs w:val="20"/>
        </w:rPr>
      </w:pPr>
      <w:bookmarkStart w:id="33" w:name="_Toc391624668"/>
      <w:r w:rsidRPr="001561FC">
        <w:rPr>
          <w:b/>
          <w:sz w:val="20"/>
          <w:szCs w:val="20"/>
        </w:rPr>
        <w:t>Beskrivelse af den fundne population</w:t>
      </w:r>
      <w:bookmarkEnd w:id="33"/>
    </w:p>
    <w:p w:rsidR="005F3F11" w:rsidRPr="001561FC" w:rsidRDefault="005F3F11" w:rsidP="005F3F11">
      <w:pPr>
        <w:rPr>
          <w:b/>
          <w:szCs w:val="20"/>
        </w:rPr>
      </w:pPr>
    </w:p>
    <w:p w:rsidR="005F3F11" w:rsidRPr="001561FC" w:rsidRDefault="005F3F11" w:rsidP="005F3F11">
      <w:pPr>
        <w:rPr>
          <w:szCs w:val="20"/>
        </w:rPr>
      </w:pPr>
      <w:r w:rsidRPr="001561FC">
        <w:rPr>
          <w:szCs w:val="20"/>
        </w:rPr>
        <w:t xml:space="preserve">I astma populationen til RUKS er 53 </w:t>
      </w:r>
      <w:r w:rsidR="00B82458">
        <w:rPr>
          <w:szCs w:val="20"/>
        </w:rPr>
        <w:t>%</w:t>
      </w:r>
      <w:r w:rsidRPr="001561FC">
        <w:rPr>
          <w:szCs w:val="20"/>
        </w:rPr>
        <w:t xml:space="preserve"> kvinder pr. 1. januar 2013. Medianalderen ved debut er 23 år (7-44</w:t>
      </w:r>
      <w:r w:rsidRPr="001561FC">
        <w:rPr>
          <w:rStyle w:val="Fodnotehenvisning"/>
          <w:szCs w:val="20"/>
        </w:rPr>
        <w:footnoteReference w:id="6"/>
      </w:r>
      <w:r w:rsidRPr="001561FC">
        <w:rPr>
          <w:szCs w:val="20"/>
        </w:rPr>
        <w:t>) for kvinder og 12 år (1-36) for mænd. Ved udregning af debutalder er personer, der har debutår tidligere end 1996 frasorteret, da registerudtrækkene er fra 1995</w:t>
      </w:r>
      <w:r w:rsidR="005B2D38">
        <w:rPr>
          <w:szCs w:val="20"/>
        </w:rPr>
        <w:t>,</w:t>
      </w:r>
      <w:r w:rsidRPr="001561FC">
        <w:rPr>
          <w:szCs w:val="20"/>
        </w:rPr>
        <w:t xml:space="preserve"> og personerne kan have debuteret tidligere end vi har data for. Personernes alder i 1995 ikke nødvendigvis er deres sande debutalder, se figur </w:t>
      </w:r>
      <w:r w:rsidR="0030575C" w:rsidRPr="001561FC">
        <w:rPr>
          <w:szCs w:val="20"/>
        </w:rPr>
        <w:t>3.</w:t>
      </w:r>
      <w:r w:rsidRPr="001561FC">
        <w:rPr>
          <w:szCs w:val="20"/>
        </w:rPr>
        <w:t>1.</w:t>
      </w:r>
    </w:p>
    <w:p w:rsidR="005F3F11" w:rsidRPr="001561FC" w:rsidRDefault="005F3F11" w:rsidP="005F3F11">
      <w:pPr>
        <w:rPr>
          <w:szCs w:val="20"/>
        </w:rPr>
      </w:pPr>
    </w:p>
    <w:p w:rsidR="005F3F11" w:rsidRPr="001561FC" w:rsidRDefault="0030575C" w:rsidP="005F3F11">
      <w:pPr>
        <w:rPr>
          <w:szCs w:val="20"/>
        </w:rPr>
      </w:pPr>
      <w:r w:rsidRPr="001561FC">
        <w:rPr>
          <w:szCs w:val="20"/>
        </w:rPr>
        <w:t>Figur 3.1</w:t>
      </w:r>
      <w:r w:rsidR="005F3F11" w:rsidRPr="001561FC">
        <w:rPr>
          <w:szCs w:val="20"/>
        </w:rPr>
        <w:t>. ’Debutalder’ i RUKS for astma populationen pr. 1. januar 2013, målt som den første sygehuskontakt eller første indløsning</w:t>
      </w:r>
      <w:r w:rsidR="00B81F0E">
        <w:rPr>
          <w:szCs w:val="20"/>
        </w:rPr>
        <w:t xml:space="preserve"> af recept af</w:t>
      </w:r>
      <w:r w:rsidR="005F3F11" w:rsidRPr="001561FC">
        <w:rPr>
          <w:szCs w:val="20"/>
        </w:rPr>
        <w:t xml:space="preserve"> astmamedicin (ATC-gruppe R03). </w:t>
      </w:r>
    </w:p>
    <w:p w:rsidR="005F3F11" w:rsidRPr="001561FC" w:rsidRDefault="005F3F11" w:rsidP="005F3F11">
      <w:pPr>
        <w:rPr>
          <w:szCs w:val="20"/>
        </w:rPr>
      </w:pPr>
      <w:r w:rsidRPr="001561FC">
        <w:rPr>
          <w:szCs w:val="20"/>
        </w:rPr>
        <w:t>Kun børn under 6 år, der også har diagnoser, indikationskoder eller specifikke lægemidler efter at de er fyldt 6 år, er medtaget.</w:t>
      </w:r>
    </w:p>
    <w:p w:rsidR="005F3F11" w:rsidRDefault="005F3F11" w:rsidP="005F3F11">
      <w:pPr>
        <w:rPr>
          <w:sz w:val="22"/>
        </w:rPr>
      </w:pPr>
    </w:p>
    <w:p w:rsidR="005F3F11" w:rsidRDefault="008A5A90" w:rsidP="005F3F11">
      <w:pPr>
        <w:rPr>
          <w:sz w:val="22"/>
        </w:rPr>
      </w:pPr>
      <w:r>
        <w:rPr>
          <w:noProof/>
          <w:sz w:val="22"/>
          <w:lang w:eastAsia="da-DK"/>
        </w:rPr>
        <w:drawing>
          <wp:inline distT="0" distB="0" distL="0" distR="0" wp14:anchorId="51CC7E91" wp14:editId="5F09A84E">
            <wp:extent cx="5883275" cy="2755900"/>
            <wp:effectExtent l="0" t="0" r="3175" b="6350"/>
            <wp:docPr id="199" name="Billed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3275" cy="2755900"/>
                    </a:xfrm>
                    <a:prstGeom prst="rect">
                      <a:avLst/>
                    </a:prstGeom>
                    <a:noFill/>
                  </pic:spPr>
                </pic:pic>
              </a:graphicData>
            </a:graphic>
          </wp:inline>
        </w:drawing>
      </w:r>
    </w:p>
    <w:p w:rsidR="005F3F11" w:rsidRDefault="005F3F11" w:rsidP="005F3F11">
      <w:pPr>
        <w:rPr>
          <w:sz w:val="22"/>
        </w:rPr>
      </w:pPr>
    </w:p>
    <w:p w:rsidR="005F3F11" w:rsidRPr="001561FC" w:rsidRDefault="005F3F11" w:rsidP="005F3F11">
      <w:pPr>
        <w:rPr>
          <w:szCs w:val="20"/>
        </w:rPr>
      </w:pPr>
    </w:p>
    <w:p w:rsidR="005F3F11" w:rsidRPr="001561FC" w:rsidRDefault="005F3F11" w:rsidP="005F3F11">
      <w:pPr>
        <w:rPr>
          <w:szCs w:val="20"/>
        </w:rPr>
      </w:pPr>
      <w:r w:rsidRPr="001561FC">
        <w:rPr>
          <w:szCs w:val="20"/>
        </w:rPr>
        <w:t xml:space="preserve">Sammenlignes debutalderen for population af astmapatienter med KOL patienter tyder det på, at de to populationer kan adskilles via udtræksalgoritmerne uden det store overlap og fejlklassificering (se figur </w:t>
      </w:r>
      <w:r w:rsidR="00217C4B">
        <w:rPr>
          <w:szCs w:val="20"/>
        </w:rPr>
        <w:t>2</w:t>
      </w:r>
      <w:r w:rsidR="0030575C" w:rsidRPr="001561FC">
        <w:rPr>
          <w:szCs w:val="20"/>
        </w:rPr>
        <w:t>.</w:t>
      </w:r>
      <w:r w:rsidRPr="001561FC">
        <w:rPr>
          <w:szCs w:val="20"/>
        </w:rPr>
        <w:t>2</w:t>
      </w:r>
      <w:r w:rsidR="00217C4B">
        <w:rPr>
          <w:szCs w:val="20"/>
        </w:rPr>
        <w:t xml:space="preserve"> i forrige kapitel om KOL</w:t>
      </w:r>
      <w:r w:rsidRPr="001561FC">
        <w:rPr>
          <w:szCs w:val="20"/>
        </w:rPr>
        <w:t>).</w:t>
      </w:r>
    </w:p>
    <w:p w:rsidR="005F3F11" w:rsidRPr="001561FC" w:rsidRDefault="005F3F11" w:rsidP="005F3F11">
      <w:pPr>
        <w:rPr>
          <w:szCs w:val="20"/>
        </w:rPr>
      </w:pPr>
    </w:p>
    <w:p w:rsidR="005F3F11" w:rsidRDefault="005F3F11" w:rsidP="005F3F11">
      <w:pPr>
        <w:rPr>
          <w:szCs w:val="20"/>
        </w:rPr>
      </w:pPr>
    </w:p>
    <w:p w:rsidR="001561FC" w:rsidRDefault="001561FC" w:rsidP="005F3F11">
      <w:pPr>
        <w:rPr>
          <w:szCs w:val="20"/>
        </w:rPr>
      </w:pPr>
    </w:p>
    <w:p w:rsidR="001561FC" w:rsidRDefault="001561FC" w:rsidP="005F3F11">
      <w:pPr>
        <w:rPr>
          <w:szCs w:val="20"/>
        </w:rPr>
      </w:pPr>
    </w:p>
    <w:p w:rsidR="008A5A90" w:rsidRPr="001561FC" w:rsidRDefault="008A5A90" w:rsidP="005F3F11">
      <w:pPr>
        <w:rPr>
          <w:szCs w:val="20"/>
        </w:rPr>
      </w:pPr>
    </w:p>
    <w:p w:rsidR="005F3F11" w:rsidRPr="001561FC" w:rsidRDefault="005F3F11" w:rsidP="005F3F11">
      <w:pPr>
        <w:rPr>
          <w:szCs w:val="20"/>
        </w:rPr>
      </w:pPr>
    </w:p>
    <w:p w:rsidR="005F3F11" w:rsidRPr="001561FC" w:rsidRDefault="005F3F11" w:rsidP="005F3F11">
      <w:pPr>
        <w:rPr>
          <w:szCs w:val="20"/>
        </w:rPr>
      </w:pPr>
    </w:p>
    <w:p w:rsidR="005F3F11" w:rsidRDefault="005F3F11" w:rsidP="00583C5D">
      <w:pPr>
        <w:pStyle w:val="Overskrift2"/>
        <w:rPr>
          <w:b/>
          <w:sz w:val="20"/>
          <w:szCs w:val="20"/>
        </w:rPr>
      </w:pPr>
      <w:bookmarkStart w:id="34" w:name="_Toc391624669"/>
      <w:r w:rsidRPr="001561FC">
        <w:rPr>
          <w:b/>
          <w:sz w:val="20"/>
          <w:szCs w:val="20"/>
        </w:rPr>
        <w:t>Antal personer med astma 2007 til 2013 i RUKS</w:t>
      </w:r>
      <w:bookmarkEnd w:id="34"/>
    </w:p>
    <w:p w:rsidR="001561FC" w:rsidRPr="001561FC" w:rsidRDefault="001561FC" w:rsidP="001561FC"/>
    <w:p w:rsidR="005F3F11" w:rsidRPr="001561FC" w:rsidRDefault="005F3F11" w:rsidP="005F3F11">
      <w:pPr>
        <w:rPr>
          <w:szCs w:val="20"/>
        </w:rPr>
      </w:pPr>
      <w:r w:rsidRPr="001561FC">
        <w:rPr>
          <w:szCs w:val="20"/>
        </w:rPr>
        <w:t xml:space="preserve">Tabel </w:t>
      </w:r>
      <w:r w:rsidR="0030575C" w:rsidRPr="001561FC">
        <w:rPr>
          <w:szCs w:val="20"/>
        </w:rPr>
        <w:t>3.</w:t>
      </w:r>
      <w:r w:rsidRPr="001561FC">
        <w:rPr>
          <w:szCs w:val="20"/>
        </w:rPr>
        <w:t>1. Prævalens af personer i RUKS pr. 1. januar det pågældende år.</w:t>
      </w:r>
    </w:p>
    <w:p w:rsidR="005F3F11" w:rsidRPr="001561FC" w:rsidRDefault="005F3F11" w:rsidP="005F3F11">
      <w:pPr>
        <w:rPr>
          <w:b/>
          <w:szCs w:val="20"/>
        </w:rPr>
      </w:pPr>
    </w:p>
    <w:tbl>
      <w:tblPr>
        <w:tblStyle w:val="Tabel-Gitter"/>
        <w:tblW w:w="0" w:type="auto"/>
        <w:tblLook w:val="04A0" w:firstRow="1" w:lastRow="0" w:firstColumn="1" w:lastColumn="0" w:noHBand="0" w:noVBand="1"/>
      </w:tblPr>
      <w:tblGrid>
        <w:gridCol w:w="1374"/>
        <w:gridCol w:w="1375"/>
        <w:gridCol w:w="1375"/>
        <w:gridCol w:w="1376"/>
        <w:gridCol w:w="1376"/>
        <w:gridCol w:w="1376"/>
        <w:gridCol w:w="1376"/>
      </w:tblGrid>
      <w:tr w:rsidR="0074215F" w:rsidTr="004F2180">
        <w:tc>
          <w:tcPr>
            <w:tcW w:w="1396" w:type="dxa"/>
          </w:tcPr>
          <w:p w:rsidR="0074215F" w:rsidRDefault="0074215F" w:rsidP="004F2180">
            <w:pPr>
              <w:jc w:val="center"/>
              <w:rPr>
                <w:b/>
                <w:sz w:val="22"/>
              </w:rPr>
            </w:pPr>
            <w:r>
              <w:rPr>
                <w:b/>
                <w:sz w:val="22"/>
              </w:rPr>
              <w:t>2007</w:t>
            </w:r>
          </w:p>
        </w:tc>
        <w:tc>
          <w:tcPr>
            <w:tcW w:w="1397" w:type="dxa"/>
          </w:tcPr>
          <w:p w:rsidR="0074215F" w:rsidRDefault="0074215F" w:rsidP="004F2180">
            <w:pPr>
              <w:jc w:val="center"/>
              <w:rPr>
                <w:b/>
                <w:sz w:val="22"/>
              </w:rPr>
            </w:pPr>
            <w:r>
              <w:rPr>
                <w:b/>
                <w:sz w:val="22"/>
              </w:rPr>
              <w:t>2008</w:t>
            </w:r>
          </w:p>
        </w:tc>
        <w:tc>
          <w:tcPr>
            <w:tcW w:w="1397" w:type="dxa"/>
          </w:tcPr>
          <w:p w:rsidR="0074215F" w:rsidRDefault="0074215F" w:rsidP="004F2180">
            <w:pPr>
              <w:jc w:val="center"/>
              <w:rPr>
                <w:b/>
                <w:sz w:val="22"/>
              </w:rPr>
            </w:pPr>
            <w:r>
              <w:rPr>
                <w:b/>
                <w:sz w:val="22"/>
              </w:rPr>
              <w:t>2009</w:t>
            </w:r>
          </w:p>
        </w:tc>
        <w:tc>
          <w:tcPr>
            <w:tcW w:w="1397" w:type="dxa"/>
          </w:tcPr>
          <w:p w:rsidR="0074215F" w:rsidRDefault="0074215F" w:rsidP="004F2180">
            <w:pPr>
              <w:jc w:val="center"/>
              <w:rPr>
                <w:b/>
                <w:sz w:val="22"/>
              </w:rPr>
            </w:pPr>
            <w:r>
              <w:rPr>
                <w:b/>
                <w:sz w:val="22"/>
              </w:rPr>
              <w:t>2010</w:t>
            </w:r>
          </w:p>
        </w:tc>
        <w:tc>
          <w:tcPr>
            <w:tcW w:w="1397" w:type="dxa"/>
          </w:tcPr>
          <w:p w:rsidR="0074215F" w:rsidRDefault="0074215F" w:rsidP="004F2180">
            <w:pPr>
              <w:jc w:val="center"/>
              <w:rPr>
                <w:b/>
                <w:sz w:val="22"/>
              </w:rPr>
            </w:pPr>
            <w:r>
              <w:rPr>
                <w:b/>
                <w:sz w:val="22"/>
              </w:rPr>
              <w:t>2011</w:t>
            </w:r>
          </w:p>
        </w:tc>
        <w:tc>
          <w:tcPr>
            <w:tcW w:w="1397" w:type="dxa"/>
          </w:tcPr>
          <w:p w:rsidR="0074215F" w:rsidRDefault="0074215F" w:rsidP="004F2180">
            <w:pPr>
              <w:jc w:val="center"/>
              <w:rPr>
                <w:b/>
                <w:sz w:val="22"/>
              </w:rPr>
            </w:pPr>
            <w:r>
              <w:rPr>
                <w:b/>
                <w:sz w:val="22"/>
              </w:rPr>
              <w:t>2012</w:t>
            </w:r>
          </w:p>
        </w:tc>
        <w:tc>
          <w:tcPr>
            <w:tcW w:w="1397" w:type="dxa"/>
          </w:tcPr>
          <w:p w:rsidR="0074215F" w:rsidRDefault="0074215F" w:rsidP="004F2180">
            <w:pPr>
              <w:jc w:val="center"/>
              <w:rPr>
                <w:b/>
                <w:sz w:val="22"/>
              </w:rPr>
            </w:pPr>
            <w:r>
              <w:rPr>
                <w:b/>
                <w:sz w:val="22"/>
              </w:rPr>
              <w:t>2013</w:t>
            </w:r>
          </w:p>
        </w:tc>
      </w:tr>
      <w:tr w:rsidR="0074215F" w:rsidTr="004F2180">
        <w:tc>
          <w:tcPr>
            <w:tcW w:w="1396" w:type="dxa"/>
          </w:tcPr>
          <w:p w:rsidR="0074215F" w:rsidRPr="00DC08F7" w:rsidRDefault="0074215F" w:rsidP="004F2180">
            <w:pPr>
              <w:jc w:val="center"/>
              <w:rPr>
                <w:sz w:val="22"/>
              </w:rPr>
            </w:pPr>
            <w:r>
              <w:rPr>
                <w:sz w:val="22"/>
              </w:rPr>
              <w:t>320.488</w:t>
            </w:r>
          </w:p>
        </w:tc>
        <w:tc>
          <w:tcPr>
            <w:tcW w:w="1397" w:type="dxa"/>
          </w:tcPr>
          <w:p w:rsidR="0074215F" w:rsidRPr="00DC08F7" w:rsidRDefault="0074215F" w:rsidP="004F2180">
            <w:pPr>
              <w:jc w:val="center"/>
              <w:rPr>
                <w:sz w:val="22"/>
              </w:rPr>
            </w:pPr>
            <w:r>
              <w:rPr>
                <w:sz w:val="22"/>
              </w:rPr>
              <w:t>332.462</w:t>
            </w:r>
          </w:p>
        </w:tc>
        <w:tc>
          <w:tcPr>
            <w:tcW w:w="1397" w:type="dxa"/>
          </w:tcPr>
          <w:p w:rsidR="0074215F" w:rsidRPr="00DC08F7" w:rsidRDefault="0074215F" w:rsidP="004F2180">
            <w:pPr>
              <w:jc w:val="center"/>
              <w:rPr>
                <w:sz w:val="22"/>
              </w:rPr>
            </w:pPr>
            <w:r>
              <w:rPr>
                <w:sz w:val="22"/>
              </w:rPr>
              <w:t>341.337</w:t>
            </w:r>
          </w:p>
        </w:tc>
        <w:tc>
          <w:tcPr>
            <w:tcW w:w="1397" w:type="dxa"/>
          </w:tcPr>
          <w:p w:rsidR="0074215F" w:rsidRPr="00DC08F7" w:rsidRDefault="0074215F" w:rsidP="004F2180">
            <w:pPr>
              <w:jc w:val="center"/>
              <w:rPr>
                <w:sz w:val="22"/>
              </w:rPr>
            </w:pPr>
            <w:r>
              <w:rPr>
                <w:sz w:val="22"/>
              </w:rPr>
              <w:t>348.528</w:t>
            </w:r>
          </w:p>
        </w:tc>
        <w:tc>
          <w:tcPr>
            <w:tcW w:w="1397" w:type="dxa"/>
          </w:tcPr>
          <w:p w:rsidR="0074215F" w:rsidRPr="00DC08F7" w:rsidRDefault="0074215F" w:rsidP="004F2180">
            <w:pPr>
              <w:jc w:val="center"/>
              <w:rPr>
                <w:sz w:val="22"/>
              </w:rPr>
            </w:pPr>
            <w:r>
              <w:rPr>
                <w:sz w:val="22"/>
              </w:rPr>
              <w:t>354.642</w:t>
            </w:r>
          </w:p>
        </w:tc>
        <w:tc>
          <w:tcPr>
            <w:tcW w:w="1397" w:type="dxa"/>
          </w:tcPr>
          <w:p w:rsidR="0074215F" w:rsidRPr="00DC08F7" w:rsidRDefault="0074215F" w:rsidP="004F2180">
            <w:pPr>
              <w:jc w:val="center"/>
              <w:rPr>
                <w:sz w:val="22"/>
              </w:rPr>
            </w:pPr>
            <w:r>
              <w:rPr>
                <w:sz w:val="22"/>
              </w:rPr>
              <w:t>359.401</w:t>
            </w:r>
          </w:p>
        </w:tc>
        <w:tc>
          <w:tcPr>
            <w:tcW w:w="1397" w:type="dxa"/>
          </w:tcPr>
          <w:p w:rsidR="0074215F" w:rsidRPr="00DC08F7" w:rsidRDefault="00F54314" w:rsidP="004F2180">
            <w:pPr>
              <w:jc w:val="center"/>
              <w:rPr>
                <w:sz w:val="22"/>
              </w:rPr>
            </w:pPr>
            <w:r>
              <w:rPr>
                <w:sz w:val="22"/>
              </w:rPr>
              <w:t>362.832</w:t>
            </w:r>
          </w:p>
        </w:tc>
      </w:tr>
    </w:tbl>
    <w:p w:rsidR="005F3F11" w:rsidRPr="001561FC" w:rsidRDefault="005F3F11" w:rsidP="005F3F11">
      <w:pPr>
        <w:rPr>
          <w:szCs w:val="20"/>
        </w:rPr>
      </w:pPr>
    </w:p>
    <w:p w:rsidR="005F3F11" w:rsidRPr="001561FC" w:rsidRDefault="005F3F11" w:rsidP="005F3F11">
      <w:pPr>
        <w:rPr>
          <w:szCs w:val="20"/>
        </w:rPr>
      </w:pPr>
      <w:r w:rsidRPr="001561FC">
        <w:rPr>
          <w:szCs w:val="20"/>
        </w:rPr>
        <w:t xml:space="preserve">Der har været en stigning i prævalens af astma, idet tilgangen af nye patienter (incidensen) er højere end antallet der dør (mortalitet). </w:t>
      </w:r>
    </w:p>
    <w:p w:rsidR="005F3F11" w:rsidRPr="001561FC" w:rsidRDefault="005F3F11" w:rsidP="005F3F11">
      <w:pPr>
        <w:rPr>
          <w:szCs w:val="20"/>
        </w:rPr>
      </w:pPr>
    </w:p>
    <w:p w:rsidR="005F3F11" w:rsidRPr="001561FC" w:rsidRDefault="005F3F11" w:rsidP="005F3F11">
      <w:pPr>
        <w:rPr>
          <w:szCs w:val="20"/>
        </w:rPr>
      </w:pPr>
      <w:r w:rsidRPr="001561FC">
        <w:rPr>
          <w:szCs w:val="20"/>
        </w:rPr>
        <w:t xml:space="preserve">Incidensen vil falde jo nærmere opgørelsen vil være på opdateringstidspunktet, da personer først bliver klassificerede som astma patienter, når der er indsamlet en vis mængde information. Dette er dog udpræget for astmapopulationen, idet de fleste debuterer som småbørn, men vi først kan afgøre om det er astma efter at de er fyldt 6 år. Klassificeringen foregår derefter bagudrettet. Opgørelser af </w:t>
      </w:r>
      <w:r w:rsidR="000147A5" w:rsidRPr="001561FC">
        <w:rPr>
          <w:szCs w:val="20"/>
        </w:rPr>
        <w:t>fx</w:t>
      </w:r>
      <w:r w:rsidRPr="001561FC">
        <w:rPr>
          <w:szCs w:val="20"/>
        </w:rPr>
        <w:t xml:space="preserve"> prævalens og incidens er derfor særlig usikker for astmapopulationen jo tættere opgørelsestidspunktet kommer på opdateringstidspunktet (se figur </w:t>
      </w:r>
      <w:r w:rsidR="0030575C" w:rsidRPr="001561FC">
        <w:rPr>
          <w:szCs w:val="20"/>
        </w:rPr>
        <w:t>3.</w:t>
      </w:r>
      <w:r w:rsidRPr="001561FC">
        <w:rPr>
          <w:szCs w:val="20"/>
        </w:rPr>
        <w:t>3).</w:t>
      </w:r>
    </w:p>
    <w:p w:rsidR="005F3F11" w:rsidRPr="001561FC" w:rsidRDefault="005F3F11" w:rsidP="005F3F11">
      <w:pPr>
        <w:rPr>
          <w:szCs w:val="20"/>
        </w:rPr>
      </w:pPr>
    </w:p>
    <w:p w:rsidR="00164EE1" w:rsidRPr="001561FC" w:rsidRDefault="00164EE1" w:rsidP="005F3F11">
      <w:pPr>
        <w:rPr>
          <w:szCs w:val="20"/>
        </w:rPr>
      </w:pPr>
    </w:p>
    <w:p w:rsidR="005F3F11" w:rsidRPr="001561FC" w:rsidRDefault="005F3F11" w:rsidP="005F3F11">
      <w:pPr>
        <w:rPr>
          <w:szCs w:val="20"/>
        </w:rPr>
      </w:pPr>
      <w:r w:rsidRPr="001561FC">
        <w:rPr>
          <w:szCs w:val="20"/>
        </w:rPr>
        <w:t xml:space="preserve">Figur </w:t>
      </w:r>
      <w:r w:rsidR="0030575C" w:rsidRPr="001561FC">
        <w:rPr>
          <w:szCs w:val="20"/>
        </w:rPr>
        <w:t>3.</w:t>
      </w:r>
      <w:r w:rsidRPr="001561FC">
        <w:rPr>
          <w:szCs w:val="20"/>
        </w:rPr>
        <w:t>3. Prævalens, incidens og morbiditet af astma population i RUKS.</w:t>
      </w:r>
    </w:p>
    <w:p w:rsidR="005F3F11" w:rsidRDefault="005F3F11" w:rsidP="005F3F11">
      <w:pPr>
        <w:rPr>
          <w:sz w:val="22"/>
        </w:rPr>
      </w:pPr>
    </w:p>
    <w:p w:rsidR="005F3F11" w:rsidRDefault="008A5A90" w:rsidP="005F3F11">
      <w:pPr>
        <w:rPr>
          <w:sz w:val="22"/>
        </w:rPr>
      </w:pPr>
      <w:r>
        <w:rPr>
          <w:noProof/>
          <w:sz w:val="22"/>
          <w:lang w:eastAsia="da-DK"/>
        </w:rPr>
        <w:drawing>
          <wp:inline distT="0" distB="0" distL="0" distR="0" wp14:anchorId="025B5C15" wp14:editId="18154FA3">
            <wp:extent cx="5828030" cy="2755900"/>
            <wp:effectExtent l="0" t="0" r="1270" b="6350"/>
            <wp:docPr id="200" name="Billed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8030" cy="2755900"/>
                    </a:xfrm>
                    <a:prstGeom prst="rect">
                      <a:avLst/>
                    </a:prstGeom>
                    <a:noFill/>
                  </pic:spPr>
                </pic:pic>
              </a:graphicData>
            </a:graphic>
          </wp:inline>
        </w:drawing>
      </w:r>
    </w:p>
    <w:p w:rsidR="005F3F11" w:rsidRDefault="005F3F11" w:rsidP="005F3F11">
      <w:pPr>
        <w:rPr>
          <w:sz w:val="22"/>
        </w:rPr>
      </w:pPr>
    </w:p>
    <w:p w:rsidR="005F3F11" w:rsidRPr="001561FC" w:rsidRDefault="005F3F11" w:rsidP="0030575C">
      <w:pPr>
        <w:pStyle w:val="Overskrift2"/>
        <w:rPr>
          <w:b/>
          <w:sz w:val="20"/>
          <w:szCs w:val="20"/>
        </w:rPr>
      </w:pPr>
      <w:bookmarkStart w:id="35" w:name="_Toc391624670"/>
      <w:r w:rsidRPr="001561FC">
        <w:rPr>
          <w:b/>
          <w:sz w:val="20"/>
          <w:szCs w:val="20"/>
        </w:rPr>
        <w:t>Andre kilders oplysninger</w:t>
      </w:r>
      <w:bookmarkEnd w:id="35"/>
    </w:p>
    <w:p w:rsidR="005F3F11" w:rsidRPr="001561FC" w:rsidRDefault="005F3F11" w:rsidP="005F3F11">
      <w:pPr>
        <w:rPr>
          <w:szCs w:val="20"/>
        </w:rPr>
      </w:pPr>
    </w:p>
    <w:p w:rsidR="005F3F11" w:rsidRPr="001561FC" w:rsidRDefault="005F3F11" w:rsidP="005F3F11">
      <w:pPr>
        <w:rPr>
          <w:szCs w:val="20"/>
        </w:rPr>
      </w:pPr>
      <w:r w:rsidRPr="001561FC">
        <w:rPr>
          <w:szCs w:val="20"/>
        </w:rPr>
        <w:t>Den Nationale Sundhedsprofil 2013 estimerer på baggrund af spørgeskemaundersøgelser, at 342.000 personer har astma</w:t>
      </w:r>
      <w:r w:rsidRPr="001561FC">
        <w:rPr>
          <w:szCs w:val="20"/>
          <w:vertAlign w:val="superscript"/>
        </w:rPr>
        <w:fldChar w:fldCharType="begin"/>
      </w:r>
      <w:r w:rsidRPr="001561FC">
        <w:rPr>
          <w:szCs w:val="20"/>
          <w:vertAlign w:val="superscript"/>
        </w:rPr>
        <w:instrText xml:space="preserve"> NOTEREF _Ref390888737 \h  \* MERGEFORMAT </w:instrText>
      </w:r>
      <w:r w:rsidRPr="001561FC">
        <w:rPr>
          <w:szCs w:val="20"/>
          <w:vertAlign w:val="superscript"/>
        </w:rPr>
      </w:r>
      <w:r w:rsidRPr="001561FC">
        <w:rPr>
          <w:szCs w:val="20"/>
          <w:vertAlign w:val="superscript"/>
        </w:rPr>
        <w:fldChar w:fldCharType="separate"/>
      </w:r>
      <w:r w:rsidR="00581054">
        <w:rPr>
          <w:szCs w:val="20"/>
          <w:vertAlign w:val="superscript"/>
        </w:rPr>
        <w:t>4</w:t>
      </w:r>
      <w:r w:rsidRPr="001561FC">
        <w:rPr>
          <w:szCs w:val="20"/>
          <w:vertAlign w:val="superscript"/>
        </w:rPr>
        <w:fldChar w:fldCharType="end"/>
      </w:r>
      <w:r w:rsidRPr="001561FC">
        <w:rPr>
          <w:szCs w:val="20"/>
        </w:rPr>
        <w:t>. Forekomsten er hyppigere hos drenge før 10 års alderen</w:t>
      </w:r>
      <w:r w:rsidRPr="001561FC">
        <w:rPr>
          <w:rStyle w:val="Slutnotehenvisning"/>
          <w:szCs w:val="20"/>
        </w:rPr>
        <w:endnoteReference w:id="16"/>
      </w:r>
      <w:r w:rsidRPr="001561FC">
        <w:rPr>
          <w:szCs w:val="20"/>
        </w:rPr>
        <w:t>.</w:t>
      </w:r>
    </w:p>
    <w:p w:rsidR="005F3F11" w:rsidRPr="001561FC" w:rsidRDefault="005F3F11" w:rsidP="005F3F11">
      <w:pPr>
        <w:rPr>
          <w:szCs w:val="20"/>
        </w:rPr>
      </w:pPr>
    </w:p>
    <w:p w:rsidR="005F3F11" w:rsidRPr="001561FC" w:rsidRDefault="005F3F11" w:rsidP="005F3F11">
      <w:pPr>
        <w:rPr>
          <w:szCs w:val="20"/>
        </w:rPr>
      </w:pPr>
    </w:p>
    <w:p w:rsidR="005F3F11" w:rsidRPr="001561FC" w:rsidRDefault="005F3F11" w:rsidP="0030575C">
      <w:pPr>
        <w:pStyle w:val="Overskrift2"/>
        <w:rPr>
          <w:b/>
          <w:sz w:val="20"/>
          <w:szCs w:val="20"/>
        </w:rPr>
      </w:pPr>
      <w:bookmarkStart w:id="36" w:name="_Toc391624671"/>
      <w:r w:rsidRPr="001561FC">
        <w:rPr>
          <w:b/>
          <w:sz w:val="20"/>
          <w:szCs w:val="20"/>
        </w:rPr>
        <w:t>Forbehold ved udvælgelsen</w:t>
      </w:r>
      <w:bookmarkEnd w:id="36"/>
    </w:p>
    <w:p w:rsidR="005F3F11" w:rsidRPr="001561FC" w:rsidRDefault="005F3F11" w:rsidP="005F3F11">
      <w:pPr>
        <w:rPr>
          <w:szCs w:val="20"/>
        </w:rPr>
      </w:pPr>
    </w:p>
    <w:p w:rsidR="005F3F11" w:rsidRPr="001561FC" w:rsidRDefault="005F3F11" w:rsidP="005F3F11">
      <w:pPr>
        <w:rPr>
          <w:szCs w:val="20"/>
        </w:rPr>
      </w:pPr>
      <w:r w:rsidRPr="001561FC">
        <w:rPr>
          <w:szCs w:val="20"/>
        </w:rPr>
        <w:t>Udvælgelsen er sket på baggrund af en udtræksalgoritme fra registre. Udtræksalgoritmen er ikke valideret. Validering vil kræve journalgennemgang af journaler på sygehuse og hos læger i primærsektoren.</w:t>
      </w:r>
    </w:p>
    <w:p w:rsidR="005F3F11" w:rsidRPr="001561FC" w:rsidRDefault="005F3F11" w:rsidP="005F3F11">
      <w:pPr>
        <w:rPr>
          <w:szCs w:val="20"/>
        </w:rPr>
      </w:pPr>
    </w:p>
    <w:p w:rsidR="00164EE1" w:rsidRDefault="005F3F11" w:rsidP="005F3F11">
      <w:pPr>
        <w:rPr>
          <w:szCs w:val="20"/>
        </w:rPr>
      </w:pPr>
      <w:r w:rsidRPr="001561FC">
        <w:rPr>
          <w:szCs w:val="20"/>
        </w:rPr>
        <w:t>Børn der endnu ikke er fyldt 6 år er ekskluderet pga. risiko for misklassifikation mellem astma og astmatisk bronkitis. Det kan diskuteres om aldersgrænses skulle sættes anderledes eller der skulle anvendes andre kriterier til at skelne mellem astmatisk bronkitis og astma. Af figur 4 ses at der er en overhyppighed af børn der får astmamedicin i aldersklasserne under 6 år i forhold børn 6 år eller ældre. Dette understøtter at grænsen skal være her, hvis der ønskes en aldersafgrænsning</w:t>
      </w:r>
      <w:r w:rsidR="005B2D38">
        <w:rPr>
          <w:szCs w:val="20"/>
        </w:rPr>
        <w:t>,</w:t>
      </w:r>
      <w:r w:rsidRPr="001561FC">
        <w:rPr>
          <w:szCs w:val="20"/>
        </w:rPr>
        <w:t xml:space="preserve"> og at der ikke indgår børn med astmatisk bronkitis i astmapopulationen.</w:t>
      </w:r>
    </w:p>
    <w:p w:rsidR="000B57E6" w:rsidRPr="001561FC" w:rsidRDefault="000B57E6" w:rsidP="005F3F11">
      <w:pPr>
        <w:rPr>
          <w:szCs w:val="20"/>
        </w:rPr>
      </w:pPr>
    </w:p>
    <w:p w:rsidR="00164EE1" w:rsidRPr="001561FC" w:rsidRDefault="00164EE1" w:rsidP="005F3F11">
      <w:pPr>
        <w:rPr>
          <w:szCs w:val="20"/>
        </w:rPr>
      </w:pPr>
    </w:p>
    <w:p w:rsidR="005F3F11" w:rsidRDefault="005F3F11" w:rsidP="005F3F11">
      <w:pPr>
        <w:rPr>
          <w:szCs w:val="20"/>
        </w:rPr>
      </w:pPr>
      <w:r w:rsidRPr="001561FC">
        <w:rPr>
          <w:szCs w:val="20"/>
        </w:rPr>
        <w:t xml:space="preserve">Figur </w:t>
      </w:r>
      <w:r w:rsidR="0030575C" w:rsidRPr="001561FC">
        <w:rPr>
          <w:szCs w:val="20"/>
        </w:rPr>
        <w:t>3.</w:t>
      </w:r>
      <w:r w:rsidRPr="001561FC">
        <w:rPr>
          <w:szCs w:val="20"/>
        </w:rPr>
        <w:t>4. Andel af børn, der har fået astmame</w:t>
      </w:r>
      <w:r w:rsidR="00F10EF0">
        <w:rPr>
          <w:szCs w:val="20"/>
        </w:rPr>
        <w:t>dicin (ATC-gruppe R03) 2009-2013</w:t>
      </w:r>
    </w:p>
    <w:p w:rsidR="001A7467" w:rsidRPr="001561FC" w:rsidRDefault="001A7467" w:rsidP="005F3F11">
      <w:pPr>
        <w:rPr>
          <w:szCs w:val="20"/>
        </w:rPr>
      </w:pPr>
    </w:p>
    <w:p w:rsidR="00164EE1" w:rsidRDefault="001A7467" w:rsidP="005F3F11">
      <w:pPr>
        <w:rPr>
          <w:sz w:val="22"/>
        </w:rPr>
      </w:pPr>
      <w:r>
        <w:rPr>
          <w:noProof/>
          <w:sz w:val="22"/>
          <w:lang w:eastAsia="da-DK"/>
        </w:rPr>
        <w:drawing>
          <wp:inline distT="0" distB="0" distL="0" distR="0" wp14:anchorId="22562EBA" wp14:editId="4C118197">
            <wp:extent cx="5724525" cy="3448466"/>
            <wp:effectExtent l="0" t="0" r="0" b="0"/>
            <wp:docPr id="229" name="Billed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2092" cy="3453025"/>
                    </a:xfrm>
                    <a:prstGeom prst="rect">
                      <a:avLst/>
                    </a:prstGeom>
                    <a:noFill/>
                  </pic:spPr>
                </pic:pic>
              </a:graphicData>
            </a:graphic>
          </wp:inline>
        </w:drawing>
      </w:r>
    </w:p>
    <w:p w:rsidR="005F3F11" w:rsidRDefault="005F3F11" w:rsidP="005F3F11">
      <w:pPr>
        <w:rPr>
          <w:sz w:val="22"/>
        </w:rPr>
      </w:pPr>
    </w:p>
    <w:p w:rsidR="005F3F11" w:rsidRDefault="005F3F11" w:rsidP="005F3F11">
      <w:pPr>
        <w:rPr>
          <w:sz w:val="22"/>
        </w:rPr>
      </w:pPr>
    </w:p>
    <w:p w:rsidR="005F3F11" w:rsidRPr="001561FC" w:rsidRDefault="005F3F11" w:rsidP="005F3F11">
      <w:pPr>
        <w:rPr>
          <w:szCs w:val="20"/>
        </w:rPr>
      </w:pPr>
      <w:r w:rsidRPr="001561FC">
        <w:rPr>
          <w:szCs w:val="20"/>
        </w:rPr>
        <w:t>Der er anvendt specifikke indikationskoder og lægemidler kun godkendt til astma til identifikation af astma patienter i Lægemiddelstatistikregisteret. Lægemidler udskrives dog også nogle gange til andre indikationer end den godkendte, såkaldt off-label. KOL, er dog i denne udvælgelse vægtet højere end astma dvs.</w:t>
      </w:r>
      <w:r w:rsidR="005B2D38">
        <w:rPr>
          <w:szCs w:val="20"/>
        </w:rPr>
        <w:t>,</w:t>
      </w:r>
      <w:r w:rsidRPr="001561FC">
        <w:rPr>
          <w:szCs w:val="20"/>
        </w:rPr>
        <w:t xml:space="preserve"> at personer</w:t>
      </w:r>
      <w:r w:rsidR="005B2D38">
        <w:rPr>
          <w:szCs w:val="20"/>
        </w:rPr>
        <w:t>,</w:t>
      </w:r>
      <w:r w:rsidRPr="001561FC">
        <w:rPr>
          <w:szCs w:val="20"/>
        </w:rPr>
        <w:t xml:space="preserve"> der lider både af astma og KOL</w:t>
      </w:r>
      <w:r w:rsidR="005B2D38">
        <w:rPr>
          <w:szCs w:val="20"/>
        </w:rPr>
        <w:t>,</w:t>
      </w:r>
      <w:r w:rsidRPr="001561FC">
        <w:rPr>
          <w:szCs w:val="20"/>
        </w:rPr>
        <w:t xml:space="preserve"> kun er klassificerede som</w:t>
      </w:r>
      <w:r w:rsidR="005B2D38">
        <w:rPr>
          <w:szCs w:val="20"/>
        </w:rPr>
        <w:t xml:space="preserve"> KOL. Omvendt betyder det dog</w:t>
      </w:r>
      <w:r w:rsidRPr="001561FC">
        <w:rPr>
          <w:szCs w:val="20"/>
        </w:rPr>
        <w:t>, at KOL patienter der har fået astmamedicin off-label</w:t>
      </w:r>
      <w:r w:rsidR="005B2D38">
        <w:rPr>
          <w:szCs w:val="20"/>
        </w:rPr>
        <w:t>,</w:t>
      </w:r>
      <w:r w:rsidRPr="001561FC">
        <w:rPr>
          <w:szCs w:val="20"/>
        </w:rPr>
        <w:t xml:space="preserve"> ikke bliver fejlagtigt klassificerede som astma patienter.</w:t>
      </w:r>
    </w:p>
    <w:p w:rsidR="005F3F11" w:rsidRPr="001561FC" w:rsidRDefault="005F3F11" w:rsidP="005F3F11">
      <w:pPr>
        <w:rPr>
          <w:i/>
          <w:szCs w:val="20"/>
        </w:rPr>
      </w:pPr>
    </w:p>
    <w:p w:rsidR="005F3F11" w:rsidRPr="001561FC" w:rsidRDefault="005F3F11" w:rsidP="005F3F11">
      <w:pPr>
        <w:rPr>
          <w:szCs w:val="20"/>
        </w:rPr>
      </w:pPr>
      <w:r w:rsidRPr="001561FC">
        <w:rPr>
          <w:szCs w:val="20"/>
        </w:rPr>
        <w:t>Der er anvendt indikationskoder fra Lægemiddelstatistikregisteret svarende til de tekster</w:t>
      </w:r>
      <w:r w:rsidR="005B2D38">
        <w:rPr>
          <w:szCs w:val="20"/>
        </w:rPr>
        <w:t>,</w:t>
      </w:r>
      <w:r w:rsidRPr="001561FC">
        <w:rPr>
          <w:szCs w:val="20"/>
        </w:rPr>
        <w:t xml:space="preserve"> der sættes på apotekets etiket. I lægesystemer vælges indikationer fra en dropdown liste. Der kan derfor være ’transposition errors’ – det at man ved en fejl vælger den over eller under i stedet. Det kan også være at lægen af bekvemmelig</w:t>
      </w:r>
      <w:r w:rsidR="005B2D38">
        <w:rPr>
          <w:szCs w:val="20"/>
        </w:rPr>
        <w:t>hed</w:t>
      </w:r>
      <w:r w:rsidRPr="001561FC">
        <w:rPr>
          <w:szCs w:val="20"/>
        </w:rPr>
        <w:t xml:space="preserve"> vælger den øverste. Derudover kan der være diskretionshensyn ved valg af indikationstekst. I nogle lægesystemer kan lægen overskrive teksten med fritekst. I dette tilfælde indberettes stadig den oprindelige kode og lægen</w:t>
      </w:r>
      <w:r w:rsidR="005B2D38">
        <w:rPr>
          <w:szCs w:val="20"/>
        </w:rPr>
        <w:t>s</w:t>
      </w:r>
      <w:r w:rsidRPr="001561FC">
        <w:rPr>
          <w:szCs w:val="20"/>
        </w:rPr>
        <w:t xml:space="preserve"> redigering kan ikke ses af Lægemiddelstatistikregisteret. Ved samtidig udskrivning af flere lægemidler kan en tidligere anvendt indikationskode være videreført til næste lægemiddel</w:t>
      </w:r>
      <w:r w:rsidR="005B2D38">
        <w:rPr>
          <w:szCs w:val="20"/>
        </w:rPr>
        <w:t>,</w:t>
      </w:r>
      <w:r w:rsidRPr="001561FC">
        <w:rPr>
          <w:szCs w:val="20"/>
        </w:rPr>
        <w:t xml:space="preserve"> hvis den ikke ændres eller blot ændres ved overskrivning i tekstfeltet. </w:t>
      </w:r>
      <w:r w:rsidR="0030575C" w:rsidRPr="001561FC">
        <w:rPr>
          <w:szCs w:val="20"/>
        </w:rPr>
        <w:t>Se tabel 3.2</w:t>
      </w:r>
      <w:r w:rsidRPr="001561FC">
        <w:rPr>
          <w:szCs w:val="20"/>
        </w:rPr>
        <w:t xml:space="preserve"> for en liste over de lægemidler, der har medvirket til at inkludere personer i RUKS. </w:t>
      </w:r>
    </w:p>
    <w:p w:rsidR="005F3F11" w:rsidRPr="001561FC" w:rsidRDefault="005F3F11" w:rsidP="005F3F11">
      <w:pPr>
        <w:rPr>
          <w:i/>
          <w:szCs w:val="20"/>
        </w:rPr>
      </w:pPr>
    </w:p>
    <w:p w:rsidR="005F3F11" w:rsidRPr="001561FC" w:rsidRDefault="005F3F11" w:rsidP="005F3F11">
      <w:pPr>
        <w:rPr>
          <w:szCs w:val="20"/>
        </w:rPr>
      </w:pPr>
      <w:r w:rsidRPr="001561FC">
        <w:rPr>
          <w:szCs w:val="20"/>
        </w:rPr>
        <w:t xml:space="preserve">Lægemidler, der er solgt med indikationskoder for astma, kan anvendes til astma. Det ses dog </w:t>
      </w:r>
      <w:r w:rsidR="0030575C" w:rsidRPr="001561FC">
        <w:rPr>
          <w:szCs w:val="20"/>
        </w:rPr>
        <w:t>af tabel</w:t>
      </w:r>
      <w:r w:rsidRPr="001561FC">
        <w:rPr>
          <w:szCs w:val="20"/>
        </w:rPr>
        <w:t xml:space="preserve"> </w:t>
      </w:r>
      <w:r w:rsidR="0030575C" w:rsidRPr="001561FC">
        <w:rPr>
          <w:szCs w:val="20"/>
        </w:rPr>
        <w:t>3.2</w:t>
      </w:r>
      <w:r w:rsidR="00275752">
        <w:rPr>
          <w:szCs w:val="20"/>
        </w:rPr>
        <w:t>,</w:t>
      </w:r>
      <w:r w:rsidRPr="001561FC">
        <w:rPr>
          <w:szCs w:val="20"/>
        </w:rPr>
        <w:t xml:space="preserve"> at indberetningen af indikationskode ikke er fejlfri, da lægemidler der ikke anvendes til astma også i nogle tilfælde har fået indikationskoder for astma</w:t>
      </w:r>
      <w:r w:rsidRPr="001561FC">
        <w:rPr>
          <w:i/>
          <w:szCs w:val="20"/>
        </w:rPr>
        <w:t>.</w:t>
      </w:r>
    </w:p>
    <w:p w:rsidR="005F3F11" w:rsidRPr="001561FC" w:rsidRDefault="005F3F11" w:rsidP="005F3F11">
      <w:pPr>
        <w:rPr>
          <w:szCs w:val="20"/>
        </w:rPr>
      </w:pPr>
    </w:p>
    <w:p w:rsidR="005F3F11" w:rsidRPr="001561FC" w:rsidRDefault="0030575C" w:rsidP="005F3F11">
      <w:pPr>
        <w:rPr>
          <w:szCs w:val="20"/>
        </w:rPr>
      </w:pPr>
      <w:r w:rsidRPr="001561FC">
        <w:rPr>
          <w:szCs w:val="20"/>
        </w:rPr>
        <w:t>Tabel 3.2</w:t>
      </w:r>
      <w:r w:rsidR="005F3F11" w:rsidRPr="001561FC">
        <w:rPr>
          <w:szCs w:val="20"/>
        </w:rPr>
        <w:t>. Lægemidler der er indberettet til Lægemiddelstatistikregisteret med specifikke indikationskoder for astma. Listen er for personer, der kun er identificeret pba. Lægemiddelstatistikregisteret.</w:t>
      </w:r>
    </w:p>
    <w:p w:rsidR="00164EE1" w:rsidRDefault="00164EE1" w:rsidP="005F3F11">
      <w:pPr>
        <w:rPr>
          <w:sz w:val="22"/>
        </w:rPr>
      </w:pPr>
    </w:p>
    <w:tbl>
      <w:tblPr>
        <w:tblW w:w="0" w:type="auto"/>
        <w:jc w:val="center"/>
        <w:tblLayout w:type="fixed"/>
        <w:tblCellMar>
          <w:left w:w="60" w:type="dxa"/>
          <w:right w:w="60" w:type="dxa"/>
        </w:tblCellMar>
        <w:tblLook w:val="0000" w:firstRow="0" w:lastRow="0" w:firstColumn="0" w:lastColumn="0" w:noHBand="0" w:noVBand="0"/>
      </w:tblPr>
      <w:tblGrid>
        <w:gridCol w:w="4423"/>
        <w:gridCol w:w="1128"/>
        <w:gridCol w:w="966"/>
        <w:gridCol w:w="1924"/>
      </w:tblGrid>
      <w:tr w:rsidR="005F3F11" w:rsidTr="000B57E6">
        <w:trPr>
          <w:cantSplit/>
          <w:trHeight w:val="681"/>
          <w:tblHeader/>
          <w:jc w:val="center"/>
        </w:trPr>
        <w:tc>
          <w:tcPr>
            <w:tcW w:w="4423" w:type="dxa"/>
            <w:tcBorders>
              <w:top w:val="single" w:sz="6" w:space="0" w:color="000000"/>
              <w:left w:val="single" w:sz="6" w:space="0" w:color="000000"/>
              <w:bottom w:val="single" w:sz="2" w:space="0" w:color="000000"/>
              <w:right w:val="nil"/>
            </w:tcBorders>
            <w:shd w:val="clear" w:color="auto" w:fill="BBBBBB"/>
            <w:vAlign w:val="bottom"/>
          </w:tcPr>
          <w:p w:rsidR="005F3F11" w:rsidRDefault="005F3F11" w:rsidP="005F3F11">
            <w:pPr>
              <w:keepNext/>
              <w:adjustRightInd w:val="0"/>
              <w:spacing w:before="60" w:after="60"/>
              <w:rPr>
                <w:rFonts w:ascii="Times" w:hAnsi="Times" w:cs="Times"/>
                <w:b/>
                <w:bCs/>
                <w:color w:val="000000"/>
                <w:sz w:val="22"/>
              </w:rPr>
            </w:pPr>
            <w:r>
              <w:rPr>
                <w:sz w:val="24"/>
                <w:szCs w:val="24"/>
              </w:rPr>
              <w:fldChar w:fldCharType="begin"/>
            </w:r>
            <w:r>
              <w:rPr>
                <w:sz w:val="24"/>
                <w:szCs w:val="24"/>
              </w:rPr>
              <w:instrText>tc "SQL " \f C \l 1</w:instrText>
            </w:r>
            <w:r>
              <w:rPr>
                <w:sz w:val="24"/>
                <w:szCs w:val="24"/>
              </w:rPr>
              <w:fldChar w:fldCharType="end"/>
            </w:r>
            <w:r>
              <w:rPr>
                <w:sz w:val="24"/>
                <w:szCs w:val="24"/>
              </w:rPr>
              <w:fldChar w:fldCharType="begin"/>
            </w:r>
            <w:r>
              <w:rPr>
                <w:sz w:val="24"/>
                <w:szCs w:val="24"/>
              </w:rPr>
              <w:instrText>tc "Query Results " \f C \l 2</w:instrText>
            </w:r>
            <w:r>
              <w:rPr>
                <w:sz w:val="24"/>
                <w:szCs w:val="24"/>
              </w:rPr>
              <w:fldChar w:fldCharType="end"/>
            </w:r>
            <w:r>
              <w:rPr>
                <w:rFonts w:ascii="Times" w:hAnsi="Times" w:cs="Times"/>
                <w:b/>
                <w:bCs/>
                <w:color w:val="000000"/>
                <w:sz w:val="22"/>
              </w:rPr>
              <w:t>Lægemiddel</w:t>
            </w:r>
          </w:p>
        </w:tc>
        <w:tc>
          <w:tcPr>
            <w:tcW w:w="1128" w:type="dxa"/>
            <w:tcBorders>
              <w:top w:val="single" w:sz="6" w:space="0" w:color="000000"/>
              <w:left w:val="single" w:sz="2" w:space="0" w:color="000000"/>
              <w:bottom w:val="single" w:sz="2" w:space="0" w:color="000000"/>
              <w:right w:val="nil"/>
            </w:tcBorders>
            <w:shd w:val="clear" w:color="auto" w:fill="BBBBBB"/>
            <w:vAlign w:val="bottom"/>
          </w:tcPr>
          <w:p w:rsidR="005F3F11" w:rsidRDefault="005F3F11" w:rsidP="005F3F11">
            <w:pPr>
              <w:keepNext/>
              <w:adjustRightInd w:val="0"/>
              <w:spacing w:before="60" w:after="60"/>
              <w:rPr>
                <w:rFonts w:ascii="Times" w:hAnsi="Times" w:cs="Times"/>
                <w:b/>
                <w:bCs/>
                <w:color w:val="000000"/>
                <w:sz w:val="22"/>
              </w:rPr>
            </w:pPr>
            <w:r>
              <w:rPr>
                <w:rFonts w:ascii="Times" w:hAnsi="Times" w:cs="Times"/>
                <w:b/>
                <w:bCs/>
                <w:color w:val="000000"/>
                <w:sz w:val="22"/>
              </w:rPr>
              <w:t>ATC-kode</w:t>
            </w:r>
          </w:p>
        </w:tc>
        <w:tc>
          <w:tcPr>
            <w:tcW w:w="966" w:type="dxa"/>
            <w:tcBorders>
              <w:top w:val="single" w:sz="6" w:space="0" w:color="000000"/>
              <w:left w:val="single" w:sz="2" w:space="0" w:color="000000"/>
              <w:bottom w:val="single" w:sz="2" w:space="0" w:color="000000"/>
              <w:right w:val="nil"/>
            </w:tcBorders>
            <w:shd w:val="clear" w:color="auto" w:fill="BBBBBB"/>
            <w:vAlign w:val="bottom"/>
          </w:tcPr>
          <w:p w:rsidR="005F3F11" w:rsidRDefault="005F3F11" w:rsidP="005F3F11">
            <w:pPr>
              <w:keepNext/>
              <w:adjustRightInd w:val="0"/>
              <w:spacing w:before="60" w:after="60"/>
              <w:jc w:val="right"/>
              <w:rPr>
                <w:rFonts w:ascii="Times" w:hAnsi="Times" w:cs="Times"/>
                <w:b/>
                <w:bCs/>
                <w:color w:val="000000"/>
                <w:sz w:val="22"/>
              </w:rPr>
            </w:pPr>
            <w:r>
              <w:rPr>
                <w:rFonts w:ascii="Times" w:hAnsi="Times" w:cs="Times"/>
                <w:b/>
                <w:bCs/>
                <w:color w:val="000000"/>
                <w:sz w:val="22"/>
              </w:rPr>
              <w:t>Antal personer</w:t>
            </w:r>
          </w:p>
        </w:tc>
        <w:tc>
          <w:tcPr>
            <w:tcW w:w="1924" w:type="dxa"/>
            <w:tcBorders>
              <w:top w:val="single" w:sz="6" w:space="0" w:color="000000"/>
              <w:left w:val="single" w:sz="2" w:space="0" w:color="000000"/>
              <w:bottom w:val="single" w:sz="2" w:space="0" w:color="000000"/>
              <w:right w:val="single" w:sz="6" w:space="0" w:color="000000"/>
            </w:tcBorders>
            <w:shd w:val="clear" w:color="auto" w:fill="BBBBBB"/>
            <w:vAlign w:val="bottom"/>
          </w:tcPr>
          <w:p w:rsidR="005F3F11" w:rsidRDefault="005F3F11" w:rsidP="005F3F11">
            <w:pPr>
              <w:keepNext/>
              <w:adjustRightInd w:val="0"/>
              <w:spacing w:before="60" w:after="60"/>
              <w:jc w:val="right"/>
              <w:rPr>
                <w:rFonts w:ascii="Times" w:hAnsi="Times" w:cs="Times"/>
                <w:b/>
                <w:bCs/>
                <w:color w:val="000000"/>
                <w:sz w:val="22"/>
              </w:rPr>
            </w:pPr>
            <w:r>
              <w:rPr>
                <w:rFonts w:ascii="Times" w:hAnsi="Times" w:cs="Times"/>
                <w:b/>
                <w:bCs/>
                <w:color w:val="000000"/>
                <w:sz w:val="22"/>
              </w:rPr>
              <w:t>Antal receptindløsninger</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keepNext/>
              <w:adjustRightInd w:val="0"/>
              <w:spacing w:before="60" w:after="60"/>
              <w:rPr>
                <w:rFonts w:ascii="Times" w:hAnsi="Times" w:cs="Times"/>
                <w:color w:val="000000"/>
              </w:rPr>
            </w:pPr>
            <w:r>
              <w:rPr>
                <w:rFonts w:ascii="Times" w:hAnsi="Times" w:cs="Times"/>
                <w:color w:val="000000"/>
              </w:rPr>
              <w:t>Terbutalin</w:t>
            </w:r>
          </w:p>
        </w:tc>
        <w:tc>
          <w:tcPr>
            <w:tcW w:w="1128" w:type="dxa"/>
            <w:tcBorders>
              <w:top w:val="nil"/>
              <w:left w:val="single" w:sz="2" w:space="0" w:color="000000"/>
              <w:bottom w:val="single" w:sz="2" w:space="0" w:color="000000"/>
              <w:right w:val="nil"/>
            </w:tcBorders>
          </w:tcPr>
          <w:p w:rsidR="005F3F11" w:rsidRDefault="005F3F11" w:rsidP="005F3F11">
            <w:pPr>
              <w:keepNext/>
              <w:adjustRightInd w:val="0"/>
              <w:spacing w:before="60" w:after="60"/>
              <w:rPr>
                <w:rFonts w:ascii="Times" w:hAnsi="Times" w:cs="Times"/>
                <w:color w:val="000000"/>
              </w:rPr>
            </w:pPr>
            <w:r>
              <w:rPr>
                <w:rFonts w:ascii="Times" w:hAnsi="Times" w:cs="Times"/>
                <w:color w:val="000000"/>
              </w:rPr>
              <w:t>R03AC03</w:t>
            </w:r>
          </w:p>
        </w:tc>
        <w:tc>
          <w:tcPr>
            <w:tcW w:w="966" w:type="dxa"/>
            <w:tcBorders>
              <w:top w:val="nil"/>
              <w:left w:val="single" w:sz="2" w:space="0" w:color="000000"/>
              <w:bottom w:val="single" w:sz="2" w:space="0" w:color="000000"/>
              <w:right w:val="nil"/>
            </w:tcBorders>
          </w:tcPr>
          <w:p w:rsidR="005F3F11" w:rsidRDefault="005F3F11" w:rsidP="005F3F11">
            <w:pPr>
              <w:keepNext/>
              <w:adjustRightInd w:val="0"/>
              <w:spacing w:before="60" w:after="60"/>
              <w:jc w:val="right"/>
              <w:rPr>
                <w:rFonts w:ascii="Times" w:hAnsi="Times" w:cs="Times"/>
                <w:color w:val="000000"/>
              </w:rPr>
            </w:pPr>
            <w:r>
              <w:rPr>
                <w:rFonts w:ascii="Times" w:hAnsi="Times" w:cs="Times"/>
                <w:color w:val="000000"/>
              </w:rPr>
              <w:t>125.639</w:t>
            </w:r>
          </w:p>
        </w:tc>
        <w:tc>
          <w:tcPr>
            <w:tcW w:w="1924" w:type="dxa"/>
            <w:tcBorders>
              <w:top w:val="nil"/>
              <w:left w:val="single" w:sz="2" w:space="0" w:color="000000"/>
              <w:bottom w:val="single" w:sz="2" w:space="0" w:color="000000"/>
              <w:right w:val="single" w:sz="6" w:space="0" w:color="000000"/>
            </w:tcBorders>
          </w:tcPr>
          <w:p w:rsidR="005F3F11" w:rsidRDefault="005F3F11" w:rsidP="005F3F11">
            <w:pPr>
              <w:keepNext/>
              <w:adjustRightInd w:val="0"/>
              <w:spacing w:before="60" w:after="60"/>
              <w:jc w:val="right"/>
              <w:rPr>
                <w:rFonts w:ascii="Times" w:hAnsi="Times" w:cs="Times"/>
                <w:color w:val="000000"/>
              </w:rPr>
            </w:pPr>
            <w:r>
              <w:rPr>
                <w:rFonts w:ascii="Times" w:hAnsi="Times" w:cs="Times"/>
                <w:color w:val="000000"/>
              </w:rPr>
              <w:t>697.538</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keepNext/>
              <w:adjustRightInd w:val="0"/>
              <w:spacing w:before="60" w:after="60"/>
              <w:rPr>
                <w:rFonts w:ascii="Times" w:hAnsi="Times" w:cs="Times"/>
                <w:color w:val="000000"/>
              </w:rPr>
            </w:pPr>
            <w:r>
              <w:rPr>
                <w:rFonts w:ascii="Times" w:hAnsi="Times" w:cs="Times"/>
                <w:color w:val="000000"/>
              </w:rPr>
              <w:t>Budesonid</w:t>
            </w:r>
          </w:p>
        </w:tc>
        <w:tc>
          <w:tcPr>
            <w:tcW w:w="1128" w:type="dxa"/>
            <w:tcBorders>
              <w:top w:val="nil"/>
              <w:left w:val="single" w:sz="2" w:space="0" w:color="000000"/>
              <w:bottom w:val="single" w:sz="2" w:space="0" w:color="000000"/>
              <w:right w:val="nil"/>
            </w:tcBorders>
          </w:tcPr>
          <w:p w:rsidR="005F3F11" w:rsidRDefault="005F3F11" w:rsidP="005F3F11">
            <w:pPr>
              <w:keepNext/>
              <w:adjustRightInd w:val="0"/>
              <w:spacing w:before="60" w:after="60"/>
              <w:rPr>
                <w:rFonts w:ascii="Times" w:hAnsi="Times" w:cs="Times"/>
                <w:color w:val="000000"/>
              </w:rPr>
            </w:pPr>
            <w:r>
              <w:rPr>
                <w:rFonts w:ascii="Times" w:hAnsi="Times" w:cs="Times"/>
                <w:color w:val="000000"/>
              </w:rPr>
              <w:t>R03BA02</w:t>
            </w:r>
          </w:p>
        </w:tc>
        <w:tc>
          <w:tcPr>
            <w:tcW w:w="966" w:type="dxa"/>
            <w:tcBorders>
              <w:top w:val="nil"/>
              <w:left w:val="single" w:sz="2" w:space="0" w:color="000000"/>
              <w:bottom w:val="single" w:sz="2" w:space="0" w:color="000000"/>
              <w:right w:val="nil"/>
            </w:tcBorders>
          </w:tcPr>
          <w:p w:rsidR="005F3F11" w:rsidRDefault="005F3F11" w:rsidP="005F3F11">
            <w:pPr>
              <w:keepNext/>
              <w:adjustRightInd w:val="0"/>
              <w:spacing w:before="60" w:after="60"/>
              <w:jc w:val="right"/>
              <w:rPr>
                <w:rFonts w:ascii="Times" w:hAnsi="Times" w:cs="Times"/>
                <w:color w:val="000000"/>
              </w:rPr>
            </w:pPr>
            <w:r>
              <w:rPr>
                <w:rFonts w:ascii="Times" w:hAnsi="Times" w:cs="Times"/>
                <w:color w:val="000000"/>
              </w:rPr>
              <w:t>117.622</w:t>
            </w:r>
          </w:p>
        </w:tc>
        <w:tc>
          <w:tcPr>
            <w:tcW w:w="1924" w:type="dxa"/>
            <w:tcBorders>
              <w:top w:val="nil"/>
              <w:left w:val="single" w:sz="2" w:space="0" w:color="000000"/>
              <w:bottom w:val="single" w:sz="2" w:space="0" w:color="000000"/>
              <w:right w:val="single" w:sz="6" w:space="0" w:color="000000"/>
            </w:tcBorders>
          </w:tcPr>
          <w:p w:rsidR="005F3F11" w:rsidRDefault="005F3F11" w:rsidP="005F3F11">
            <w:pPr>
              <w:keepNext/>
              <w:adjustRightInd w:val="0"/>
              <w:spacing w:before="60" w:after="60"/>
              <w:jc w:val="right"/>
              <w:rPr>
                <w:rFonts w:ascii="Times" w:hAnsi="Times" w:cs="Times"/>
                <w:color w:val="000000"/>
              </w:rPr>
            </w:pPr>
            <w:r>
              <w:rPr>
                <w:rFonts w:ascii="Times" w:hAnsi="Times" w:cs="Times"/>
                <w:color w:val="000000"/>
              </w:rPr>
              <w:t>911.817</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Salbutamol</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R03AC02</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65.909</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645.243</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Formoterol og budesonid</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R03AK07</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48.328</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509.922</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Fluticason</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R03BA05</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24.469</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312.692</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Salmeterol og fluticason</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R03AK06</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22.562</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367.254</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Montelukast</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R03DC03</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21.738</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162.528</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Formoterol</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R03AC13</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14.666</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134.038</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Salbutamol</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R03CC02</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8.786</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45.883</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Terbutalin</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R03CC03</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8.617</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66.034</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Salmeterol</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R03AC12</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6.002</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102.166</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Beclomethason</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R03BA01</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4.184</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25.998</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Fenoterol og ipratropiumbromid</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R03AL01</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2.891</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37.119</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Theophyllin</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R03DA04</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1.996</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39.287</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Formoterol og beclometason</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R03AK08</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1.678</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10.886</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Mometason</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R03BA07</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868</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7.300</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Ipratropiumbromid</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R03BB01</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455</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4.298</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Fenoterol</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R03AC04</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389</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3.502</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Bambuterol</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R03CC12</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367</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5.876</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Ciclesonid</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R03BA08</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208</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531</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Formoterol og fluticason</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R03AK11</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168</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429</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Cromoglicinsyre</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R03BC01</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98</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577</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Græspollen</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V01AA02</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94</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168</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Ipratropiumbromid</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R01AX03</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86</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792</w:t>
            </w:r>
          </w:p>
        </w:tc>
      </w:tr>
      <w:tr w:rsidR="005F3F11" w:rsidTr="000B57E6">
        <w:trPr>
          <w:cantSplit/>
          <w:trHeight w:val="409"/>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Husstøvmider</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V01AA03</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84</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180</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Aminophyllin</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R03DA05</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71</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398</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Træpollen</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V01AA05</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55</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95</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Nedocromil</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R03BC03</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43</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418</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Prednisolon</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H02AB06</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41</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152</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Dyr</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V01AA11</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23</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35</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Betamethason</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H02AB01</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21</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23</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Cromoglicinsyre</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S01GX01</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13</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29</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Blomster</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V01AA10</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9</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11</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Insekter</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V01AA07</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6</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14</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Budesonid</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R01AD05</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5</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8</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Glucosamin</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M01AX05</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5</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8</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Fluticason</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R01AD08</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5</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5</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Mometason</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R01AD09</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4</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4</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Glimepirid</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A10BB12</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3</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3</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Loratadin</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R06AX13</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3</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3</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Simvastatin</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C10AA01</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3</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3</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Aclidiniumbromid</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R03BB05</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3</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7</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Gestoden og ethinylestradiol</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G03AA10</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2</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2</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Cromoglicinsyre</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R01AC01</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2</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3</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Cromoglicinsyre</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A07EB01</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2</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8</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Opløsnings-og fortyndingsmidler, inkl. skyllevæsker</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V07AB</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2</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2</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Cetirizin</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R06AE07</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2</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3</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Sumatriptan</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N02CC01</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2</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2</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Betamethason og antiseptika</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D07BC01</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2</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2</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Levothyroxinnatrium</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H03AA01</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2</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8</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Paracetamol</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N02BE01</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2</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2</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Amlodipin</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C08CA01</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2</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2</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Prednison</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H02AB07</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2</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47</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Bisoprolol</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C07AB07</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Methylprednisolon</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H02AB04</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6</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Tadalafil</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G04BE08</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3</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Metoprolol</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C07AB02</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2</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Levonorgestrel og ethinylestradiol</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G03AB03</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Fluticason furoate</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R01AD12</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Sotalol</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C07AA07</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Desogestrel og ethinylestradiol</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G03AA09</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2</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Triamcinolon og antibiotika</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D07CB01</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3</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Betahistin</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N07CA01</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Rabeprazol</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A02BC04</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Furosemid og kaliumbesparende midler</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C03EB01</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Escitalopram</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N06AB10</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Fluoxetin</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N06AB03</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Amitriptylin</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N06AA09</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Hydrocortisonbutyrat og antiseptika</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D07BB04</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Diazepam</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N05BA01</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10</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Lithium</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N05AN01</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Hydrochlorthiazid og kaliumbesparende midler</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C03EA01</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Fluocinolon</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D07AC04</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4</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Flumetason og antiinfektiva</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S02CA02</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Acrivastin</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R06AX18</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Phenazon, kombinationer ekskl. psykoleptika</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N02BB51</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Levocetirizin</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R06AE09</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2</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Betamethason</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D07AC01</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Tramadol</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N02AX02</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11</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Codein</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R05DA04</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16</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Natriumpicosulfat</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A06AB08</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Furosemid</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C03CA01</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Hydrocortisonbutyrat</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D07AB02</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Tizanidin</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M03BX02</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Ketoconazol</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D01AC08</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Carisoprodol</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M03BA02</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Moxonidin</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C02AC05</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Ibuprofen</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M01AE01</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Glycopyrroniumbromid</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R03BB06</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Diclofenac</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M01AB05</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3</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Cimetidin</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A02BA01</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Ranitidin</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A02BA02</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Esomeprazol</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A02BC05</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Acetylsalicylsyre</w:t>
            </w:r>
          </w:p>
        </w:tc>
        <w:tc>
          <w:tcPr>
            <w:tcW w:w="1128" w:type="dxa"/>
            <w:tcBorders>
              <w:top w:val="nil"/>
              <w:left w:val="single" w:sz="2" w:space="0" w:color="000000"/>
              <w:bottom w:val="single" w:sz="2"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B01AC06</w:t>
            </w:r>
          </w:p>
        </w:tc>
        <w:tc>
          <w:tcPr>
            <w:tcW w:w="966" w:type="dxa"/>
            <w:tcBorders>
              <w:top w:val="nil"/>
              <w:left w:val="single" w:sz="2" w:space="0" w:color="000000"/>
              <w:bottom w:val="single" w:sz="2"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c>
          <w:tcPr>
            <w:tcW w:w="1924" w:type="dxa"/>
            <w:tcBorders>
              <w:top w:val="nil"/>
              <w:left w:val="single" w:sz="2" w:space="0" w:color="000000"/>
              <w:bottom w:val="single" w:sz="2"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r>
      <w:tr w:rsidR="005F3F11" w:rsidTr="000B57E6">
        <w:trPr>
          <w:cantSplit/>
          <w:trHeight w:val="394"/>
          <w:jc w:val="center"/>
        </w:trPr>
        <w:tc>
          <w:tcPr>
            <w:tcW w:w="4423" w:type="dxa"/>
            <w:tcBorders>
              <w:top w:val="nil"/>
              <w:left w:val="single" w:sz="6" w:space="0" w:color="000000"/>
              <w:bottom w:val="single" w:sz="2" w:space="0" w:color="000000"/>
              <w:right w:val="nil"/>
            </w:tcBorders>
          </w:tcPr>
          <w:p w:rsidR="005F3F11" w:rsidRDefault="005F3F11" w:rsidP="005F3F11">
            <w:pPr>
              <w:keepNext/>
              <w:adjustRightInd w:val="0"/>
              <w:spacing w:before="60" w:after="60"/>
              <w:rPr>
                <w:rFonts w:ascii="Times" w:hAnsi="Times" w:cs="Times"/>
                <w:color w:val="000000"/>
              </w:rPr>
            </w:pPr>
            <w:r>
              <w:rPr>
                <w:rFonts w:ascii="Times" w:hAnsi="Times" w:cs="Times"/>
                <w:color w:val="000000"/>
              </w:rPr>
              <w:t>Ramipril</w:t>
            </w:r>
          </w:p>
        </w:tc>
        <w:tc>
          <w:tcPr>
            <w:tcW w:w="1128" w:type="dxa"/>
            <w:tcBorders>
              <w:top w:val="nil"/>
              <w:left w:val="single" w:sz="2" w:space="0" w:color="000000"/>
              <w:bottom w:val="single" w:sz="2" w:space="0" w:color="000000"/>
              <w:right w:val="nil"/>
            </w:tcBorders>
          </w:tcPr>
          <w:p w:rsidR="005F3F11" w:rsidRDefault="005F3F11" w:rsidP="005F3F11">
            <w:pPr>
              <w:keepNext/>
              <w:adjustRightInd w:val="0"/>
              <w:spacing w:before="60" w:after="60"/>
              <w:rPr>
                <w:rFonts w:ascii="Times" w:hAnsi="Times" w:cs="Times"/>
                <w:color w:val="000000"/>
              </w:rPr>
            </w:pPr>
            <w:r>
              <w:rPr>
                <w:rFonts w:ascii="Times" w:hAnsi="Times" w:cs="Times"/>
                <w:color w:val="000000"/>
              </w:rPr>
              <w:t>C09AA05</w:t>
            </w:r>
          </w:p>
        </w:tc>
        <w:tc>
          <w:tcPr>
            <w:tcW w:w="966" w:type="dxa"/>
            <w:tcBorders>
              <w:top w:val="nil"/>
              <w:left w:val="single" w:sz="2" w:space="0" w:color="000000"/>
              <w:bottom w:val="single" w:sz="2" w:space="0" w:color="000000"/>
              <w:right w:val="nil"/>
            </w:tcBorders>
          </w:tcPr>
          <w:p w:rsidR="005F3F11" w:rsidRDefault="005F3F11" w:rsidP="005F3F11">
            <w:pPr>
              <w:keepNext/>
              <w:adjustRightInd w:val="0"/>
              <w:spacing w:before="60" w:after="60"/>
              <w:jc w:val="right"/>
              <w:rPr>
                <w:rFonts w:ascii="Times" w:hAnsi="Times" w:cs="Times"/>
                <w:color w:val="000000"/>
              </w:rPr>
            </w:pPr>
            <w:r>
              <w:rPr>
                <w:rFonts w:ascii="Times" w:hAnsi="Times" w:cs="Times"/>
                <w:color w:val="000000"/>
              </w:rPr>
              <w:t>1</w:t>
            </w:r>
          </w:p>
        </w:tc>
        <w:tc>
          <w:tcPr>
            <w:tcW w:w="1924" w:type="dxa"/>
            <w:tcBorders>
              <w:top w:val="nil"/>
              <w:left w:val="single" w:sz="2" w:space="0" w:color="000000"/>
              <w:bottom w:val="single" w:sz="2" w:space="0" w:color="000000"/>
              <w:right w:val="single" w:sz="6" w:space="0" w:color="000000"/>
            </w:tcBorders>
          </w:tcPr>
          <w:p w:rsidR="005F3F11" w:rsidRDefault="005F3F11" w:rsidP="005F3F11">
            <w:pPr>
              <w:keepNext/>
              <w:adjustRightInd w:val="0"/>
              <w:spacing w:before="60" w:after="60"/>
              <w:jc w:val="right"/>
              <w:rPr>
                <w:rFonts w:ascii="Times" w:hAnsi="Times" w:cs="Times"/>
                <w:color w:val="000000"/>
              </w:rPr>
            </w:pPr>
            <w:r>
              <w:rPr>
                <w:rFonts w:ascii="Times" w:hAnsi="Times" w:cs="Times"/>
                <w:color w:val="000000"/>
              </w:rPr>
              <w:t>1</w:t>
            </w:r>
          </w:p>
        </w:tc>
      </w:tr>
      <w:tr w:rsidR="005F3F11" w:rsidTr="000B57E6">
        <w:trPr>
          <w:cantSplit/>
          <w:trHeight w:val="394"/>
          <w:jc w:val="center"/>
        </w:trPr>
        <w:tc>
          <w:tcPr>
            <w:tcW w:w="4423" w:type="dxa"/>
            <w:tcBorders>
              <w:top w:val="nil"/>
              <w:left w:val="single" w:sz="6" w:space="0" w:color="000000"/>
              <w:bottom w:val="single" w:sz="6"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Thiamazol</w:t>
            </w:r>
          </w:p>
        </w:tc>
        <w:tc>
          <w:tcPr>
            <w:tcW w:w="1128" w:type="dxa"/>
            <w:tcBorders>
              <w:top w:val="nil"/>
              <w:left w:val="single" w:sz="2" w:space="0" w:color="000000"/>
              <w:bottom w:val="single" w:sz="6" w:space="0" w:color="000000"/>
              <w:right w:val="nil"/>
            </w:tcBorders>
          </w:tcPr>
          <w:p w:rsidR="005F3F11" w:rsidRDefault="005F3F11" w:rsidP="005F3F11">
            <w:pPr>
              <w:adjustRightInd w:val="0"/>
              <w:spacing w:before="60" w:after="60"/>
              <w:rPr>
                <w:rFonts w:ascii="Times" w:hAnsi="Times" w:cs="Times"/>
                <w:color w:val="000000"/>
              </w:rPr>
            </w:pPr>
            <w:r>
              <w:rPr>
                <w:rFonts w:ascii="Times" w:hAnsi="Times" w:cs="Times"/>
                <w:color w:val="000000"/>
              </w:rPr>
              <w:t>H03BB02</w:t>
            </w:r>
          </w:p>
        </w:tc>
        <w:tc>
          <w:tcPr>
            <w:tcW w:w="966" w:type="dxa"/>
            <w:tcBorders>
              <w:top w:val="nil"/>
              <w:left w:val="single" w:sz="2" w:space="0" w:color="000000"/>
              <w:bottom w:val="single" w:sz="6" w:space="0" w:color="000000"/>
              <w:right w:val="nil"/>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1</w:t>
            </w:r>
          </w:p>
        </w:tc>
        <w:tc>
          <w:tcPr>
            <w:tcW w:w="1924" w:type="dxa"/>
            <w:tcBorders>
              <w:top w:val="nil"/>
              <w:left w:val="single" w:sz="2" w:space="0" w:color="000000"/>
              <w:bottom w:val="single" w:sz="6" w:space="0" w:color="000000"/>
              <w:right w:val="single" w:sz="6" w:space="0" w:color="000000"/>
            </w:tcBorders>
          </w:tcPr>
          <w:p w:rsidR="005F3F11" w:rsidRDefault="005F3F11" w:rsidP="005F3F11">
            <w:pPr>
              <w:adjustRightInd w:val="0"/>
              <w:spacing w:before="60" w:after="60"/>
              <w:jc w:val="right"/>
              <w:rPr>
                <w:rFonts w:ascii="Times" w:hAnsi="Times" w:cs="Times"/>
                <w:color w:val="000000"/>
              </w:rPr>
            </w:pPr>
            <w:r>
              <w:rPr>
                <w:rFonts w:ascii="Times" w:hAnsi="Times" w:cs="Times"/>
                <w:color w:val="000000"/>
              </w:rPr>
              <w:t>6</w:t>
            </w:r>
          </w:p>
        </w:tc>
      </w:tr>
    </w:tbl>
    <w:p w:rsidR="005F3F11" w:rsidRDefault="005F3F11" w:rsidP="005F3F11">
      <w:pPr>
        <w:rPr>
          <w:sz w:val="22"/>
        </w:rPr>
      </w:pPr>
    </w:p>
    <w:p w:rsidR="005F3F11" w:rsidRPr="00330459" w:rsidRDefault="005F3F11" w:rsidP="005F3F11">
      <w:pPr>
        <w:rPr>
          <w:szCs w:val="20"/>
        </w:rPr>
      </w:pPr>
      <w:r w:rsidRPr="00330459">
        <w:rPr>
          <w:szCs w:val="20"/>
        </w:rPr>
        <w:t xml:space="preserve">Udtrækket fra Landspatientregisteret er baseret på aktion- og bidiagnoser. Der er ikke taget hensyn til hvilket hovedspeciale som den afdeling, der har behandlet patient, har. Det kunne tænkes at diagnoser fra sygehusafdelinger, der ikke har lungemedicin som speciale er mindre sikre. Det er dog i nogle regioner svært at afgøre om lungemedicin er et speciale, der er knyttet til afdelingen. I Region Midtjylland angives sygehusafdeling nogle steder som en medicinsk overafdeling med intern medicin som speciale og uden tilknytning af bispecialer. Der er anvendt én diagnose for astma som inklusionskriterie via Landspatientregisteret. Kun børn under 6 år er sorteret fra da det kan være svært at afgøre om småbørn har astma eller astmatisk bronkitis, som de kan vokse fra. Øvrige personer over 6 år, der ved en fejl har fået tilknyttet en diagnose for astma som aktions- eller bidiagnose i Landspatientregisteret, er inkluderet i astma populationen. Det ses dog at 90 </w:t>
      </w:r>
      <w:r w:rsidR="00B82458">
        <w:rPr>
          <w:szCs w:val="20"/>
        </w:rPr>
        <w:t>%</w:t>
      </w:r>
      <w:r w:rsidRPr="00330459">
        <w:rPr>
          <w:szCs w:val="20"/>
        </w:rPr>
        <w:t xml:space="preserve"> af de personer, der har en astma diagnose i LPR uden at have købt lægemidler med specifikke indikationskoder for astma, bruger astmamedicin (ATC-gruppe R03)</w:t>
      </w:r>
    </w:p>
    <w:p w:rsidR="005F3F11" w:rsidRPr="00330459" w:rsidRDefault="005F3F11" w:rsidP="005F3F11">
      <w:pPr>
        <w:rPr>
          <w:i/>
          <w:szCs w:val="20"/>
        </w:rPr>
      </w:pPr>
    </w:p>
    <w:p w:rsidR="005F3F11" w:rsidRPr="00330459" w:rsidRDefault="005F3F11" w:rsidP="005F3F11">
      <w:pPr>
        <w:rPr>
          <w:i/>
          <w:szCs w:val="20"/>
        </w:rPr>
      </w:pPr>
    </w:p>
    <w:p w:rsidR="005F3F11" w:rsidRPr="00330459" w:rsidRDefault="005F3F11" w:rsidP="0030575C">
      <w:pPr>
        <w:pStyle w:val="Overskrift2"/>
        <w:rPr>
          <w:b/>
          <w:sz w:val="20"/>
          <w:szCs w:val="20"/>
        </w:rPr>
      </w:pPr>
      <w:bookmarkStart w:id="37" w:name="_Toc391624672"/>
      <w:r w:rsidRPr="00330459">
        <w:rPr>
          <w:b/>
          <w:sz w:val="20"/>
          <w:szCs w:val="20"/>
        </w:rPr>
        <w:t>Fremtidig udbygning</w:t>
      </w:r>
      <w:bookmarkEnd w:id="37"/>
    </w:p>
    <w:p w:rsidR="005F3F11" w:rsidRPr="00330459" w:rsidRDefault="005F3F11" w:rsidP="005F3F11">
      <w:pPr>
        <w:rPr>
          <w:b/>
          <w:szCs w:val="20"/>
        </w:rPr>
      </w:pPr>
    </w:p>
    <w:p w:rsidR="005F3F11" w:rsidRPr="00330459" w:rsidRDefault="005F3F11" w:rsidP="005F3F11">
      <w:pPr>
        <w:rPr>
          <w:szCs w:val="20"/>
        </w:rPr>
      </w:pPr>
      <w:r w:rsidRPr="00330459">
        <w:rPr>
          <w:szCs w:val="20"/>
        </w:rPr>
        <w:t xml:space="preserve">Populationsudvælgelsen kan formentlig forbedres ved berigelse med data fra DAK-E. </w:t>
      </w:r>
    </w:p>
    <w:p w:rsidR="005F3F11" w:rsidRPr="00330459" w:rsidRDefault="005F3F11" w:rsidP="005F3F11">
      <w:pPr>
        <w:rPr>
          <w:szCs w:val="20"/>
        </w:rPr>
      </w:pPr>
    </w:p>
    <w:p w:rsidR="005F3F11" w:rsidRPr="00330459" w:rsidRDefault="005F3F11" w:rsidP="005F3F11">
      <w:pPr>
        <w:rPr>
          <w:b/>
          <w:szCs w:val="20"/>
        </w:rPr>
      </w:pPr>
      <w:r w:rsidRPr="00330459">
        <w:rPr>
          <w:szCs w:val="20"/>
        </w:rPr>
        <w:t xml:space="preserve">Det kan overvejes om cystisk fibrose skal tilføjes som kronisk sygdom i RUKS. </w:t>
      </w:r>
    </w:p>
    <w:p w:rsidR="005F3F11" w:rsidRPr="00330459" w:rsidRDefault="005F3F11" w:rsidP="005F3F11">
      <w:pPr>
        <w:rPr>
          <w:szCs w:val="20"/>
        </w:rPr>
      </w:pPr>
    </w:p>
    <w:p w:rsidR="00164EE1" w:rsidRDefault="00164EE1" w:rsidP="005F3F11">
      <w:pPr>
        <w:rPr>
          <w:szCs w:val="20"/>
        </w:rPr>
      </w:pPr>
    </w:p>
    <w:p w:rsidR="00330459" w:rsidRDefault="00330459" w:rsidP="005F3F11">
      <w:pPr>
        <w:rPr>
          <w:szCs w:val="20"/>
        </w:rPr>
      </w:pPr>
    </w:p>
    <w:p w:rsidR="00330459" w:rsidRDefault="00330459" w:rsidP="005F3F11">
      <w:pPr>
        <w:rPr>
          <w:szCs w:val="20"/>
        </w:rPr>
      </w:pPr>
    </w:p>
    <w:p w:rsidR="00330459" w:rsidRDefault="00330459" w:rsidP="005F3F11">
      <w:pPr>
        <w:rPr>
          <w:szCs w:val="20"/>
        </w:rPr>
      </w:pPr>
    </w:p>
    <w:p w:rsidR="00330459" w:rsidRDefault="00330459" w:rsidP="005F3F11">
      <w:pPr>
        <w:rPr>
          <w:szCs w:val="20"/>
        </w:rPr>
      </w:pPr>
    </w:p>
    <w:p w:rsidR="00330459" w:rsidRDefault="00330459" w:rsidP="005F3F11">
      <w:pPr>
        <w:rPr>
          <w:szCs w:val="20"/>
        </w:rPr>
      </w:pPr>
    </w:p>
    <w:p w:rsidR="00330459" w:rsidRDefault="00330459" w:rsidP="005F3F11">
      <w:pPr>
        <w:rPr>
          <w:szCs w:val="20"/>
        </w:rPr>
      </w:pPr>
    </w:p>
    <w:p w:rsidR="00330459" w:rsidRDefault="00330459" w:rsidP="005F3F11">
      <w:pPr>
        <w:rPr>
          <w:szCs w:val="20"/>
        </w:rPr>
      </w:pPr>
    </w:p>
    <w:p w:rsidR="00330459" w:rsidRDefault="00330459" w:rsidP="005F3F11">
      <w:pPr>
        <w:rPr>
          <w:szCs w:val="20"/>
        </w:rPr>
      </w:pPr>
    </w:p>
    <w:p w:rsidR="00330459" w:rsidRDefault="00330459" w:rsidP="005F3F11">
      <w:pPr>
        <w:rPr>
          <w:szCs w:val="20"/>
        </w:rPr>
      </w:pPr>
    </w:p>
    <w:p w:rsidR="00330459" w:rsidRDefault="00330459" w:rsidP="005F3F11">
      <w:pPr>
        <w:rPr>
          <w:szCs w:val="20"/>
        </w:rPr>
      </w:pPr>
    </w:p>
    <w:p w:rsidR="00330459" w:rsidRDefault="00330459" w:rsidP="005F3F11">
      <w:pPr>
        <w:rPr>
          <w:szCs w:val="20"/>
        </w:rPr>
      </w:pPr>
    </w:p>
    <w:p w:rsidR="00330459" w:rsidRDefault="00330459" w:rsidP="005F3F11">
      <w:pPr>
        <w:rPr>
          <w:szCs w:val="20"/>
        </w:rPr>
      </w:pPr>
    </w:p>
    <w:p w:rsidR="00330459" w:rsidRDefault="00330459" w:rsidP="005F3F11">
      <w:pPr>
        <w:rPr>
          <w:szCs w:val="20"/>
        </w:rPr>
      </w:pPr>
    </w:p>
    <w:p w:rsidR="00330459" w:rsidRDefault="00330459" w:rsidP="005F3F11">
      <w:pPr>
        <w:rPr>
          <w:szCs w:val="20"/>
        </w:rPr>
      </w:pPr>
    </w:p>
    <w:p w:rsidR="00330459" w:rsidRDefault="00330459" w:rsidP="005F3F11">
      <w:pPr>
        <w:rPr>
          <w:szCs w:val="20"/>
        </w:rPr>
      </w:pPr>
    </w:p>
    <w:p w:rsidR="00330459" w:rsidRDefault="00330459" w:rsidP="005F3F11">
      <w:pPr>
        <w:rPr>
          <w:szCs w:val="20"/>
        </w:rPr>
      </w:pPr>
    </w:p>
    <w:p w:rsidR="00330459" w:rsidRDefault="00330459" w:rsidP="005F3F11">
      <w:pPr>
        <w:rPr>
          <w:szCs w:val="20"/>
        </w:rPr>
      </w:pPr>
    </w:p>
    <w:p w:rsidR="00330459" w:rsidRDefault="00330459" w:rsidP="005F3F11">
      <w:pPr>
        <w:rPr>
          <w:szCs w:val="20"/>
        </w:rPr>
      </w:pPr>
    </w:p>
    <w:p w:rsidR="00330459" w:rsidRDefault="00330459" w:rsidP="005F3F11">
      <w:pPr>
        <w:rPr>
          <w:szCs w:val="20"/>
        </w:rPr>
      </w:pPr>
    </w:p>
    <w:p w:rsidR="00330459" w:rsidRDefault="00330459" w:rsidP="005F3F11">
      <w:pPr>
        <w:rPr>
          <w:szCs w:val="20"/>
        </w:rPr>
      </w:pPr>
    </w:p>
    <w:p w:rsidR="00885C88" w:rsidRDefault="00164EE1" w:rsidP="00885C88">
      <w:pPr>
        <w:pStyle w:val="Overskrift1"/>
        <w:rPr>
          <w:sz w:val="24"/>
          <w:szCs w:val="24"/>
        </w:rPr>
      </w:pPr>
      <w:bookmarkStart w:id="38" w:name="_Toc391624673"/>
      <w:r>
        <w:t xml:space="preserve">4. </w:t>
      </w:r>
      <w:r w:rsidR="00330459">
        <w:t>Osteoporose (k</w:t>
      </w:r>
      <w:r w:rsidR="00885C88">
        <w:t>nogleskørhed)</w:t>
      </w:r>
      <w:bookmarkEnd w:id="38"/>
    </w:p>
    <w:p w:rsidR="00885C88" w:rsidRPr="00330459" w:rsidRDefault="00885C88" w:rsidP="009B4781">
      <w:pPr>
        <w:rPr>
          <w:szCs w:val="20"/>
        </w:rPr>
      </w:pPr>
    </w:p>
    <w:p w:rsidR="00330459" w:rsidRPr="00330459" w:rsidRDefault="00885C88" w:rsidP="009B4781">
      <w:pPr>
        <w:pStyle w:val="Overskrift2"/>
        <w:rPr>
          <w:sz w:val="20"/>
          <w:szCs w:val="20"/>
        </w:rPr>
      </w:pPr>
      <w:bookmarkStart w:id="39" w:name="_Toc391624674"/>
      <w:r w:rsidRPr="00330459">
        <w:rPr>
          <w:b/>
          <w:sz w:val="20"/>
          <w:szCs w:val="20"/>
        </w:rPr>
        <w:t>Årsag til udvælgelse</w:t>
      </w:r>
      <w:bookmarkEnd w:id="39"/>
    </w:p>
    <w:p w:rsidR="00885C88" w:rsidRPr="00330459" w:rsidRDefault="00885C88" w:rsidP="009B4781">
      <w:pPr>
        <w:rPr>
          <w:szCs w:val="20"/>
        </w:rPr>
      </w:pPr>
      <w:r w:rsidRPr="00330459">
        <w:rPr>
          <w:szCs w:val="20"/>
        </w:rPr>
        <w:t>Osteoporose er valgt i Sundhedsstyrelsens tidligere kronikermonitorering.</w:t>
      </w:r>
    </w:p>
    <w:p w:rsidR="00885C88" w:rsidRPr="00330459" w:rsidRDefault="00885C88" w:rsidP="009B4781">
      <w:pPr>
        <w:rPr>
          <w:szCs w:val="20"/>
        </w:rPr>
      </w:pPr>
    </w:p>
    <w:p w:rsidR="00885C88" w:rsidRDefault="00885C88" w:rsidP="009B4781">
      <w:pPr>
        <w:pStyle w:val="Overskrift2"/>
        <w:rPr>
          <w:b/>
          <w:sz w:val="20"/>
          <w:szCs w:val="20"/>
        </w:rPr>
      </w:pPr>
      <w:bookmarkStart w:id="40" w:name="_Toc391624675"/>
      <w:r w:rsidRPr="00330459">
        <w:rPr>
          <w:b/>
          <w:sz w:val="20"/>
          <w:szCs w:val="20"/>
        </w:rPr>
        <w:t>Rationale for udvælgelsesmetode og registre</w:t>
      </w:r>
      <w:bookmarkEnd w:id="40"/>
    </w:p>
    <w:p w:rsidR="00885C88" w:rsidRPr="00EF0221" w:rsidRDefault="00885C88" w:rsidP="009B4781">
      <w:pPr>
        <w:rPr>
          <w:rFonts w:cstheme="minorHAnsi"/>
          <w:szCs w:val="20"/>
        </w:rPr>
      </w:pPr>
      <w:r w:rsidRPr="00EF0221">
        <w:rPr>
          <w:rFonts w:cstheme="minorHAnsi"/>
          <w:szCs w:val="20"/>
        </w:rPr>
        <w:t xml:space="preserve">I Landspatientregisteret er patienter med en aktions- eller bidiagnose for forstyrrelser i knogletæthed eller struktur identificeret med koderne M80-M82 (inklusiv underkoder).  </w:t>
      </w:r>
    </w:p>
    <w:p w:rsidR="00885C88" w:rsidRPr="00EF0221" w:rsidRDefault="00885C88" w:rsidP="009B4781">
      <w:pPr>
        <w:rPr>
          <w:rFonts w:cstheme="minorHAnsi"/>
          <w:szCs w:val="20"/>
        </w:rPr>
      </w:pPr>
      <w:r w:rsidRPr="00EF0221">
        <w:rPr>
          <w:rFonts w:cstheme="minorHAnsi"/>
          <w:szCs w:val="20"/>
        </w:rPr>
        <w:t>Da det ikke er alle osteoporose-patienter, der har haft enten en indlæggel</w:t>
      </w:r>
      <w:r w:rsidR="00EF0221">
        <w:rPr>
          <w:rFonts w:cstheme="minorHAnsi"/>
          <w:szCs w:val="20"/>
        </w:rPr>
        <w:t>se eller en ambulant kontakt</w:t>
      </w:r>
      <w:r w:rsidRPr="00EF0221">
        <w:rPr>
          <w:rFonts w:cstheme="minorHAnsi"/>
          <w:szCs w:val="20"/>
        </w:rPr>
        <w:t xml:space="preserve"> udvides til også at inddrage medicinoplysninger fra Lægemiddelstatistikregisteret. </w:t>
      </w:r>
    </w:p>
    <w:p w:rsidR="00885C88" w:rsidRPr="00EF0221" w:rsidRDefault="00885C88" w:rsidP="009B4781">
      <w:pPr>
        <w:rPr>
          <w:rFonts w:cstheme="minorHAnsi"/>
          <w:szCs w:val="20"/>
        </w:rPr>
      </w:pPr>
      <w:r w:rsidRPr="00EF0221">
        <w:rPr>
          <w:rFonts w:cstheme="minorHAnsi"/>
          <w:szCs w:val="20"/>
        </w:rPr>
        <w:t>Det er ikke muligt at lave en præcis afgrænsning af lægemidler mod osteoporose, fordi flere præparater også anvendes til at behandle andre sygdomme. Der er foretaget en afgrænsning på de lægemidler, som oftest anvendes til behandling af osteoporose.</w:t>
      </w:r>
    </w:p>
    <w:p w:rsidR="00885C88" w:rsidRPr="00EF0221" w:rsidRDefault="00885C88" w:rsidP="009B4781">
      <w:pPr>
        <w:rPr>
          <w:rFonts w:cstheme="minorHAnsi"/>
          <w:szCs w:val="20"/>
        </w:rPr>
      </w:pPr>
    </w:p>
    <w:p w:rsidR="00885C88" w:rsidRPr="00EF0221" w:rsidRDefault="00885C88" w:rsidP="009B4781">
      <w:pPr>
        <w:rPr>
          <w:rFonts w:cstheme="minorHAnsi"/>
          <w:szCs w:val="20"/>
        </w:rPr>
      </w:pPr>
      <w:r w:rsidRPr="00EF0221">
        <w:rPr>
          <w:rFonts w:cstheme="minorHAnsi"/>
          <w:szCs w:val="20"/>
        </w:rPr>
        <w:t xml:space="preserve">Nogle osteoporose-patienter behandles også med kalcium og D-vitamin. Disse præparater er ikke medtaget, da de kan anvendes af andre årsager end osteoporose. Derudover er mange af disse præparater ikke lægemidler, men kosttilskud, og salget indberettes derfor ikke til Lægemiddelstatistikregisteret. De kalcium og D-vitamin præparater, der er lægemidler, kan købes i håndkøbssalg og indgår derfor kun i Lægemiddelstatistikregisteret som personhenførbare medicinkøb i de tilfælde, hvor de er købt via recept. </w:t>
      </w:r>
    </w:p>
    <w:p w:rsidR="00885C88" w:rsidRPr="00EF0221" w:rsidRDefault="00885C88" w:rsidP="009B4781">
      <w:pPr>
        <w:rPr>
          <w:szCs w:val="20"/>
        </w:rPr>
      </w:pPr>
    </w:p>
    <w:p w:rsidR="00885C88" w:rsidRPr="00330459" w:rsidRDefault="00885C88" w:rsidP="009B4781">
      <w:pPr>
        <w:pStyle w:val="Overskrift2"/>
        <w:rPr>
          <w:b/>
          <w:sz w:val="20"/>
          <w:szCs w:val="20"/>
        </w:rPr>
      </w:pPr>
      <w:bookmarkStart w:id="41" w:name="_Toc391624676"/>
      <w:r w:rsidRPr="00330459">
        <w:rPr>
          <w:b/>
          <w:sz w:val="20"/>
          <w:szCs w:val="20"/>
        </w:rPr>
        <w:t>Inklusion- og eksklusionskoder fra registre</w:t>
      </w:r>
      <w:bookmarkEnd w:id="41"/>
    </w:p>
    <w:p w:rsidR="00885C88" w:rsidRDefault="00885C88" w:rsidP="009B4781">
      <w:pPr>
        <w:rPr>
          <w:szCs w:val="20"/>
        </w:rPr>
      </w:pPr>
      <w:r w:rsidRPr="00330459">
        <w:rPr>
          <w:szCs w:val="20"/>
        </w:rPr>
        <w:t xml:space="preserve">Inklusionskriterier: </w:t>
      </w:r>
    </w:p>
    <w:p w:rsidR="00B24239" w:rsidRPr="00330459" w:rsidRDefault="00B24239" w:rsidP="009B4781">
      <w:pPr>
        <w:rPr>
          <w:szCs w:val="20"/>
        </w:rPr>
      </w:pPr>
    </w:p>
    <w:p w:rsidR="00885C88" w:rsidRPr="00330459" w:rsidRDefault="00885C88" w:rsidP="009B4781">
      <w:pPr>
        <w:pStyle w:val="Listeafsnit"/>
        <w:numPr>
          <w:ilvl w:val="0"/>
          <w:numId w:val="9"/>
        </w:numPr>
        <w:rPr>
          <w:szCs w:val="20"/>
        </w:rPr>
      </w:pPr>
      <w:r w:rsidRPr="00330459">
        <w:rPr>
          <w:szCs w:val="20"/>
        </w:rPr>
        <w:t>Personer med enten en aktions- eller biadiagnose (inklusiv ikke afsluttede åbne kontakter) for forstyrrelser i knogletæthed og knoglestruktur i Landspatientregisteret (kode M80-M82 inkl. underkoder)</w:t>
      </w:r>
    </w:p>
    <w:p w:rsidR="00330459" w:rsidRDefault="00885C88" w:rsidP="00A7359A">
      <w:pPr>
        <w:pStyle w:val="Listeafsnit"/>
        <w:numPr>
          <w:ilvl w:val="0"/>
          <w:numId w:val="9"/>
        </w:numPr>
        <w:spacing w:line="360" w:lineRule="auto"/>
        <w:rPr>
          <w:szCs w:val="20"/>
        </w:rPr>
      </w:pPr>
      <w:r w:rsidRPr="00B24239">
        <w:rPr>
          <w:szCs w:val="20"/>
        </w:rPr>
        <w:t xml:space="preserve">Personer med minimum to indløste recepter på lægemidler, der primært anvendes mod osteoporose, i Lægemiddelstatistikregister </w:t>
      </w:r>
    </w:p>
    <w:p w:rsidR="00183F1B" w:rsidRDefault="00183F1B" w:rsidP="00183F1B">
      <w:pPr>
        <w:spacing w:line="360" w:lineRule="auto"/>
        <w:rPr>
          <w:szCs w:val="20"/>
        </w:rPr>
      </w:pPr>
    </w:p>
    <w:p w:rsidR="00183F1B" w:rsidRDefault="00183F1B" w:rsidP="00183F1B">
      <w:pPr>
        <w:spacing w:line="360" w:lineRule="auto"/>
        <w:rPr>
          <w:szCs w:val="20"/>
        </w:rPr>
      </w:pPr>
    </w:p>
    <w:p w:rsidR="00183F1B" w:rsidRDefault="00183F1B" w:rsidP="00183F1B">
      <w:pPr>
        <w:spacing w:line="360" w:lineRule="auto"/>
        <w:rPr>
          <w:szCs w:val="20"/>
        </w:rPr>
      </w:pPr>
    </w:p>
    <w:p w:rsidR="00183F1B" w:rsidRDefault="00183F1B" w:rsidP="00183F1B">
      <w:pPr>
        <w:spacing w:line="360" w:lineRule="auto"/>
        <w:rPr>
          <w:szCs w:val="20"/>
        </w:rPr>
      </w:pPr>
    </w:p>
    <w:p w:rsidR="00183F1B" w:rsidRDefault="00183F1B" w:rsidP="00183F1B">
      <w:pPr>
        <w:spacing w:line="360" w:lineRule="auto"/>
        <w:rPr>
          <w:szCs w:val="20"/>
        </w:rPr>
      </w:pPr>
    </w:p>
    <w:p w:rsidR="00183F1B" w:rsidRDefault="00183F1B" w:rsidP="00183F1B">
      <w:pPr>
        <w:spacing w:line="360" w:lineRule="auto"/>
        <w:rPr>
          <w:szCs w:val="20"/>
        </w:rPr>
      </w:pPr>
    </w:p>
    <w:p w:rsidR="00183F1B" w:rsidRDefault="00183F1B" w:rsidP="00183F1B">
      <w:pPr>
        <w:spacing w:line="360" w:lineRule="auto"/>
        <w:rPr>
          <w:szCs w:val="20"/>
        </w:rPr>
      </w:pPr>
    </w:p>
    <w:p w:rsidR="00183F1B" w:rsidRDefault="00183F1B" w:rsidP="00183F1B">
      <w:pPr>
        <w:spacing w:line="360" w:lineRule="auto"/>
        <w:rPr>
          <w:szCs w:val="20"/>
        </w:rPr>
      </w:pPr>
    </w:p>
    <w:p w:rsidR="00183F1B" w:rsidRDefault="00183F1B" w:rsidP="00183F1B">
      <w:pPr>
        <w:spacing w:line="360" w:lineRule="auto"/>
        <w:rPr>
          <w:szCs w:val="20"/>
        </w:rPr>
      </w:pPr>
    </w:p>
    <w:p w:rsidR="00183F1B" w:rsidRPr="00183F1B" w:rsidRDefault="00183F1B" w:rsidP="00183F1B">
      <w:pPr>
        <w:spacing w:line="360" w:lineRule="auto"/>
        <w:rPr>
          <w:szCs w:val="20"/>
        </w:rPr>
      </w:pPr>
    </w:p>
    <w:tbl>
      <w:tblPr>
        <w:tblStyle w:val="Tabel-Gitter"/>
        <w:tblW w:w="0" w:type="auto"/>
        <w:tblLook w:val="04A0" w:firstRow="1" w:lastRow="0" w:firstColumn="1" w:lastColumn="0" w:noHBand="0" w:noVBand="1"/>
      </w:tblPr>
      <w:tblGrid>
        <w:gridCol w:w="4730"/>
        <w:gridCol w:w="4757"/>
      </w:tblGrid>
      <w:tr w:rsidR="00885C88" w:rsidTr="004D29E9">
        <w:trPr>
          <w:trHeight w:val="144"/>
        </w:trPr>
        <w:tc>
          <w:tcPr>
            <w:tcW w:w="4730" w:type="dxa"/>
          </w:tcPr>
          <w:p w:rsidR="00885C88" w:rsidRDefault="00885C88" w:rsidP="0033062B">
            <w:pPr>
              <w:spacing w:line="280" w:lineRule="atLeast"/>
              <w:rPr>
                <w:b/>
                <w:sz w:val="22"/>
              </w:rPr>
            </w:pPr>
            <w:r>
              <w:rPr>
                <w:b/>
                <w:sz w:val="22"/>
              </w:rPr>
              <w:t>LPR</w:t>
            </w:r>
          </w:p>
        </w:tc>
        <w:tc>
          <w:tcPr>
            <w:tcW w:w="4757" w:type="dxa"/>
          </w:tcPr>
          <w:p w:rsidR="00885C88" w:rsidRDefault="00885C88" w:rsidP="0033062B">
            <w:pPr>
              <w:spacing w:line="280" w:lineRule="atLeast"/>
              <w:rPr>
                <w:b/>
                <w:sz w:val="22"/>
              </w:rPr>
            </w:pPr>
            <w:r>
              <w:rPr>
                <w:b/>
                <w:sz w:val="22"/>
              </w:rPr>
              <w:t>LSR</w:t>
            </w:r>
          </w:p>
        </w:tc>
      </w:tr>
      <w:tr w:rsidR="00885C88" w:rsidRPr="00146E03" w:rsidTr="004D29E9">
        <w:trPr>
          <w:trHeight w:val="3513"/>
        </w:trPr>
        <w:tc>
          <w:tcPr>
            <w:tcW w:w="4730" w:type="dxa"/>
          </w:tcPr>
          <w:p w:rsidR="00885C88" w:rsidRDefault="00885C88" w:rsidP="0033062B">
            <w:pPr>
              <w:spacing w:line="280" w:lineRule="atLeast"/>
            </w:pPr>
            <w:r>
              <w:t>IC-10 koder:</w:t>
            </w:r>
          </w:p>
          <w:p w:rsidR="00885C88" w:rsidRPr="00B01A37" w:rsidRDefault="00885C88" w:rsidP="0033062B">
            <w:pPr>
              <w:spacing w:line="280" w:lineRule="atLeast"/>
            </w:pPr>
          </w:p>
          <w:p w:rsidR="00885C88" w:rsidRPr="005546B3" w:rsidRDefault="00885C88" w:rsidP="0033062B">
            <w:pPr>
              <w:spacing w:line="280" w:lineRule="atLeast"/>
              <w:rPr>
                <w:rFonts w:eastAsia="Times New Roman" w:cstheme="minorHAnsi"/>
                <w:sz w:val="22"/>
                <w:lang w:eastAsia="da-DK"/>
              </w:rPr>
            </w:pPr>
            <w:r w:rsidRPr="005546B3">
              <w:rPr>
                <w:rFonts w:cstheme="minorHAnsi"/>
                <w:sz w:val="22"/>
              </w:rPr>
              <w:t xml:space="preserve">DM80 </w:t>
            </w:r>
            <w:r>
              <w:rPr>
                <w:rFonts w:cstheme="minorHAnsi"/>
                <w:sz w:val="22"/>
              </w:rPr>
              <w:t>(</w:t>
            </w:r>
            <w:r>
              <w:rPr>
                <w:rFonts w:eastAsia="Times New Roman" w:cstheme="minorHAnsi"/>
                <w:sz w:val="22"/>
                <w:lang w:eastAsia="da-DK"/>
              </w:rPr>
              <w:t>p</w:t>
            </w:r>
            <w:r w:rsidRPr="005546B3">
              <w:rPr>
                <w:rFonts w:eastAsia="Times New Roman" w:cstheme="minorHAnsi"/>
                <w:sz w:val="22"/>
                <w:lang w:eastAsia="da-DK"/>
              </w:rPr>
              <w:t>ostmenopausal osteoporose med patologisk fraktur</w:t>
            </w:r>
            <w:r>
              <w:rPr>
                <w:rFonts w:eastAsia="Times New Roman" w:cstheme="minorHAnsi"/>
                <w:sz w:val="22"/>
                <w:lang w:eastAsia="da-DK"/>
              </w:rPr>
              <w:t>) og underkoder</w:t>
            </w:r>
            <w:r w:rsidRPr="005546B3">
              <w:rPr>
                <w:rFonts w:eastAsia="Times New Roman" w:cstheme="minorHAnsi"/>
                <w:sz w:val="22"/>
                <w:lang w:eastAsia="da-DK"/>
              </w:rPr>
              <w:t>  </w:t>
            </w:r>
          </w:p>
          <w:p w:rsidR="00885C88" w:rsidRPr="005546B3" w:rsidRDefault="00885C88" w:rsidP="0033062B">
            <w:pPr>
              <w:spacing w:line="280" w:lineRule="atLeast"/>
              <w:rPr>
                <w:rFonts w:eastAsia="Times New Roman" w:cstheme="minorHAnsi"/>
                <w:sz w:val="22"/>
                <w:lang w:eastAsia="da-DK"/>
              </w:rPr>
            </w:pPr>
            <w:r w:rsidRPr="005546B3">
              <w:rPr>
                <w:rFonts w:eastAsia="Times New Roman" w:cstheme="minorHAnsi"/>
                <w:sz w:val="22"/>
                <w:lang w:eastAsia="da-DK"/>
              </w:rPr>
              <w:t xml:space="preserve">DM81 </w:t>
            </w:r>
            <w:r>
              <w:rPr>
                <w:rFonts w:eastAsia="Times New Roman" w:cstheme="minorHAnsi"/>
                <w:sz w:val="22"/>
                <w:lang w:eastAsia="da-DK"/>
              </w:rPr>
              <w:t>(o</w:t>
            </w:r>
            <w:r w:rsidRPr="005546B3">
              <w:rPr>
                <w:rFonts w:eastAsia="Times New Roman" w:cstheme="minorHAnsi"/>
                <w:sz w:val="22"/>
                <w:lang w:eastAsia="da-DK"/>
              </w:rPr>
              <w:t>steoporose uden patologisk fraktur</w:t>
            </w:r>
            <w:r>
              <w:rPr>
                <w:rFonts w:eastAsia="Times New Roman" w:cstheme="minorHAnsi"/>
                <w:sz w:val="22"/>
                <w:lang w:eastAsia="da-DK"/>
              </w:rPr>
              <w:t>) og underkoder</w:t>
            </w:r>
            <w:r w:rsidRPr="005546B3">
              <w:rPr>
                <w:rFonts w:eastAsia="Times New Roman" w:cstheme="minorHAnsi"/>
                <w:sz w:val="22"/>
                <w:lang w:eastAsia="da-DK"/>
              </w:rPr>
              <w:t>  </w:t>
            </w:r>
          </w:p>
          <w:p w:rsidR="00885C88" w:rsidRPr="005546B3" w:rsidRDefault="00885C88" w:rsidP="0033062B">
            <w:pPr>
              <w:spacing w:line="280" w:lineRule="atLeast"/>
              <w:rPr>
                <w:rFonts w:cstheme="minorHAnsi"/>
                <w:sz w:val="22"/>
              </w:rPr>
            </w:pPr>
            <w:r w:rsidRPr="005546B3">
              <w:rPr>
                <w:rFonts w:cstheme="minorHAnsi"/>
                <w:sz w:val="22"/>
              </w:rPr>
              <w:t xml:space="preserve">DM82 </w:t>
            </w:r>
            <w:r>
              <w:rPr>
                <w:rFonts w:cstheme="minorHAnsi"/>
                <w:sz w:val="22"/>
              </w:rPr>
              <w:t>(</w:t>
            </w:r>
            <w:r>
              <w:rPr>
                <w:rFonts w:eastAsia="Times New Roman" w:cstheme="minorHAnsi"/>
                <w:sz w:val="22"/>
                <w:lang w:eastAsia="da-DK"/>
              </w:rPr>
              <w:t>o</w:t>
            </w:r>
            <w:r w:rsidRPr="005546B3">
              <w:rPr>
                <w:rFonts w:eastAsia="Times New Roman" w:cstheme="minorHAnsi"/>
                <w:sz w:val="22"/>
                <w:lang w:eastAsia="da-DK"/>
              </w:rPr>
              <w:t>steoporose ved sygdom klassificeret andetsteds</w:t>
            </w:r>
            <w:r>
              <w:rPr>
                <w:rFonts w:eastAsia="Times New Roman" w:cstheme="minorHAnsi"/>
                <w:sz w:val="22"/>
                <w:lang w:eastAsia="da-DK"/>
              </w:rPr>
              <w:t>) og underkoder</w:t>
            </w:r>
            <w:r w:rsidRPr="005546B3">
              <w:rPr>
                <w:rFonts w:eastAsia="Times New Roman" w:cstheme="minorHAnsi"/>
                <w:sz w:val="22"/>
                <w:lang w:eastAsia="da-DK"/>
              </w:rPr>
              <w:t>  </w:t>
            </w:r>
            <w:r w:rsidRPr="005546B3" w:rsidDel="00944E72">
              <w:rPr>
                <w:rFonts w:cstheme="minorHAnsi"/>
                <w:sz w:val="22"/>
              </w:rPr>
              <w:t xml:space="preserve"> </w:t>
            </w:r>
          </w:p>
          <w:p w:rsidR="00885C88" w:rsidRDefault="00885C88" w:rsidP="0033062B">
            <w:pPr>
              <w:spacing w:line="280" w:lineRule="atLeast"/>
              <w:rPr>
                <w:b/>
                <w:sz w:val="22"/>
              </w:rPr>
            </w:pPr>
          </w:p>
        </w:tc>
        <w:tc>
          <w:tcPr>
            <w:tcW w:w="4757" w:type="dxa"/>
          </w:tcPr>
          <w:p w:rsidR="00885C88" w:rsidRDefault="00885C88" w:rsidP="0033062B">
            <w:pPr>
              <w:spacing w:line="280" w:lineRule="atLeast"/>
              <w:rPr>
                <w:lang w:val="en-US"/>
              </w:rPr>
            </w:pPr>
            <w:r>
              <w:rPr>
                <w:lang w:val="en-US"/>
              </w:rPr>
              <w:t>Lægemidler:</w:t>
            </w:r>
          </w:p>
          <w:p w:rsidR="00885C88" w:rsidRDefault="00885C88" w:rsidP="0033062B">
            <w:pPr>
              <w:pStyle w:val="Listeafsnit"/>
              <w:numPr>
                <w:ilvl w:val="0"/>
                <w:numId w:val="28"/>
              </w:numPr>
              <w:spacing w:after="200" w:line="280" w:lineRule="atLeast"/>
              <w:rPr>
                <w:lang w:val="en-US"/>
              </w:rPr>
            </w:pPr>
            <w:r w:rsidRPr="0083178E">
              <w:rPr>
                <w:lang w:val="en-US"/>
              </w:rPr>
              <w:t>Bisfosfornater (M05BA01, M05BA04, M05BA06, M05BA07, M05BA08 (kun Aclasta)</w:t>
            </w:r>
            <w:r>
              <w:rPr>
                <w:lang w:val="en-US"/>
              </w:rPr>
              <w:t>)</w:t>
            </w:r>
          </w:p>
          <w:p w:rsidR="00885C88" w:rsidRDefault="00885C88" w:rsidP="0033062B">
            <w:pPr>
              <w:pStyle w:val="Listeafsnit"/>
              <w:numPr>
                <w:ilvl w:val="0"/>
                <w:numId w:val="28"/>
              </w:numPr>
              <w:spacing w:after="200" w:line="280" w:lineRule="atLeast"/>
            </w:pPr>
            <w:r w:rsidRPr="00425CBC">
              <w:t>bisfosfonater kombinationer</w:t>
            </w:r>
            <w:r>
              <w:t xml:space="preserve"> (</w:t>
            </w:r>
            <w:r w:rsidRPr="00425CBC">
              <w:t>M05BB01, M05BB03</w:t>
            </w:r>
            <w:r>
              <w:t>)</w:t>
            </w:r>
          </w:p>
          <w:p w:rsidR="00885C88" w:rsidRDefault="00885C88" w:rsidP="0033062B">
            <w:pPr>
              <w:pStyle w:val="Listeafsnit"/>
              <w:numPr>
                <w:ilvl w:val="0"/>
                <w:numId w:val="28"/>
              </w:numPr>
              <w:spacing w:after="200" w:line="280" w:lineRule="atLeast"/>
            </w:pPr>
            <w:r w:rsidRPr="00425CBC">
              <w:t>Strontiumranelat</w:t>
            </w:r>
            <w:r>
              <w:t xml:space="preserve"> (</w:t>
            </w:r>
            <w:r w:rsidRPr="00425CBC">
              <w:t>M05BX03</w:t>
            </w:r>
            <w:r>
              <w:t>)</w:t>
            </w:r>
          </w:p>
          <w:p w:rsidR="00885C88" w:rsidRDefault="00885C88" w:rsidP="0033062B">
            <w:pPr>
              <w:pStyle w:val="Listeafsnit"/>
              <w:numPr>
                <w:ilvl w:val="0"/>
                <w:numId w:val="28"/>
              </w:numPr>
              <w:spacing w:after="200" w:line="280" w:lineRule="atLeast"/>
            </w:pPr>
            <w:r>
              <w:t>Denosumab (</w:t>
            </w:r>
            <w:r w:rsidRPr="00CC4970">
              <w:t>M05BX04</w:t>
            </w:r>
            <w:r>
              <w:t>, kan dog også gives til forebyggelse af knoglerelaterede hændelse som følge af knoglemetastaser fra solide tumorer)</w:t>
            </w:r>
          </w:p>
          <w:p w:rsidR="00885C88" w:rsidRDefault="00885C88" w:rsidP="0033062B">
            <w:pPr>
              <w:pStyle w:val="Listeafsnit"/>
              <w:numPr>
                <w:ilvl w:val="0"/>
                <w:numId w:val="28"/>
              </w:numPr>
              <w:spacing w:after="200" w:line="280" w:lineRule="atLeast"/>
              <w:rPr>
                <w:lang w:val="en-US"/>
              </w:rPr>
            </w:pPr>
            <w:r>
              <w:t>Raloxifen (</w:t>
            </w:r>
            <w:r w:rsidRPr="0083178E">
              <w:rPr>
                <w:lang w:val="en-US"/>
              </w:rPr>
              <w:t>G03XC01</w:t>
            </w:r>
            <w:r>
              <w:rPr>
                <w:lang w:val="en-US"/>
              </w:rPr>
              <w:t>)</w:t>
            </w:r>
          </w:p>
          <w:p w:rsidR="00885C88" w:rsidRDefault="00885C88" w:rsidP="0033062B">
            <w:pPr>
              <w:pStyle w:val="Listeafsnit"/>
              <w:numPr>
                <w:ilvl w:val="0"/>
                <w:numId w:val="28"/>
              </w:numPr>
              <w:spacing w:after="200" w:line="280" w:lineRule="atLeast"/>
              <w:rPr>
                <w:lang w:val="en-US"/>
              </w:rPr>
            </w:pPr>
            <w:r w:rsidRPr="0083178E">
              <w:rPr>
                <w:lang w:val="en-US"/>
              </w:rPr>
              <w:t>Teriparatid (H05AA02)</w:t>
            </w:r>
          </w:p>
          <w:p w:rsidR="00885C88" w:rsidRDefault="00885C88" w:rsidP="0033062B">
            <w:pPr>
              <w:pStyle w:val="Listeafsnit"/>
              <w:numPr>
                <w:ilvl w:val="0"/>
                <w:numId w:val="28"/>
              </w:numPr>
              <w:spacing w:after="200" w:line="280" w:lineRule="atLeast"/>
              <w:rPr>
                <w:lang w:val="en-US"/>
              </w:rPr>
            </w:pPr>
            <w:r w:rsidRPr="0083178E">
              <w:rPr>
                <w:lang w:val="en-US"/>
              </w:rPr>
              <w:t>Parathyroidhormon</w:t>
            </w:r>
            <w:r>
              <w:rPr>
                <w:lang w:val="en-US"/>
              </w:rPr>
              <w:t>(</w:t>
            </w:r>
            <w:r w:rsidRPr="0083178E">
              <w:rPr>
                <w:lang w:val="en-US"/>
              </w:rPr>
              <w:t>H05AA03</w:t>
            </w:r>
            <w:r>
              <w:rPr>
                <w:lang w:val="en-US"/>
              </w:rPr>
              <w:t>)</w:t>
            </w:r>
          </w:p>
          <w:p w:rsidR="00885C88" w:rsidRPr="00146E03" w:rsidRDefault="00885C88" w:rsidP="0033062B">
            <w:pPr>
              <w:pStyle w:val="Listeafsnit"/>
              <w:numPr>
                <w:ilvl w:val="0"/>
                <w:numId w:val="28"/>
              </w:numPr>
              <w:spacing w:after="200" w:line="280" w:lineRule="atLeast"/>
              <w:rPr>
                <w:b/>
              </w:rPr>
            </w:pPr>
            <w:r w:rsidRPr="0083178E">
              <w:t>Ibandronsyre (M05BA06</w:t>
            </w:r>
            <w:r w:rsidRPr="00146E03">
              <w:t xml:space="preserve"> (kun Bonviva, Ibamyl, Ibandronat)</w:t>
            </w:r>
            <w:r>
              <w:t>)</w:t>
            </w:r>
            <w:r w:rsidRPr="00146E03">
              <w:t>.</w:t>
            </w:r>
          </w:p>
        </w:tc>
      </w:tr>
    </w:tbl>
    <w:p w:rsidR="00885C88" w:rsidRPr="00330459" w:rsidRDefault="00885C88" w:rsidP="00885C88">
      <w:pPr>
        <w:spacing w:line="360" w:lineRule="auto"/>
        <w:rPr>
          <w:b/>
          <w:szCs w:val="20"/>
        </w:rPr>
      </w:pPr>
    </w:p>
    <w:p w:rsidR="00885C88" w:rsidRPr="00330459" w:rsidRDefault="00885C88" w:rsidP="0033062B">
      <w:pPr>
        <w:rPr>
          <w:szCs w:val="20"/>
        </w:rPr>
      </w:pPr>
      <w:r w:rsidRPr="00330459">
        <w:rPr>
          <w:szCs w:val="20"/>
        </w:rPr>
        <w:t>Eksklusionskriterier:</w:t>
      </w:r>
    </w:p>
    <w:p w:rsidR="00885C88" w:rsidRPr="00330459" w:rsidRDefault="00885C88" w:rsidP="0033062B">
      <w:pPr>
        <w:pStyle w:val="Listeafsnit"/>
        <w:numPr>
          <w:ilvl w:val="0"/>
          <w:numId w:val="27"/>
        </w:numPr>
        <w:spacing w:after="200"/>
        <w:rPr>
          <w:szCs w:val="20"/>
        </w:rPr>
      </w:pPr>
      <w:r w:rsidRPr="00330459">
        <w:rPr>
          <w:szCs w:val="20"/>
        </w:rPr>
        <w:t>For at imødegå evt. misklassifikation frasorteres personer, der kun har ét køb af lægemidler mod osteoporose.</w:t>
      </w:r>
    </w:p>
    <w:p w:rsidR="00885C88" w:rsidRPr="00164EE1" w:rsidRDefault="00885C88" w:rsidP="0033062B">
      <w:pPr>
        <w:pStyle w:val="Listeafsnit"/>
        <w:spacing w:after="200"/>
        <w:rPr>
          <w:sz w:val="22"/>
        </w:rPr>
      </w:pPr>
    </w:p>
    <w:p w:rsidR="00885C88" w:rsidRDefault="00885C88" w:rsidP="0033062B">
      <w:pPr>
        <w:rPr>
          <w:sz w:val="22"/>
        </w:rPr>
      </w:pPr>
    </w:p>
    <w:p w:rsidR="00330459" w:rsidRDefault="00330459" w:rsidP="0033062B">
      <w:pPr>
        <w:rPr>
          <w:sz w:val="22"/>
        </w:rPr>
      </w:pPr>
    </w:p>
    <w:p w:rsidR="00330459" w:rsidRDefault="00330459" w:rsidP="0033062B">
      <w:pPr>
        <w:rPr>
          <w:sz w:val="22"/>
        </w:rPr>
      </w:pPr>
    </w:p>
    <w:p w:rsidR="00330459" w:rsidRDefault="00330459" w:rsidP="0033062B">
      <w:pPr>
        <w:rPr>
          <w:sz w:val="22"/>
        </w:rPr>
      </w:pPr>
    </w:p>
    <w:p w:rsidR="00330459" w:rsidRDefault="00330459" w:rsidP="0033062B">
      <w:pPr>
        <w:rPr>
          <w:sz w:val="22"/>
        </w:rPr>
      </w:pPr>
    </w:p>
    <w:p w:rsidR="00330459" w:rsidRDefault="00330459" w:rsidP="0033062B">
      <w:pPr>
        <w:rPr>
          <w:sz w:val="22"/>
        </w:rPr>
      </w:pPr>
    </w:p>
    <w:p w:rsidR="0033062B" w:rsidRDefault="0033062B" w:rsidP="0033062B">
      <w:pPr>
        <w:rPr>
          <w:sz w:val="22"/>
        </w:rPr>
      </w:pPr>
    </w:p>
    <w:p w:rsidR="0033062B" w:rsidRDefault="0033062B" w:rsidP="0033062B">
      <w:pPr>
        <w:rPr>
          <w:sz w:val="22"/>
        </w:rPr>
      </w:pPr>
    </w:p>
    <w:p w:rsidR="0033062B" w:rsidRDefault="0033062B" w:rsidP="0033062B">
      <w:pPr>
        <w:rPr>
          <w:sz w:val="22"/>
        </w:rPr>
      </w:pPr>
    </w:p>
    <w:p w:rsidR="0033062B" w:rsidRDefault="0033062B" w:rsidP="0033062B">
      <w:pPr>
        <w:rPr>
          <w:sz w:val="22"/>
        </w:rPr>
      </w:pPr>
    </w:p>
    <w:p w:rsidR="0033062B" w:rsidRDefault="0033062B" w:rsidP="0033062B">
      <w:pPr>
        <w:rPr>
          <w:sz w:val="22"/>
        </w:rPr>
      </w:pPr>
    </w:p>
    <w:p w:rsidR="0033062B" w:rsidRDefault="0033062B" w:rsidP="0033062B">
      <w:pPr>
        <w:rPr>
          <w:sz w:val="22"/>
        </w:rPr>
      </w:pPr>
    </w:p>
    <w:p w:rsidR="0033062B" w:rsidRDefault="0033062B" w:rsidP="0033062B">
      <w:pPr>
        <w:rPr>
          <w:sz w:val="22"/>
        </w:rPr>
      </w:pPr>
    </w:p>
    <w:p w:rsidR="0033062B" w:rsidRDefault="0033062B" w:rsidP="0033062B">
      <w:pPr>
        <w:rPr>
          <w:sz w:val="22"/>
        </w:rPr>
      </w:pPr>
    </w:p>
    <w:p w:rsidR="00330459" w:rsidRDefault="00330459" w:rsidP="0033062B">
      <w:pPr>
        <w:rPr>
          <w:sz w:val="22"/>
        </w:rPr>
      </w:pPr>
    </w:p>
    <w:p w:rsidR="00330459" w:rsidRDefault="00330459" w:rsidP="0033062B">
      <w:pPr>
        <w:rPr>
          <w:sz w:val="22"/>
        </w:rPr>
      </w:pPr>
    </w:p>
    <w:p w:rsidR="00330459" w:rsidRDefault="00330459" w:rsidP="0033062B">
      <w:pPr>
        <w:rPr>
          <w:sz w:val="22"/>
        </w:rPr>
      </w:pPr>
    </w:p>
    <w:p w:rsidR="00885C88" w:rsidRPr="00330459" w:rsidRDefault="00885C88" w:rsidP="0033062B">
      <w:pPr>
        <w:pStyle w:val="Overskrift2"/>
        <w:rPr>
          <w:sz w:val="20"/>
          <w:szCs w:val="20"/>
        </w:rPr>
      </w:pPr>
      <w:bookmarkStart w:id="42" w:name="_Toc391624677"/>
      <w:r w:rsidRPr="00330459">
        <w:rPr>
          <w:b/>
          <w:sz w:val="20"/>
          <w:szCs w:val="20"/>
        </w:rPr>
        <w:t>Flowdiag</w:t>
      </w:r>
      <w:r w:rsidR="002B44AF">
        <w:rPr>
          <w:b/>
          <w:sz w:val="20"/>
          <w:szCs w:val="20"/>
        </w:rPr>
        <w:t xml:space="preserve">ram for dannelse af osteoporose </w:t>
      </w:r>
      <w:r w:rsidRPr="00330459">
        <w:rPr>
          <w:b/>
          <w:sz w:val="20"/>
          <w:szCs w:val="20"/>
        </w:rPr>
        <w:t>population pr. 1. januar 2013</w:t>
      </w:r>
      <w:bookmarkEnd w:id="42"/>
    </w:p>
    <w:p w:rsidR="00885C88" w:rsidRDefault="00885C88" w:rsidP="0033062B">
      <w:pPr>
        <w:rPr>
          <w:sz w:val="22"/>
        </w:rPr>
      </w:pPr>
    </w:p>
    <w:p w:rsidR="00885C88" w:rsidRDefault="001F35B9" w:rsidP="00885C88">
      <w:pPr>
        <w:spacing w:line="360" w:lineRule="auto"/>
        <w:rPr>
          <w:b/>
          <w:sz w:val="22"/>
        </w:rPr>
      </w:pPr>
      <w:r>
        <w:rPr>
          <w:b/>
          <w:noProof/>
          <w:sz w:val="22"/>
          <w:lang w:eastAsia="da-DK"/>
        </w:rPr>
        <w:drawing>
          <wp:inline distT="0" distB="0" distL="0" distR="0" wp14:anchorId="6E8605DF" wp14:editId="22D44FA5">
            <wp:extent cx="6524625" cy="5600650"/>
            <wp:effectExtent l="0" t="0" r="0" b="635"/>
            <wp:docPr id="220" name="Billed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43117" cy="5616524"/>
                    </a:xfrm>
                    <a:prstGeom prst="rect">
                      <a:avLst/>
                    </a:prstGeom>
                    <a:noFill/>
                  </pic:spPr>
                </pic:pic>
              </a:graphicData>
            </a:graphic>
          </wp:inline>
        </w:drawing>
      </w:r>
    </w:p>
    <w:p w:rsidR="00AE6189" w:rsidRDefault="00AE6189" w:rsidP="00AE6189">
      <w:pPr>
        <w:spacing w:line="240" w:lineRule="auto"/>
        <w:rPr>
          <w:rFonts w:eastAsiaTheme="minorEastAsia" w:hAnsi="Calibri" w:cs="Arial"/>
          <w:color w:val="000000" w:themeColor="text1"/>
          <w:kern w:val="24"/>
          <w:sz w:val="18"/>
          <w:szCs w:val="18"/>
          <w:lang w:eastAsia="da-DK"/>
        </w:rPr>
      </w:pPr>
    </w:p>
    <w:p w:rsidR="00AE6189" w:rsidRDefault="00AE6189" w:rsidP="00AE6189">
      <w:pPr>
        <w:spacing w:line="240" w:lineRule="auto"/>
        <w:rPr>
          <w:rFonts w:eastAsiaTheme="minorEastAsia" w:hAnsi="Calibri" w:cs="Arial"/>
          <w:color w:val="000000" w:themeColor="text1"/>
          <w:kern w:val="24"/>
          <w:sz w:val="18"/>
          <w:szCs w:val="18"/>
          <w:lang w:eastAsia="da-DK"/>
        </w:rPr>
      </w:pPr>
    </w:p>
    <w:p w:rsidR="003B2CF3" w:rsidRDefault="003B2CF3" w:rsidP="00AE6189">
      <w:pPr>
        <w:spacing w:line="240" w:lineRule="auto"/>
        <w:rPr>
          <w:rFonts w:eastAsiaTheme="minorEastAsia" w:hAnsi="Calibri" w:cs="Arial"/>
          <w:color w:val="000000" w:themeColor="text1"/>
          <w:kern w:val="24"/>
          <w:sz w:val="18"/>
          <w:szCs w:val="18"/>
          <w:lang w:eastAsia="da-DK"/>
        </w:rPr>
      </w:pPr>
    </w:p>
    <w:p w:rsidR="00AE6189" w:rsidRPr="00725FCA" w:rsidRDefault="00AE6189" w:rsidP="00AE6189">
      <w:pPr>
        <w:spacing w:line="240" w:lineRule="auto"/>
        <w:rPr>
          <w:rFonts w:ascii="Times New Roman" w:eastAsia="Times New Roman" w:hAnsi="Times New Roman" w:cs="Times New Roman"/>
          <w:sz w:val="24"/>
          <w:szCs w:val="24"/>
          <w:lang w:eastAsia="da-DK"/>
        </w:rPr>
      </w:pPr>
      <w:r>
        <w:rPr>
          <w:rFonts w:eastAsiaTheme="minorEastAsia" w:hAnsi="Calibri" w:cs="Arial"/>
          <w:color w:val="000000" w:themeColor="text1"/>
          <w:kern w:val="24"/>
          <w:sz w:val="18"/>
          <w:szCs w:val="18"/>
          <w:lang w:eastAsia="da-DK"/>
        </w:rPr>
        <w:t>*</w:t>
      </w:r>
      <w:r w:rsidRPr="00725FCA">
        <w:rPr>
          <w:rFonts w:eastAsiaTheme="minorEastAsia" w:hAnsi="Calibri" w:cs="Arial"/>
          <w:color w:val="000000" w:themeColor="text1"/>
          <w:kern w:val="24"/>
          <w:sz w:val="18"/>
          <w:szCs w:val="18"/>
          <w:lang w:eastAsia="da-DK"/>
        </w:rPr>
        <w:t>Personer, der ikke fundet som aktive og bosiddende i Danmark, er fx gr</w:t>
      </w:r>
      <w:r w:rsidRPr="00725FCA">
        <w:rPr>
          <w:rFonts w:eastAsiaTheme="minorEastAsia" w:hAnsi="Calibri" w:cs="Arial"/>
          <w:color w:val="000000" w:themeColor="text1"/>
          <w:kern w:val="24"/>
          <w:sz w:val="18"/>
          <w:szCs w:val="18"/>
          <w:lang w:eastAsia="da-DK"/>
        </w:rPr>
        <w:t>ø</w:t>
      </w:r>
      <w:r w:rsidRPr="00725FCA">
        <w:rPr>
          <w:rFonts w:eastAsiaTheme="minorEastAsia" w:hAnsi="Calibri" w:cs="Arial"/>
          <w:color w:val="000000" w:themeColor="text1"/>
          <w:kern w:val="24"/>
          <w:sz w:val="18"/>
          <w:szCs w:val="18"/>
          <w:lang w:eastAsia="da-DK"/>
        </w:rPr>
        <w:t>nl</w:t>
      </w:r>
      <w:r w:rsidRPr="00725FCA">
        <w:rPr>
          <w:rFonts w:eastAsiaTheme="minorEastAsia" w:hAnsi="Calibri" w:cs="Arial"/>
          <w:color w:val="000000" w:themeColor="text1"/>
          <w:kern w:val="24"/>
          <w:sz w:val="18"/>
          <w:szCs w:val="18"/>
          <w:lang w:eastAsia="da-DK"/>
        </w:rPr>
        <w:t>æ</w:t>
      </w:r>
      <w:r w:rsidRPr="00725FCA">
        <w:rPr>
          <w:rFonts w:eastAsiaTheme="minorEastAsia" w:hAnsi="Calibri" w:cs="Arial"/>
          <w:color w:val="000000" w:themeColor="text1"/>
          <w:kern w:val="24"/>
          <w:sz w:val="18"/>
          <w:szCs w:val="18"/>
          <w:lang w:eastAsia="da-DK"/>
        </w:rPr>
        <w:t>ndere, der har haft kontakter i LPR.</w:t>
      </w:r>
    </w:p>
    <w:p w:rsidR="00AE6189" w:rsidRPr="00725FCA" w:rsidRDefault="00AE6189" w:rsidP="00AE6189">
      <w:pPr>
        <w:spacing w:line="240" w:lineRule="auto"/>
        <w:rPr>
          <w:rFonts w:ascii="Times New Roman" w:eastAsia="Times New Roman" w:hAnsi="Times New Roman" w:cs="Times New Roman"/>
          <w:sz w:val="24"/>
          <w:szCs w:val="24"/>
          <w:lang w:eastAsia="da-DK"/>
        </w:rPr>
      </w:pPr>
      <w:r w:rsidRPr="00725FCA">
        <w:rPr>
          <w:rFonts w:eastAsiaTheme="minorEastAsia" w:hAnsi="Calibri" w:cs="Arial"/>
          <w:color w:val="000000" w:themeColor="text1"/>
          <w:kern w:val="24"/>
          <w:sz w:val="18"/>
          <w:szCs w:val="18"/>
          <w:lang w:eastAsia="da-DK"/>
        </w:rPr>
        <w:t xml:space="preserve">Der er anvendt et </w:t>
      </w:r>
      <w:r w:rsidRPr="00725FCA">
        <w:rPr>
          <w:rFonts w:eastAsiaTheme="minorEastAsia" w:hAnsi="Calibri" w:cs="Arial"/>
          <w:color w:val="000000" w:themeColor="text1"/>
          <w:kern w:val="24"/>
          <w:sz w:val="18"/>
          <w:szCs w:val="18"/>
          <w:lang w:eastAsia="da-DK"/>
        </w:rPr>
        <w:t>ø</w:t>
      </w:r>
      <w:r w:rsidRPr="00725FCA">
        <w:rPr>
          <w:rFonts w:eastAsiaTheme="minorEastAsia" w:hAnsi="Calibri" w:cs="Arial"/>
          <w:color w:val="000000" w:themeColor="text1"/>
          <w:kern w:val="24"/>
          <w:sz w:val="18"/>
          <w:szCs w:val="18"/>
          <w:lang w:eastAsia="da-DK"/>
        </w:rPr>
        <w:t>jebliksbillede fra 15.04.14.</w:t>
      </w:r>
    </w:p>
    <w:p w:rsidR="00AE6189" w:rsidRDefault="00AE6189" w:rsidP="003B535D">
      <w:pPr>
        <w:pStyle w:val="Overskrift2"/>
        <w:rPr>
          <w:b/>
          <w:sz w:val="20"/>
          <w:szCs w:val="20"/>
        </w:rPr>
      </w:pPr>
    </w:p>
    <w:p w:rsidR="00AE6189" w:rsidRDefault="00AE6189" w:rsidP="00AE6189"/>
    <w:p w:rsidR="00AE6189" w:rsidRDefault="00AE6189" w:rsidP="00AE6189"/>
    <w:p w:rsidR="00AE6189" w:rsidRPr="00AE6189" w:rsidRDefault="00AE6189" w:rsidP="00AE6189"/>
    <w:p w:rsidR="00885C88" w:rsidRPr="00330459" w:rsidRDefault="00885C88" w:rsidP="003B535D">
      <w:pPr>
        <w:pStyle w:val="Overskrift2"/>
        <w:rPr>
          <w:b/>
          <w:sz w:val="20"/>
          <w:szCs w:val="20"/>
        </w:rPr>
      </w:pPr>
      <w:bookmarkStart w:id="43" w:name="_Toc391624678"/>
      <w:r w:rsidRPr="00330459">
        <w:rPr>
          <w:b/>
          <w:sz w:val="20"/>
          <w:szCs w:val="20"/>
        </w:rPr>
        <w:t>Beskrivelse af den fundende population</w:t>
      </w:r>
      <w:bookmarkEnd w:id="43"/>
      <w:r w:rsidRPr="00330459">
        <w:rPr>
          <w:b/>
          <w:sz w:val="20"/>
          <w:szCs w:val="20"/>
        </w:rPr>
        <w:t xml:space="preserve"> </w:t>
      </w:r>
    </w:p>
    <w:p w:rsidR="00164EE1" w:rsidRPr="00330459" w:rsidRDefault="00164EE1" w:rsidP="003B535D">
      <w:pPr>
        <w:rPr>
          <w:szCs w:val="20"/>
        </w:rPr>
      </w:pPr>
    </w:p>
    <w:p w:rsidR="00885C88" w:rsidRPr="00330459" w:rsidRDefault="00885C88" w:rsidP="003B535D">
      <w:pPr>
        <w:rPr>
          <w:szCs w:val="20"/>
        </w:rPr>
      </w:pPr>
      <w:r w:rsidRPr="00330459">
        <w:rPr>
          <w:szCs w:val="20"/>
        </w:rPr>
        <w:t xml:space="preserve">Estimatet af osteoporose-patienter, baseret på receptindløsninger i Lægemiddelstatistikregisteret samt registreringer i Landspatientregisteret er, at 128.052 personer lider af osteoporose 1. januar 2013. </w:t>
      </w:r>
    </w:p>
    <w:p w:rsidR="00885C88" w:rsidRPr="00330459" w:rsidRDefault="00885C88" w:rsidP="003B535D">
      <w:pPr>
        <w:rPr>
          <w:szCs w:val="20"/>
        </w:rPr>
      </w:pPr>
    </w:p>
    <w:p w:rsidR="00885C88" w:rsidRPr="00330459" w:rsidRDefault="00885C88" w:rsidP="003B535D">
      <w:pPr>
        <w:rPr>
          <w:szCs w:val="20"/>
        </w:rPr>
      </w:pPr>
      <w:r w:rsidRPr="00330459">
        <w:rPr>
          <w:szCs w:val="20"/>
        </w:rPr>
        <w:t>I osteoporose-populationen til RUKS findes kvinder at udgøre 84,5 procent pr. 1. januar 2013 (i alt 107.387 personer). Medianalderen for indtrædelse i RUKS med osteoporose, blandt personer, der debuterer i 1996 eller senere, er hhv. 68 år (60-75</w:t>
      </w:r>
      <w:r w:rsidRPr="00330459">
        <w:rPr>
          <w:rStyle w:val="Fodnotehenvisning"/>
          <w:szCs w:val="20"/>
        </w:rPr>
        <w:footnoteReference w:id="7"/>
      </w:r>
      <w:r w:rsidRPr="00330459">
        <w:rPr>
          <w:szCs w:val="20"/>
        </w:rPr>
        <w:t>) for kvinder og 67 år (58-75</w:t>
      </w:r>
      <w:r w:rsidRPr="00330459">
        <w:rPr>
          <w:szCs w:val="20"/>
          <w:vertAlign w:val="superscript"/>
        </w:rPr>
        <w:t>a</w:t>
      </w:r>
      <w:r w:rsidRPr="00330459">
        <w:rPr>
          <w:szCs w:val="20"/>
        </w:rPr>
        <w:t xml:space="preserve">) for mænd.  </w:t>
      </w:r>
    </w:p>
    <w:p w:rsidR="00885C88" w:rsidRPr="00330459" w:rsidRDefault="00885C88" w:rsidP="003B535D">
      <w:pPr>
        <w:rPr>
          <w:szCs w:val="20"/>
        </w:rPr>
      </w:pPr>
    </w:p>
    <w:p w:rsidR="00885C88" w:rsidRPr="00330459" w:rsidRDefault="00885C88" w:rsidP="003B535D">
      <w:pPr>
        <w:rPr>
          <w:szCs w:val="20"/>
        </w:rPr>
      </w:pPr>
      <w:r w:rsidRPr="00330459">
        <w:rPr>
          <w:szCs w:val="20"/>
        </w:rPr>
        <w:t xml:space="preserve">Fordelingen af alder ved debut i RUKS fremgår af figur </w:t>
      </w:r>
      <w:r w:rsidR="00647181">
        <w:rPr>
          <w:szCs w:val="20"/>
        </w:rPr>
        <w:t>4.</w:t>
      </w:r>
      <w:r w:rsidRPr="00330459">
        <w:rPr>
          <w:szCs w:val="20"/>
        </w:rPr>
        <w:t>1. Der er knap 1.000 personer, der debuterer i 1995 eller før. Der ses ikke nogen nævneværdig forskel i debutalder blandt personer, der debuterer i RUKS før og efter 1995.  Inden for de seneste 10 år er der kommet mange flere nye lægemidler mod osteoporose på markedet og antallet af personer i medicinsk behandling mod osteoporose er tilsvarende steget meget</w:t>
      </w:r>
      <w:r w:rsidRPr="00330459">
        <w:rPr>
          <w:rStyle w:val="Slutnotehenvisning"/>
          <w:szCs w:val="20"/>
        </w:rPr>
        <w:endnoteReference w:id="17"/>
      </w:r>
      <w:r w:rsidRPr="00330459">
        <w:rPr>
          <w:szCs w:val="20"/>
        </w:rPr>
        <w:t xml:space="preserve">. Osteoporose-populationen i RUKS er blandt andet udvalgt på baggrund af personernes køb af lægemidler mod sygdommen i LSR. Fordi der tidligere var færre lægemidler mod osteoporose på markedet samt færre i behandling hermed, er det også en lille andel af populationen, der debuterer i RUKS i 1995 (dem, der debuterer i 1995, har enten fået konstateret osteoporose i 1995 og er opstartet i behandling samme år, eller også har de fået den konstateret før 1995 fordi Lægemiddelstatistikregisteret kun går tilbage til 1995). </w:t>
      </w:r>
    </w:p>
    <w:p w:rsidR="00885C88" w:rsidRPr="00330459" w:rsidRDefault="00885C88" w:rsidP="003B535D">
      <w:pPr>
        <w:rPr>
          <w:szCs w:val="20"/>
        </w:rPr>
      </w:pPr>
    </w:p>
    <w:p w:rsidR="00885C88" w:rsidRDefault="00885C88" w:rsidP="003B535D">
      <w:pPr>
        <w:rPr>
          <w:szCs w:val="20"/>
        </w:rPr>
      </w:pPr>
      <w:r w:rsidRPr="00330459">
        <w:rPr>
          <w:szCs w:val="20"/>
        </w:rPr>
        <w:t xml:space="preserve">Figur </w:t>
      </w:r>
      <w:r w:rsidR="00A80F2B" w:rsidRPr="00330459">
        <w:rPr>
          <w:szCs w:val="20"/>
        </w:rPr>
        <w:t>4.</w:t>
      </w:r>
      <w:r w:rsidRPr="00330459">
        <w:rPr>
          <w:szCs w:val="20"/>
        </w:rPr>
        <w:t>1. ’Debutalder’ i RUKS for osteoporose-populationen pr. 1. januar 2013, målt som dato for den første kontakt i Landspatientregisteret eller første indløsning af recept på lægemiddel mod osteoporose.</w:t>
      </w:r>
    </w:p>
    <w:p w:rsidR="000B57E6" w:rsidRPr="00330459" w:rsidRDefault="000B57E6" w:rsidP="00885C88">
      <w:pPr>
        <w:spacing w:line="360" w:lineRule="auto"/>
        <w:rPr>
          <w:szCs w:val="20"/>
        </w:rPr>
      </w:pPr>
    </w:p>
    <w:p w:rsidR="00885C88" w:rsidRDefault="00885C88" w:rsidP="00885C88">
      <w:pPr>
        <w:spacing w:line="360" w:lineRule="auto"/>
        <w:jc w:val="center"/>
        <w:rPr>
          <w:b/>
          <w:sz w:val="18"/>
        </w:rPr>
      </w:pPr>
      <w:r>
        <w:rPr>
          <w:b/>
          <w:noProof/>
          <w:sz w:val="18"/>
          <w:lang w:eastAsia="da-DK"/>
        </w:rPr>
        <w:drawing>
          <wp:inline distT="0" distB="0" distL="0" distR="0" wp14:anchorId="265B8350" wp14:editId="7088BBA8">
            <wp:extent cx="6390005" cy="2781300"/>
            <wp:effectExtent l="0" t="0" r="0" b="0"/>
            <wp:docPr id="90" name="Billed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36162" cy="2801390"/>
                    </a:xfrm>
                    <a:prstGeom prst="rect">
                      <a:avLst/>
                    </a:prstGeom>
                    <a:noFill/>
                  </pic:spPr>
                </pic:pic>
              </a:graphicData>
            </a:graphic>
          </wp:inline>
        </w:drawing>
      </w:r>
    </w:p>
    <w:p w:rsidR="00885C88" w:rsidRDefault="00885C88" w:rsidP="003B535D">
      <w:pPr>
        <w:rPr>
          <w:noProof/>
          <w:sz w:val="22"/>
          <w:lang w:eastAsia="da-DK"/>
        </w:rPr>
      </w:pPr>
    </w:p>
    <w:p w:rsidR="00F81E0D" w:rsidRDefault="00F81E0D" w:rsidP="003B535D">
      <w:pPr>
        <w:rPr>
          <w:noProof/>
          <w:sz w:val="22"/>
          <w:lang w:eastAsia="da-DK"/>
        </w:rPr>
      </w:pPr>
    </w:p>
    <w:p w:rsidR="00885C88" w:rsidRPr="00330459" w:rsidRDefault="00885C88" w:rsidP="003B535D">
      <w:pPr>
        <w:pStyle w:val="Overskrift2"/>
        <w:rPr>
          <w:rFonts w:asciiTheme="minorHAnsi" w:hAnsiTheme="minorHAnsi" w:cstheme="minorHAnsi"/>
          <w:b/>
          <w:sz w:val="20"/>
          <w:szCs w:val="20"/>
        </w:rPr>
      </w:pPr>
      <w:bookmarkStart w:id="44" w:name="_Toc391624679"/>
      <w:r w:rsidRPr="00330459">
        <w:rPr>
          <w:rFonts w:asciiTheme="minorHAnsi" w:hAnsiTheme="minorHAnsi" w:cstheme="minorHAnsi"/>
          <w:b/>
          <w:sz w:val="20"/>
          <w:szCs w:val="20"/>
        </w:rPr>
        <w:t>Antal personer med osteoporose år 2007-</w:t>
      </w:r>
      <w:r w:rsidR="00330459">
        <w:rPr>
          <w:rFonts w:asciiTheme="minorHAnsi" w:hAnsiTheme="minorHAnsi" w:cstheme="minorHAnsi"/>
          <w:b/>
          <w:sz w:val="20"/>
          <w:szCs w:val="20"/>
        </w:rPr>
        <w:t xml:space="preserve"> </w:t>
      </w:r>
      <w:r w:rsidRPr="00330459">
        <w:rPr>
          <w:rFonts w:asciiTheme="minorHAnsi" w:hAnsiTheme="minorHAnsi" w:cstheme="minorHAnsi"/>
          <w:b/>
          <w:sz w:val="20"/>
          <w:szCs w:val="20"/>
        </w:rPr>
        <w:t>2013</w:t>
      </w:r>
      <w:bookmarkEnd w:id="44"/>
    </w:p>
    <w:p w:rsidR="00885C88" w:rsidRPr="00330459" w:rsidRDefault="00885C88" w:rsidP="003B535D">
      <w:pPr>
        <w:rPr>
          <w:rFonts w:cstheme="minorHAnsi"/>
          <w:b/>
          <w:szCs w:val="20"/>
        </w:rPr>
      </w:pPr>
    </w:p>
    <w:p w:rsidR="00885C88" w:rsidRDefault="00885C88" w:rsidP="003B535D">
      <w:pPr>
        <w:rPr>
          <w:rFonts w:cstheme="minorHAnsi"/>
          <w:szCs w:val="20"/>
        </w:rPr>
      </w:pPr>
      <w:r w:rsidRPr="00330459">
        <w:rPr>
          <w:rFonts w:cstheme="minorHAnsi"/>
          <w:szCs w:val="20"/>
        </w:rPr>
        <w:t xml:space="preserve">Tabel </w:t>
      </w:r>
      <w:r w:rsidR="00A80F2B" w:rsidRPr="00330459">
        <w:rPr>
          <w:rFonts w:cstheme="minorHAnsi"/>
          <w:szCs w:val="20"/>
        </w:rPr>
        <w:t>4.</w:t>
      </w:r>
      <w:r w:rsidRPr="00330459">
        <w:rPr>
          <w:rFonts w:cstheme="minorHAnsi"/>
          <w:szCs w:val="20"/>
        </w:rPr>
        <w:t>1. Prævalens af personer med osteoporose i RUKS pr. 1. januar det pågældende år.</w:t>
      </w:r>
    </w:p>
    <w:p w:rsidR="000B57E6" w:rsidRPr="00330459" w:rsidRDefault="000B57E6" w:rsidP="003B535D">
      <w:pPr>
        <w:rPr>
          <w:rFonts w:cstheme="minorHAnsi"/>
          <w:b/>
          <w:szCs w:val="20"/>
        </w:rPr>
      </w:pPr>
    </w:p>
    <w:tbl>
      <w:tblPr>
        <w:tblStyle w:val="Tabel-Gitter"/>
        <w:tblW w:w="0" w:type="auto"/>
        <w:jc w:val="center"/>
        <w:tblLook w:val="04A0" w:firstRow="1" w:lastRow="0" w:firstColumn="1" w:lastColumn="0" w:noHBand="0" w:noVBand="1"/>
      </w:tblPr>
      <w:tblGrid>
        <w:gridCol w:w="1223"/>
        <w:gridCol w:w="1222"/>
        <w:gridCol w:w="1222"/>
        <w:gridCol w:w="1223"/>
        <w:gridCol w:w="1223"/>
        <w:gridCol w:w="1223"/>
        <w:gridCol w:w="1223"/>
      </w:tblGrid>
      <w:tr w:rsidR="00885C88" w:rsidRPr="00330459" w:rsidTr="004D29E9">
        <w:trPr>
          <w:jc w:val="center"/>
        </w:trPr>
        <w:tc>
          <w:tcPr>
            <w:tcW w:w="1223" w:type="dxa"/>
          </w:tcPr>
          <w:p w:rsidR="00885C88" w:rsidRPr="00330459" w:rsidRDefault="00885C88" w:rsidP="003B535D">
            <w:pPr>
              <w:spacing w:line="280" w:lineRule="atLeast"/>
              <w:jc w:val="center"/>
              <w:rPr>
                <w:rFonts w:cstheme="minorHAnsi"/>
                <w:b/>
                <w:szCs w:val="20"/>
              </w:rPr>
            </w:pPr>
            <w:r w:rsidRPr="00330459">
              <w:rPr>
                <w:rFonts w:cstheme="minorHAnsi"/>
                <w:b/>
                <w:szCs w:val="20"/>
              </w:rPr>
              <w:t>2007</w:t>
            </w:r>
          </w:p>
        </w:tc>
        <w:tc>
          <w:tcPr>
            <w:tcW w:w="1222" w:type="dxa"/>
          </w:tcPr>
          <w:p w:rsidR="00885C88" w:rsidRPr="00330459" w:rsidRDefault="00885C88" w:rsidP="003B535D">
            <w:pPr>
              <w:spacing w:line="280" w:lineRule="atLeast"/>
              <w:jc w:val="center"/>
              <w:rPr>
                <w:rFonts w:cstheme="minorHAnsi"/>
                <w:b/>
                <w:szCs w:val="20"/>
              </w:rPr>
            </w:pPr>
            <w:r w:rsidRPr="00330459">
              <w:rPr>
                <w:rFonts w:cstheme="minorHAnsi"/>
                <w:b/>
                <w:szCs w:val="20"/>
              </w:rPr>
              <w:t>2008</w:t>
            </w:r>
          </w:p>
        </w:tc>
        <w:tc>
          <w:tcPr>
            <w:tcW w:w="1222" w:type="dxa"/>
          </w:tcPr>
          <w:p w:rsidR="00885C88" w:rsidRPr="00330459" w:rsidRDefault="00885C88" w:rsidP="003B535D">
            <w:pPr>
              <w:spacing w:line="280" w:lineRule="atLeast"/>
              <w:jc w:val="center"/>
              <w:rPr>
                <w:rFonts w:cstheme="minorHAnsi"/>
                <w:b/>
                <w:szCs w:val="20"/>
              </w:rPr>
            </w:pPr>
            <w:r w:rsidRPr="00330459">
              <w:rPr>
                <w:rFonts w:cstheme="minorHAnsi"/>
                <w:b/>
                <w:szCs w:val="20"/>
              </w:rPr>
              <w:t>2009</w:t>
            </w:r>
          </w:p>
        </w:tc>
        <w:tc>
          <w:tcPr>
            <w:tcW w:w="1223" w:type="dxa"/>
          </w:tcPr>
          <w:p w:rsidR="00885C88" w:rsidRPr="00330459" w:rsidRDefault="00885C88" w:rsidP="003B535D">
            <w:pPr>
              <w:spacing w:line="280" w:lineRule="atLeast"/>
              <w:jc w:val="center"/>
              <w:rPr>
                <w:rFonts w:cstheme="minorHAnsi"/>
                <w:b/>
                <w:szCs w:val="20"/>
              </w:rPr>
            </w:pPr>
            <w:r w:rsidRPr="00330459">
              <w:rPr>
                <w:rFonts w:cstheme="minorHAnsi"/>
                <w:b/>
                <w:szCs w:val="20"/>
              </w:rPr>
              <w:t>2010</w:t>
            </w:r>
          </w:p>
        </w:tc>
        <w:tc>
          <w:tcPr>
            <w:tcW w:w="1223" w:type="dxa"/>
          </w:tcPr>
          <w:p w:rsidR="00885C88" w:rsidRPr="00330459" w:rsidRDefault="00885C88" w:rsidP="003B535D">
            <w:pPr>
              <w:spacing w:line="280" w:lineRule="atLeast"/>
              <w:jc w:val="center"/>
              <w:rPr>
                <w:rFonts w:cstheme="minorHAnsi"/>
                <w:b/>
                <w:szCs w:val="20"/>
              </w:rPr>
            </w:pPr>
            <w:r w:rsidRPr="00330459">
              <w:rPr>
                <w:rFonts w:cstheme="minorHAnsi"/>
                <w:b/>
                <w:szCs w:val="20"/>
              </w:rPr>
              <w:t>2011</w:t>
            </w:r>
          </w:p>
        </w:tc>
        <w:tc>
          <w:tcPr>
            <w:tcW w:w="1223" w:type="dxa"/>
          </w:tcPr>
          <w:p w:rsidR="00885C88" w:rsidRPr="00330459" w:rsidRDefault="00885C88" w:rsidP="003B535D">
            <w:pPr>
              <w:spacing w:line="280" w:lineRule="atLeast"/>
              <w:jc w:val="center"/>
              <w:rPr>
                <w:rFonts w:cstheme="minorHAnsi"/>
                <w:b/>
                <w:szCs w:val="20"/>
              </w:rPr>
            </w:pPr>
            <w:r w:rsidRPr="00330459">
              <w:rPr>
                <w:rFonts w:cstheme="minorHAnsi"/>
                <w:b/>
                <w:szCs w:val="20"/>
              </w:rPr>
              <w:t>2012</w:t>
            </w:r>
          </w:p>
        </w:tc>
        <w:tc>
          <w:tcPr>
            <w:tcW w:w="1223" w:type="dxa"/>
          </w:tcPr>
          <w:p w:rsidR="00885C88" w:rsidRPr="00330459" w:rsidRDefault="00885C88" w:rsidP="003B535D">
            <w:pPr>
              <w:spacing w:line="280" w:lineRule="atLeast"/>
              <w:jc w:val="center"/>
              <w:rPr>
                <w:rFonts w:cstheme="minorHAnsi"/>
                <w:b/>
                <w:szCs w:val="20"/>
              </w:rPr>
            </w:pPr>
            <w:r w:rsidRPr="00330459">
              <w:rPr>
                <w:rFonts w:cstheme="minorHAnsi"/>
                <w:b/>
                <w:szCs w:val="20"/>
              </w:rPr>
              <w:t>2013</w:t>
            </w:r>
          </w:p>
        </w:tc>
      </w:tr>
      <w:tr w:rsidR="00885C88" w:rsidRPr="00330459" w:rsidTr="004D29E9">
        <w:trPr>
          <w:jc w:val="center"/>
        </w:trPr>
        <w:tc>
          <w:tcPr>
            <w:tcW w:w="1223" w:type="dxa"/>
            <w:vAlign w:val="bottom"/>
          </w:tcPr>
          <w:p w:rsidR="00885C88" w:rsidRPr="00330459" w:rsidRDefault="00885C88" w:rsidP="003B535D">
            <w:pPr>
              <w:spacing w:line="280" w:lineRule="atLeast"/>
              <w:rPr>
                <w:rFonts w:cstheme="minorHAnsi"/>
                <w:szCs w:val="20"/>
              </w:rPr>
            </w:pPr>
            <w:r w:rsidRPr="00330459">
              <w:rPr>
                <w:rFonts w:cstheme="minorHAnsi"/>
                <w:szCs w:val="20"/>
              </w:rPr>
              <w:t xml:space="preserve">       77.807 </w:t>
            </w:r>
          </w:p>
        </w:tc>
        <w:tc>
          <w:tcPr>
            <w:tcW w:w="1222" w:type="dxa"/>
            <w:vAlign w:val="bottom"/>
          </w:tcPr>
          <w:p w:rsidR="00885C88" w:rsidRPr="00330459" w:rsidRDefault="00885C88" w:rsidP="003B535D">
            <w:pPr>
              <w:spacing w:line="280" w:lineRule="atLeast"/>
              <w:rPr>
                <w:rFonts w:cstheme="minorHAnsi"/>
                <w:szCs w:val="20"/>
              </w:rPr>
            </w:pPr>
            <w:r w:rsidRPr="00330459">
              <w:rPr>
                <w:rFonts w:cstheme="minorHAnsi"/>
                <w:szCs w:val="20"/>
              </w:rPr>
              <w:t xml:space="preserve">       85.589 </w:t>
            </w:r>
          </w:p>
        </w:tc>
        <w:tc>
          <w:tcPr>
            <w:tcW w:w="1222" w:type="dxa"/>
            <w:vAlign w:val="bottom"/>
          </w:tcPr>
          <w:p w:rsidR="00885C88" w:rsidRPr="00330459" w:rsidRDefault="00885C88" w:rsidP="003B535D">
            <w:pPr>
              <w:spacing w:line="280" w:lineRule="atLeast"/>
              <w:rPr>
                <w:rFonts w:cstheme="minorHAnsi"/>
                <w:szCs w:val="20"/>
              </w:rPr>
            </w:pPr>
            <w:r w:rsidRPr="00330459">
              <w:rPr>
                <w:rFonts w:cstheme="minorHAnsi"/>
                <w:szCs w:val="20"/>
              </w:rPr>
              <w:t xml:space="preserve">       93.120 </w:t>
            </w:r>
          </w:p>
        </w:tc>
        <w:tc>
          <w:tcPr>
            <w:tcW w:w="1223" w:type="dxa"/>
            <w:vAlign w:val="bottom"/>
          </w:tcPr>
          <w:p w:rsidR="00885C88" w:rsidRPr="00330459" w:rsidRDefault="00885C88" w:rsidP="003B535D">
            <w:pPr>
              <w:spacing w:line="280" w:lineRule="atLeast"/>
              <w:rPr>
                <w:rFonts w:cstheme="minorHAnsi"/>
                <w:szCs w:val="20"/>
              </w:rPr>
            </w:pPr>
            <w:r w:rsidRPr="00330459">
              <w:rPr>
                <w:rFonts w:cstheme="minorHAnsi"/>
                <w:szCs w:val="20"/>
              </w:rPr>
              <w:t xml:space="preserve">       102.787 </w:t>
            </w:r>
          </w:p>
        </w:tc>
        <w:tc>
          <w:tcPr>
            <w:tcW w:w="1223" w:type="dxa"/>
            <w:vAlign w:val="bottom"/>
          </w:tcPr>
          <w:p w:rsidR="00885C88" w:rsidRPr="00330459" w:rsidRDefault="00885C88" w:rsidP="003B535D">
            <w:pPr>
              <w:spacing w:line="280" w:lineRule="atLeast"/>
              <w:rPr>
                <w:rFonts w:cstheme="minorHAnsi"/>
                <w:szCs w:val="20"/>
              </w:rPr>
            </w:pPr>
            <w:r w:rsidRPr="00330459">
              <w:rPr>
                <w:rFonts w:cstheme="minorHAnsi"/>
                <w:szCs w:val="20"/>
              </w:rPr>
              <w:t xml:space="preserve">       111.323 </w:t>
            </w:r>
          </w:p>
        </w:tc>
        <w:tc>
          <w:tcPr>
            <w:tcW w:w="1223" w:type="dxa"/>
            <w:vAlign w:val="bottom"/>
          </w:tcPr>
          <w:p w:rsidR="00885C88" w:rsidRPr="00330459" w:rsidRDefault="00885C88" w:rsidP="003B535D">
            <w:pPr>
              <w:spacing w:line="280" w:lineRule="atLeast"/>
              <w:rPr>
                <w:rFonts w:cstheme="minorHAnsi"/>
                <w:szCs w:val="20"/>
              </w:rPr>
            </w:pPr>
            <w:r w:rsidRPr="00330459">
              <w:rPr>
                <w:rFonts w:cstheme="minorHAnsi"/>
                <w:szCs w:val="20"/>
              </w:rPr>
              <w:t xml:space="preserve">       120.942 </w:t>
            </w:r>
          </w:p>
        </w:tc>
        <w:tc>
          <w:tcPr>
            <w:tcW w:w="1223" w:type="dxa"/>
            <w:vAlign w:val="bottom"/>
          </w:tcPr>
          <w:p w:rsidR="00885C88" w:rsidRPr="00330459" w:rsidRDefault="00885C88" w:rsidP="003B535D">
            <w:pPr>
              <w:spacing w:line="280" w:lineRule="atLeast"/>
              <w:rPr>
                <w:rFonts w:cstheme="minorHAnsi"/>
                <w:szCs w:val="20"/>
              </w:rPr>
            </w:pPr>
            <w:r w:rsidRPr="00330459">
              <w:rPr>
                <w:rFonts w:cstheme="minorHAnsi"/>
                <w:szCs w:val="20"/>
              </w:rPr>
              <w:t xml:space="preserve">       128.052 </w:t>
            </w:r>
          </w:p>
        </w:tc>
      </w:tr>
    </w:tbl>
    <w:p w:rsidR="00885C88" w:rsidRPr="00330459" w:rsidRDefault="00885C88" w:rsidP="003B535D">
      <w:pPr>
        <w:rPr>
          <w:rFonts w:cstheme="minorHAnsi"/>
          <w:szCs w:val="20"/>
        </w:rPr>
      </w:pPr>
    </w:p>
    <w:p w:rsidR="00885C88" w:rsidRPr="00330459" w:rsidRDefault="00885C88" w:rsidP="003B535D">
      <w:pPr>
        <w:rPr>
          <w:rFonts w:cstheme="minorHAnsi"/>
          <w:szCs w:val="20"/>
        </w:rPr>
      </w:pPr>
      <w:r w:rsidRPr="00330459">
        <w:rPr>
          <w:rFonts w:cstheme="minorHAnsi"/>
          <w:szCs w:val="20"/>
        </w:rPr>
        <w:t>Stigningen i prævalens af osteoporose-patienter skyldes,</w:t>
      </w:r>
      <w:r w:rsidRPr="00330459">
        <w:rPr>
          <w:rFonts w:cstheme="minorHAnsi"/>
          <w:b/>
          <w:szCs w:val="20"/>
        </w:rPr>
        <w:t xml:space="preserve"> </w:t>
      </w:r>
      <w:r w:rsidRPr="00330459">
        <w:rPr>
          <w:rFonts w:cstheme="minorHAnsi"/>
          <w:szCs w:val="20"/>
        </w:rPr>
        <w:t>at der årligt kommer flere nye patienter til (incidens) end der dør (mortalitet). Dvs. osteoporose er typisk en sygdom man lever med, se</w:t>
      </w:r>
      <w:r w:rsidRPr="00330459">
        <w:rPr>
          <w:rFonts w:cstheme="minorHAnsi"/>
          <w:b/>
          <w:szCs w:val="20"/>
        </w:rPr>
        <w:t xml:space="preserve"> </w:t>
      </w:r>
      <w:r w:rsidRPr="00330459">
        <w:rPr>
          <w:rFonts w:cstheme="minorHAnsi"/>
          <w:szCs w:val="20"/>
        </w:rPr>
        <w:t xml:space="preserve">figur </w:t>
      </w:r>
      <w:r w:rsidR="00A80F2B" w:rsidRPr="00330459">
        <w:rPr>
          <w:rFonts w:cstheme="minorHAnsi"/>
          <w:szCs w:val="20"/>
        </w:rPr>
        <w:t>4.</w:t>
      </w:r>
      <w:r w:rsidRPr="00330459">
        <w:rPr>
          <w:rFonts w:cstheme="minorHAnsi"/>
          <w:szCs w:val="20"/>
        </w:rPr>
        <w:t>2.</w:t>
      </w:r>
      <w:r w:rsidRPr="00330459">
        <w:rPr>
          <w:rFonts w:cstheme="minorHAnsi"/>
          <w:b/>
          <w:szCs w:val="20"/>
        </w:rPr>
        <w:t xml:space="preserve"> </w:t>
      </w:r>
      <w:r w:rsidRPr="00330459">
        <w:rPr>
          <w:rFonts w:cstheme="minorHAnsi"/>
          <w:szCs w:val="20"/>
        </w:rPr>
        <w:t xml:space="preserve">Incidensen vil falde jo nærmere opgørelsen vil være på opdateringstidspunktet, da personer først bliver klassificerede som osteoporose-patienter, når der er indsamlet en vis mængde information om dem. Klassificeringen foregår derefter bagudrettet. </w:t>
      </w:r>
    </w:p>
    <w:p w:rsidR="00885C88" w:rsidRPr="00330459" w:rsidRDefault="00885C88" w:rsidP="003B535D">
      <w:pPr>
        <w:rPr>
          <w:rFonts w:cstheme="minorHAnsi"/>
          <w:b/>
          <w:szCs w:val="20"/>
        </w:rPr>
      </w:pPr>
    </w:p>
    <w:p w:rsidR="00885C88" w:rsidRPr="00330459" w:rsidRDefault="00885C88" w:rsidP="003B535D">
      <w:pPr>
        <w:rPr>
          <w:rFonts w:cstheme="minorHAnsi"/>
          <w:szCs w:val="20"/>
        </w:rPr>
      </w:pPr>
      <w:r w:rsidRPr="00330459">
        <w:rPr>
          <w:rFonts w:cstheme="minorHAnsi"/>
          <w:szCs w:val="20"/>
        </w:rPr>
        <w:t xml:space="preserve">Figur </w:t>
      </w:r>
      <w:r w:rsidR="00A80F2B" w:rsidRPr="00330459">
        <w:rPr>
          <w:rFonts w:cstheme="minorHAnsi"/>
          <w:szCs w:val="20"/>
        </w:rPr>
        <w:t>4.</w:t>
      </w:r>
      <w:r w:rsidRPr="00330459">
        <w:rPr>
          <w:rFonts w:cstheme="minorHAnsi"/>
          <w:szCs w:val="20"/>
        </w:rPr>
        <w:t>2. Prævalens, incidens og mortalitet af osteoporose-population i RUKS.</w:t>
      </w:r>
    </w:p>
    <w:p w:rsidR="00885C88" w:rsidRPr="00544716" w:rsidRDefault="00885C88" w:rsidP="00885C88">
      <w:pPr>
        <w:spacing w:line="360" w:lineRule="auto"/>
        <w:rPr>
          <w:b/>
          <w:sz w:val="22"/>
        </w:rPr>
      </w:pPr>
    </w:p>
    <w:p w:rsidR="00885C88" w:rsidRDefault="00885C88" w:rsidP="00885C88">
      <w:pPr>
        <w:spacing w:line="360" w:lineRule="auto"/>
        <w:jc w:val="center"/>
        <w:rPr>
          <w:sz w:val="22"/>
        </w:rPr>
      </w:pPr>
      <w:r>
        <w:rPr>
          <w:noProof/>
          <w:sz w:val="22"/>
          <w:lang w:eastAsia="da-DK"/>
        </w:rPr>
        <w:drawing>
          <wp:inline distT="0" distB="0" distL="0" distR="0" wp14:anchorId="0D4ACB70" wp14:editId="11C92E44">
            <wp:extent cx="5276850" cy="2702038"/>
            <wp:effectExtent l="0" t="0" r="0" b="3175"/>
            <wp:docPr id="91" name="Billed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19388" cy="2723820"/>
                    </a:xfrm>
                    <a:prstGeom prst="rect">
                      <a:avLst/>
                    </a:prstGeom>
                    <a:noFill/>
                  </pic:spPr>
                </pic:pic>
              </a:graphicData>
            </a:graphic>
          </wp:inline>
        </w:drawing>
      </w:r>
    </w:p>
    <w:p w:rsidR="00885C88" w:rsidRDefault="00885C88" w:rsidP="00885C88">
      <w:pPr>
        <w:spacing w:line="360" w:lineRule="auto"/>
        <w:rPr>
          <w:b/>
          <w:sz w:val="22"/>
        </w:rPr>
      </w:pPr>
    </w:p>
    <w:p w:rsidR="00885C88" w:rsidRPr="00330459" w:rsidRDefault="00885C88" w:rsidP="003B535D">
      <w:pPr>
        <w:pStyle w:val="Overskrift2"/>
        <w:rPr>
          <w:b/>
          <w:sz w:val="20"/>
          <w:szCs w:val="20"/>
        </w:rPr>
      </w:pPr>
      <w:bookmarkStart w:id="45" w:name="_Toc391624680"/>
      <w:r w:rsidRPr="00330459">
        <w:rPr>
          <w:b/>
          <w:sz w:val="20"/>
          <w:szCs w:val="20"/>
        </w:rPr>
        <w:t>Andre kilders oplysninger</w:t>
      </w:r>
      <w:bookmarkEnd w:id="45"/>
      <w:r w:rsidRPr="00330459">
        <w:rPr>
          <w:b/>
          <w:sz w:val="20"/>
          <w:szCs w:val="20"/>
        </w:rPr>
        <w:t xml:space="preserve"> </w:t>
      </w:r>
    </w:p>
    <w:p w:rsidR="00164EE1" w:rsidRPr="00330459" w:rsidRDefault="00164EE1" w:rsidP="003B535D">
      <w:pPr>
        <w:rPr>
          <w:szCs w:val="20"/>
        </w:rPr>
      </w:pPr>
    </w:p>
    <w:p w:rsidR="00885C88" w:rsidRPr="00330459" w:rsidRDefault="00885C88" w:rsidP="003B535D">
      <w:pPr>
        <w:rPr>
          <w:szCs w:val="20"/>
        </w:rPr>
      </w:pPr>
      <w:r w:rsidRPr="00330459">
        <w:rPr>
          <w:szCs w:val="20"/>
        </w:rPr>
        <w:t>Ifølge Den Nationale Sundhedsprofil 2013 lider 3,4 procent svarende til 155.000 personer, af den danske befolkning over 16 år af osteoporose</w:t>
      </w:r>
      <w:r w:rsidRPr="00330459">
        <w:rPr>
          <w:szCs w:val="20"/>
          <w:vertAlign w:val="superscript"/>
        </w:rPr>
        <w:fldChar w:fldCharType="begin"/>
      </w:r>
      <w:r w:rsidRPr="00330459">
        <w:rPr>
          <w:szCs w:val="20"/>
          <w:vertAlign w:val="superscript"/>
        </w:rPr>
        <w:instrText xml:space="preserve"> NOTEREF _Ref390888737 \h  \* MERGEFORMAT </w:instrText>
      </w:r>
      <w:r w:rsidRPr="00330459">
        <w:rPr>
          <w:szCs w:val="20"/>
          <w:vertAlign w:val="superscript"/>
        </w:rPr>
      </w:r>
      <w:r w:rsidRPr="00330459">
        <w:rPr>
          <w:szCs w:val="20"/>
          <w:vertAlign w:val="superscript"/>
        </w:rPr>
        <w:fldChar w:fldCharType="separate"/>
      </w:r>
      <w:r w:rsidR="00581054">
        <w:rPr>
          <w:szCs w:val="20"/>
          <w:vertAlign w:val="superscript"/>
        </w:rPr>
        <w:t>4</w:t>
      </w:r>
      <w:r w:rsidRPr="00330459">
        <w:rPr>
          <w:szCs w:val="20"/>
          <w:vertAlign w:val="superscript"/>
        </w:rPr>
        <w:fldChar w:fldCharType="end"/>
      </w:r>
      <w:r w:rsidRPr="00330459">
        <w:rPr>
          <w:szCs w:val="20"/>
        </w:rPr>
        <w:t>. I Den Nationale Sundhedsprofil 2013 er der markant flere kvinder, der lider af osteoporose i forhold til mænd. 5,6 procent af kvinderne og 1,1 procent af mændene i den voksne befolkning. Forekomsten stiger markant med stigende alder for begge køn. For aldersgrupperne over 54 år er forekomsten høj blandt kvinder</w:t>
      </w:r>
      <w:r w:rsidRPr="00330459">
        <w:rPr>
          <w:szCs w:val="20"/>
          <w:vertAlign w:val="superscript"/>
        </w:rPr>
        <w:fldChar w:fldCharType="begin"/>
      </w:r>
      <w:r w:rsidRPr="00330459">
        <w:rPr>
          <w:szCs w:val="20"/>
          <w:vertAlign w:val="superscript"/>
        </w:rPr>
        <w:instrText xml:space="preserve"> NOTEREF _Ref390888737 \h  \* MERGEFORMAT </w:instrText>
      </w:r>
      <w:r w:rsidRPr="00330459">
        <w:rPr>
          <w:szCs w:val="20"/>
          <w:vertAlign w:val="superscript"/>
        </w:rPr>
      </w:r>
      <w:r w:rsidRPr="00330459">
        <w:rPr>
          <w:szCs w:val="20"/>
          <w:vertAlign w:val="superscript"/>
        </w:rPr>
        <w:fldChar w:fldCharType="separate"/>
      </w:r>
      <w:r w:rsidR="00581054">
        <w:rPr>
          <w:szCs w:val="20"/>
          <w:vertAlign w:val="superscript"/>
        </w:rPr>
        <w:t>4</w:t>
      </w:r>
      <w:r w:rsidRPr="00330459">
        <w:rPr>
          <w:szCs w:val="20"/>
          <w:vertAlign w:val="superscript"/>
        </w:rPr>
        <w:fldChar w:fldCharType="end"/>
      </w:r>
      <w:r w:rsidRPr="00330459">
        <w:rPr>
          <w:szCs w:val="20"/>
        </w:rPr>
        <w:t xml:space="preserve">. </w:t>
      </w:r>
    </w:p>
    <w:p w:rsidR="00885C88" w:rsidRPr="00330459" w:rsidRDefault="00885C88" w:rsidP="003B535D">
      <w:pPr>
        <w:rPr>
          <w:szCs w:val="20"/>
        </w:rPr>
      </w:pPr>
    </w:p>
    <w:p w:rsidR="00885C88" w:rsidRPr="00330459" w:rsidRDefault="00885C88" w:rsidP="003B535D">
      <w:pPr>
        <w:rPr>
          <w:szCs w:val="20"/>
        </w:rPr>
      </w:pPr>
      <w:r w:rsidRPr="00330459">
        <w:rPr>
          <w:szCs w:val="20"/>
        </w:rPr>
        <w:t>Osteoporoseforeningen anslår, at der i Danmark er over 550.000 personer, der lider af osteoporose. De fleste anslås at lide af sygdommen uden at være klar over at det</w:t>
      </w:r>
      <w:r w:rsidRPr="00330459">
        <w:rPr>
          <w:rStyle w:val="Slutnotehenvisning"/>
          <w:szCs w:val="20"/>
        </w:rPr>
        <w:endnoteReference w:id="18"/>
      </w:r>
      <w:r w:rsidRPr="00330459">
        <w:rPr>
          <w:szCs w:val="20"/>
        </w:rPr>
        <w:t>. Det skyldes, at de fleste ikke har nogle symptomer på porøse knogler før et brud herpå opstår. Foreningen anslår, at hver 3. kvinde og hver 8. mand over 50 år med tiden vil udv</w:t>
      </w:r>
      <w:r w:rsidR="00183F1B">
        <w:rPr>
          <w:szCs w:val="20"/>
        </w:rPr>
        <w:t>ikle sygdommen</w:t>
      </w:r>
      <w:r w:rsidRPr="00330459">
        <w:rPr>
          <w:rStyle w:val="Slutnotehenvisning"/>
          <w:szCs w:val="20"/>
        </w:rPr>
        <w:endnoteReference w:id="19"/>
      </w:r>
      <w:r w:rsidRPr="00330459">
        <w:rPr>
          <w:szCs w:val="20"/>
        </w:rPr>
        <w:t>. Foreningen baserer deres tal på Forebyggelseskommissionens rapport fra 2009 ”Vi kan leve længere og sundere”</w:t>
      </w:r>
      <w:r w:rsidRPr="00330459">
        <w:rPr>
          <w:rStyle w:val="Slutnotehenvisning"/>
          <w:szCs w:val="20"/>
        </w:rPr>
        <w:endnoteReference w:id="20"/>
      </w:r>
      <w:r w:rsidRPr="00330459">
        <w:rPr>
          <w:szCs w:val="20"/>
        </w:rPr>
        <w:t>, der igen baserer deres skøn på WHO’s antagelser</w:t>
      </w:r>
      <w:r w:rsidRPr="00330459">
        <w:rPr>
          <w:rStyle w:val="Fodnotehenvisning"/>
          <w:szCs w:val="20"/>
        </w:rPr>
        <w:footnoteReference w:id="8"/>
      </w:r>
      <w:r w:rsidRPr="00330459">
        <w:rPr>
          <w:szCs w:val="20"/>
          <w:vertAlign w:val="superscript"/>
        </w:rPr>
        <w:t>,</w:t>
      </w:r>
      <w:r w:rsidRPr="00330459">
        <w:rPr>
          <w:rStyle w:val="Slutnotehenvisning"/>
          <w:szCs w:val="20"/>
        </w:rPr>
        <w:endnoteReference w:id="21"/>
      </w:r>
    </w:p>
    <w:p w:rsidR="00885C88" w:rsidRPr="00330459" w:rsidRDefault="00885C88" w:rsidP="003B535D">
      <w:pPr>
        <w:rPr>
          <w:b/>
          <w:szCs w:val="20"/>
        </w:rPr>
      </w:pPr>
    </w:p>
    <w:p w:rsidR="00885C88" w:rsidRPr="00330459" w:rsidRDefault="00885C88" w:rsidP="003B535D">
      <w:pPr>
        <w:pStyle w:val="Overskrift2"/>
        <w:rPr>
          <w:b/>
          <w:sz w:val="20"/>
          <w:szCs w:val="20"/>
        </w:rPr>
      </w:pPr>
      <w:bookmarkStart w:id="46" w:name="_Toc391624681"/>
      <w:r w:rsidRPr="00330459">
        <w:rPr>
          <w:b/>
          <w:sz w:val="20"/>
          <w:szCs w:val="20"/>
        </w:rPr>
        <w:t>Forbehold ved udvælgelsen</w:t>
      </w:r>
      <w:bookmarkEnd w:id="46"/>
    </w:p>
    <w:p w:rsidR="00164EE1" w:rsidRPr="00330459" w:rsidRDefault="00164EE1" w:rsidP="003B535D">
      <w:pPr>
        <w:rPr>
          <w:szCs w:val="20"/>
        </w:rPr>
      </w:pPr>
    </w:p>
    <w:p w:rsidR="00885C88" w:rsidRPr="00330459" w:rsidRDefault="001B0C29" w:rsidP="003B535D">
      <w:pPr>
        <w:rPr>
          <w:szCs w:val="20"/>
        </w:rPr>
      </w:pPr>
      <w:r w:rsidRPr="00330459">
        <w:rPr>
          <w:szCs w:val="20"/>
        </w:rPr>
        <w:t>Lægemidlet d</w:t>
      </w:r>
      <w:r w:rsidR="00885C88" w:rsidRPr="00330459">
        <w:rPr>
          <w:szCs w:val="20"/>
        </w:rPr>
        <w:t xml:space="preserve">enosumab (M05BX04) kan også gives til forebyggelse af knoglerelaterede hændelser som følge af knoglemetastaser fra solide tumorer. Der er derfor en risiko for at en andel af brugerne, der er inkluderet som kroniske osteoporose-patienter i virkeligheden behandles for følger af knoglemetastaser. </w:t>
      </w:r>
      <w:r w:rsidRPr="00330459">
        <w:rPr>
          <w:szCs w:val="20"/>
        </w:rPr>
        <w:t xml:space="preserve">Det kan overvejes om </w:t>
      </w:r>
      <w:r w:rsidR="00D264A2" w:rsidRPr="00330459">
        <w:rPr>
          <w:szCs w:val="20"/>
        </w:rPr>
        <w:t>d</w:t>
      </w:r>
      <w:r w:rsidRPr="00330459">
        <w:rPr>
          <w:szCs w:val="20"/>
        </w:rPr>
        <w:t>enosumab ikke skal indgå som inklusionkriterie.</w:t>
      </w:r>
    </w:p>
    <w:p w:rsidR="00885C88" w:rsidRPr="00330459" w:rsidRDefault="00885C88" w:rsidP="003B535D">
      <w:pPr>
        <w:rPr>
          <w:szCs w:val="20"/>
        </w:rPr>
      </w:pPr>
    </w:p>
    <w:p w:rsidR="00885C88" w:rsidRPr="00330459" w:rsidRDefault="00885C88" w:rsidP="003B535D">
      <w:pPr>
        <w:rPr>
          <w:szCs w:val="20"/>
        </w:rPr>
      </w:pPr>
      <w:r w:rsidRPr="00330459">
        <w:rPr>
          <w:szCs w:val="20"/>
        </w:rPr>
        <w:t xml:space="preserve">Nogle af lægemidlerne til behandling af osteoporose skal gives med lange intervaller. Eksempelvis kan </w:t>
      </w:r>
      <w:r w:rsidR="00D264A2" w:rsidRPr="00330459">
        <w:rPr>
          <w:szCs w:val="20"/>
        </w:rPr>
        <w:t>denosumab</w:t>
      </w:r>
      <w:r w:rsidRPr="00330459">
        <w:rPr>
          <w:szCs w:val="20"/>
        </w:rPr>
        <w:t xml:space="preserve"> (M05BX04) gives som subkutan injektion enten hver 4. uge eller hver 6. måned afhængigt af doseringen. Det betyder, at der går noget tid før osteoporose-patienter har været i behandling med lægemidlet to gange og indgår i RUKS. </w:t>
      </w:r>
    </w:p>
    <w:p w:rsidR="00885C88" w:rsidRPr="00330459" w:rsidRDefault="00885C88" w:rsidP="003B535D">
      <w:pPr>
        <w:rPr>
          <w:szCs w:val="20"/>
        </w:rPr>
      </w:pPr>
    </w:p>
    <w:p w:rsidR="00885C88" w:rsidRDefault="00885C88" w:rsidP="003B535D">
      <w:pPr>
        <w:pStyle w:val="Overskrift2"/>
        <w:rPr>
          <w:b/>
          <w:sz w:val="20"/>
          <w:szCs w:val="20"/>
        </w:rPr>
      </w:pPr>
      <w:bookmarkStart w:id="47" w:name="_Toc391624682"/>
      <w:r w:rsidRPr="00330459">
        <w:rPr>
          <w:b/>
          <w:sz w:val="20"/>
          <w:szCs w:val="20"/>
        </w:rPr>
        <w:t>Fremtidig udbygning</w:t>
      </w:r>
      <w:bookmarkEnd w:id="47"/>
    </w:p>
    <w:p w:rsidR="000B57E6" w:rsidRPr="000B57E6" w:rsidRDefault="000B57E6" w:rsidP="003B535D"/>
    <w:p w:rsidR="00885C88" w:rsidRDefault="00885C88" w:rsidP="003B535D">
      <w:pPr>
        <w:rPr>
          <w:szCs w:val="20"/>
        </w:rPr>
      </w:pPr>
      <w:r w:rsidRPr="00330459">
        <w:rPr>
          <w:szCs w:val="20"/>
        </w:rPr>
        <w:t xml:space="preserve">Udvælgelsen af osteoporose-populationen kan formentlig forbedres prospektivt ved at lade osteoporose indgå som en af de kroniske sygdomme, der skal monitoreres af de praktiserende læger, via datafangstmodulet DAK-E. </w:t>
      </w:r>
    </w:p>
    <w:p w:rsidR="00330459" w:rsidRDefault="00330459" w:rsidP="003B535D">
      <w:pPr>
        <w:rPr>
          <w:szCs w:val="20"/>
        </w:rPr>
      </w:pPr>
    </w:p>
    <w:p w:rsidR="00330459" w:rsidRDefault="00330459" w:rsidP="00885C88">
      <w:pPr>
        <w:spacing w:line="360" w:lineRule="auto"/>
        <w:rPr>
          <w:szCs w:val="20"/>
        </w:rPr>
      </w:pPr>
    </w:p>
    <w:p w:rsidR="003B535D" w:rsidRDefault="003B535D" w:rsidP="00885C88">
      <w:pPr>
        <w:spacing w:line="360" w:lineRule="auto"/>
        <w:rPr>
          <w:szCs w:val="20"/>
        </w:rPr>
      </w:pPr>
    </w:p>
    <w:p w:rsidR="003B535D" w:rsidRDefault="003B535D" w:rsidP="00885C88">
      <w:pPr>
        <w:spacing w:line="360" w:lineRule="auto"/>
        <w:rPr>
          <w:szCs w:val="20"/>
        </w:rPr>
      </w:pPr>
    </w:p>
    <w:p w:rsidR="003B535D" w:rsidRDefault="003B535D" w:rsidP="00885C88">
      <w:pPr>
        <w:spacing w:line="360" w:lineRule="auto"/>
        <w:rPr>
          <w:szCs w:val="20"/>
        </w:rPr>
      </w:pPr>
    </w:p>
    <w:p w:rsidR="003B535D" w:rsidRDefault="003B535D" w:rsidP="00885C88">
      <w:pPr>
        <w:spacing w:line="360" w:lineRule="auto"/>
        <w:rPr>
          <w:szCs w:val="20"/>
        </w:rPr>
      </w:pPr>
    </w:p>
    <w:p w:rsidR="003B535D" w:rsidRDefault="003B535D" w:rsidP="00885C88">
      <w:pPr>
        <w:spacing w:line="360" w:lineRule="auto"/>
        <w:rPr>
          <w:szCs w:val="20"/>
        </w:rPr>
      </w:pPr>
    </w:p>
    <w:p w:rsidR="003B535D" w:rsidRDefault="003B535D" w:rsidP="00885C88">
      <w:pPr>
        <w:spacing w:line="360" w:lineRule="auto"/>
        <w:rPr>
          <w:szCs w:val="20"/>
        </w:rPr>
      </w:pPr>
    </w:p>
    <w:p w:rsidR="003B535D" w:rsidRDefault="003B535D" w:rsidP="00885C88">
      <w:pPr>
        <w:spacing w:line="360" w:lineRule="auto"/>
        <w:rPr>
          <w:szCs w:val="20"/>
        </w:rPr>
      </w:pPr>
    </w:p>
    <w:p w:rsidR="003B535D" w:rsidRDefault="003B535D" w:rsidP="00885C88">
      <w:pPr>
        <w:spacing w:line="360" w:lineRule="auto"/>
        <w:rPr>
          <w:szCs w:val="20"/>
        </w:rPr>
      </w:pPr>
    </w:p>
    <w:p w:rsidR="003B535D" w:rsidRDefault="003B535D" w:rsidP="00885C88">
      <w:pPr>
        <w:spacing w:line="360" w:lineRule="auto"/>
        <w:rPr>
          <w:szCs w:val="20"/>
        </w:rPr>
      </w:pPr>
    </w:p>
    <w:p w:rsidR="00CA0563" w:rsidRDefault="00164EE1" w:rsidP="008C473E">
      <w:pPr>
        <w:pStyle w:val="Overskrift1"/>
      </w:pPr>
      <w:bookmarkStart w:id="48" w:name="_Toc391624683"/>
      <w:r>
        <w:t xml:space="preserve">5. </w:t>
      </w:r>
      <w:r w:rsidR="00CA0563">
        <w:t>Leddegigt</w:t>
      </w:r>
      <w:bookmarkEnd w:id="48"/>
    </w:p>
    <w:p w:rsidR="00CA0563" w:rsidRDefault="00CA0563" w:rsidP="00CA0563">
      <w:pPr>
        <w:rPr>
          <w:sz w:val="24"/>
          <w:szCs w:val="24"/>
        </w:rPr>
      </w:pPr>
    </w:p>
    <w:p w:rsidR="00CA0563" w:rsidRPr="00606D0C" w:rsidRDefault="00CA0563" w:rsidP="008C473E">
      <w:pPr>
        <w:pStyle w:val="Overskrift2"/>
        <w:rPr>
          <w:b/>
          <w:sz w:val="20"/>
          <w:szCs w:val="20"/>
        </w:rPr>
      </w:pPr>
      <w:bookmarkStart w:id="49" w:name="_Toc391624684"/>
      <w:r w:rsidRPr="00606D0C">
        <w:rPr>
          <w:b/>
          <w:sz w:val="20"/>
          <w:szCs w:val="20"/>
        </w:rPr>
        <w:t>Årsag til udvælgelse</w:t>
      </w:r>
      <w:bookmarkEnd w:id="49"/>
    </w:p>
    <w:p w:rsidR="00CA0563" w:rsidRPr="00606D0C" w:rsidRDefault="00CA0563" w:rsidP="00CA0563">
      <w:pPr>
        <w:rPr>
          <w:szCs w:val="20"/>
        </w:rPr>
      </w:pPr>
      <w:r w:rsidRPr="00606D0C">
        <w:rPr>
          <w:szCs w:val="20"/>
        </w:rPr>
        <w:t>Leddegigt er valgt i Sundhedsstyrelsens tidligere kronikermonitorering.</w:t>
      </w:r>
    </w:p>
    <w:p w:rsidR="00CA0563" w:rsidRPr="00606D0C" w:rsidRDefault="00CA0563" w:rsidP="00CA0563">
      <w:pPr>
        <w:rPr>
          <w:szCs w:val="20"/>
        </w:rPr>
      </w:pPr>
    </w:p>
    <w:p w:rsidR="00CA0563" w:rsidRPr="00606D0C" w:rsidRDefault="00CA0563" w:rsidP="008C473E">
      <w:pPr>
        <w:pStyle w:val="Overskrift2"/>
        <w:rPr>
          <w:b/>
          <w:sz w:val="20"/>
          <w:szCs w:val="20"/>
        </w:rPr>
      </w:pPr>
      <w:bookmarkStart w:id="50" w:name="_Toc391624685"/>
      <w:r w:rsidRPr="00606D0C">
        <w:rPr>
          <w:b/>
          <w:sz w:val="20"/>
          <w:szCs w:val="20"/>
        </w:rPr>
        <w:t>Rationale for udvælgelsesmetode og registre</w:t>
      </w:r>
      <w:bookmarkEnd w:id="50"/>
    </w:p>
    <w:p w:rsidR="00CA0563" w:rsidRPr="00606D0C" w:rsidRDefault="00CA0563" w:rsidP="00CA0563">
      <w:pPr>
        <w:rPr>
          <w:szCs w:val="20"/>
        </w:rPr>
      </w:pPr>
      <w:r w:rsidRPr="00606D0C">
        <w:rPr>
          <w:szCs w:val="20"/>
        </w:rPr>
        <w:t xml:space="preserve">Lægemidler, der anvendes til leddegigt, anvendes også til andre sygdomme. Leddegigtpatienter kan derfor ikke identificeres vha. specifikke lægemidler eller styrker af disse. Sygdomsspecifikke indikationstekster, svarende til den etikettetekst som apotekerne sætter på lægemiddelpakninger, er derfor anvendt til udvælgelse af population af leddegigtpatienter fra Lægemiddelstatistik-registeret (LSR). Indikationskoder indgår først i LSR fra 2005. I Landspatientregisteret (LPR) er leddegigt patienter identificeret ved specifikke ICD-10 koder for leddegigt. Der er udtrukket både aktions- og bidiagnoser, men ikke </w:t>
      </w:r>
      <w:r w:rsidR="000147A5" w:rsidRPr="00606D0C">
        <w:rPr>
          <w:szCs w:val="20"/>
        </w:rPr>
        <w:t>fx</w:t>
      </w:r>
      <w:r w:rsidRPr="00606D0C">
        <w:rPr>
          <w:szCs w:val="20"/>
        </w:rPr>
        <w:t xml:space="preserve"> henvisningsdiagnoser.</w:t>
      </w:r>
    </w:p>
    <w:p w:rsidR="00CA0563" w:rsidRPr="00606D0C" w:rsidRDefault="00CA0563" w:rsidP="00CA0563">
      <w:pPr>
        <w:rPr>
          <w:szCs w:val="20"/>
        </w:rPr>
      </w:pPr>
    </w:p>
    <w:p w:rsidR="00CA0563" w:rsidRPr="00606D0C" w:rsidRDefault="00CA0563" w:rsidP="008C473E">
      <w:pPr>
        <w:pStyle w:val="Overskrift2"/>
        <w:rPr>
          <w:b/>
          <w:sz w:val="20"/>
          <w:szCs w:val="20"/>
        </w:rPr>
      </w:pPr>
      <w:bookmarkStart w:id="51" w:name="_Toc391624686"/>
      <w:r w:rsidRPr="00606D0C">
        <w:rPr>
          <w:b/>
          <w:sz w:val="20"/>
          <w:szCs w:val="20"/>
        </w:rPr>
        <w:t>Inklusion og eksklusionskoder fra registre</w:t>
      </w:r>
      <w:bookmarkEnd w:id="51"/>
    </w:p>
    <w:p w:rsidR="00606D0C" w:rsidRDefault="00CA0563" w:rsidP="00CA0563">
      <w:pPr>
        <w:rPr>
          <w:szCs w:val="20"/>
        </w:rPr>
      </w:pPr>
      <w:r w:rsidRPr="00606D0C">
        <w:rPr>
          <w:szCs w:val="20"/>
        </w:rPr>
        <w:t xml:space="preserve">Inklusion: </w:t>
      </w:r>
    </w:p>
    <w:p w:rsidR="00183F1B" w:rsidRPr="00606D0C" w:rsidRDefault="00183F1B" w:rsidP="00CA0563">
      <w:pPr>
        <w:rPr>
          <w:szCs w:val="20"/>
        </w:rPr>
      </w:pPr>
    </w:p>
    <w:p w:rsidR="00CA0563" w:rsidRPr="00606D0C" w:rsidRDefault="00CA0563" w:rsidP="00CA0563">
      <w:pPr>
        <w:pStyle w:val="Listeafsnit"/>
        <w:numPr>
          <w:ilvl w:val="0"/>
          <w:numId w:val="9"/>
        </w:numPr>
        <w:rPr>
          <w:szCs w:val="20"/>
        </w:rPr>
      </w:pPr>
      <w:r w:rsidRPr="00606D0C">
        <w:rPr>
          <w:szCs w:val="20"/>
        </w:rPr>
        <w:t xml:space="preserve">Personer med min. ét køb af medicin med specifik indikationskode i Lægemiddelstatistikregisteret </w:t>
      </w:r>
    </w:p>
    <w:p w:rsidR="00CA0563" w:rsidRPr="00606D0C" w:rsidRDefault="00CA0563" w:rsidP="000147A5">
      <w:pPr>
        <w:pStyle w:val="Listeafsnit"/>
        <w:numPr>
          <w:ilvl w:val="0"/>
          <w:numId w:val="9"/>
        </w:numPr>
        <w:rPr>
          <w:b/>
          <w:szCs w:val="20"/>
        </w:rPr>
      </w:pPr>
      <w:r w:rsidRPr="00606D0C">
        <w:rPr>
          <w:szCs w:val="20"/>
        </w:rPr>
        <w:t>eller personer med min. én kontakt i Landspatientregisteret med relevant aktions- eller bidiagnose</w:t>
      </w:r>
    </w:p>
    <w:p w:rsidR="00606D0C" w:rsidRPr="00606D0C" w:rsidRDefault="00606D0C" w:rsidP="00606D0C">
      <w:pPr>
        <w:pStyle w:val="Listeafsnit"/>
        <w:rPr>
          <w:b/>
          <w:szCs w:val="20"/>
        </w:rPr>
      </w:pPr>
    </w:p>
    <w:tbl>
      <w:tblPr>
        <w:tblStyle w:val="Tabel-Gitter"/>
        <w:tblW w:w="0" w:type="auto"/>
        <w:tblLook w:val="04A0" w:firstRow="1" w:lastRow="0" w:firstColumn="1" w:lastColumn="0" w:noHBand="0" w:noVBand="1"/>
      </w:tblPr>
      <w:tblGrid>
        <w:gridCol w:w="3936"/>
        <w:gridCol w:w="4252"/>
      </w:tblGrid>
      <w:tr w:rsidR="00CA0563" w:rsidRPr="00606D0C" w:rsidTr="004D29E9">
        <w:tc>
          <w:tcPr>
            <w:tcW w:w="3936" w:type="dxa"/>
          </w:tcPr>
          <w:p w:rsidR="00CA0563" w:rsidRPr="00606D0C" w:rsidRDefault="00CA0563" w:rsidP="004D29E9">
            <w:pPr>
              <w:rPr>
                <w:b/>
                <w:szCs w:val="20"/>
              </w:rPr>
            </w:pPr>
            <w:r w:rsidRPr="00606D0C">
              <w:rPr>
                <w:b/>
                <w:szCs w:val="20"/>
              </w:rPr>
              <w:t>LPR</w:t>
            </w:r>
          </w:p>
        </w:tc>
        <w:tc>
          <w:tcPr>
            <w:tcW w:w="4252" w:type="dxa"/>
          </w:tcPr>
          <w:p w:rsidR="00CA0563" w:rsidRPr="00606D0C" w:rsidRDefault="00CA0563" w:rsidP="004D29E9">
            <w:pPr>
              <w:rPr>
                <w:b/>
                <w:szCs w:val="20"/>
              </w:rPr>
            </w:pPr>
            <w:r w:rsidRPr="00606D0C">
              <w:rPr>
                <w:b/>
                <w:szCs w:val="20"/>
              </w:rPr>
              <w:t>LSR</w:t>
            </w:r>
          </w:p>
        </w:tc>
      </w:tr>
      <w:tr w:rsidR="00CA0563" w:rsidRPr="00606D0C" w:rsidTr="004D29E9">
        <w:tc>
          <w:tcPr>
            <w:tcW w:w="3936" w:type="dxa"/>
          </w:tcPr>
          <w:p w:rsidR="00CA0563" w:rsidRPr="00606D0C" w:rsidRDefault="00CA0563" w:rsidP="004D29E9">
            <w:pPr>
              <w:rPr>
                <w:szCs w:val="20"/>
              </w:rPr>
            </w:pPr>
            <w:r w:rsidRPr="00606D0C">
              <w:rPr>
                <w:szCs w:val="20"/>
              </w:rPr>
              <w:t>ICD-10 koder:</w:t>
            </w:r>
          </w:p>
          <w:p w:rsidR="00CA0563" w:rsidRPr="00606D0C" w:rsidRDefault="00CA0563" w:rsidP="004D29E9">
            <w:pPr>
              <w:rPr>
                <w:szCs w:val="20"/>
              </w:rPr>
            </w:pPr>
          </w:p>
          <w:p w:rsidR="00CA0563" w:rsidRPr="00606D0C" w:rsidRDefault="00CA0563" w:rsidP="004D29E9">
            <w:pPr>
              <w:rPr>
                <w:szCs w:val="20"/>
              </w:rPr>
            </w:pPr>
            <w:r w:rsidRPr="00606D0C">
              <w:rPr>
                <w:szCs w:val="20"/>
              </w:rPr>
              <w:t xml:space="preserve">M05 (seropositiv leddegigt) og   </w:t>
            </w:r>
          </w:p>
          <w:p w:rsidR="00CA0563" w:rsidRPr="00606D0C" w:rsidRDefault="00CA0563" w:rsidP="004D29E9">
            <w:pPr>
              <w:rPr>
                <w:szCs w:val="20"/>
              </w:rPr>
            </w:pPr>
            <w:r w:rsidRPr="00606D0C">
              <w:rPr>
                <w:szCs w:val="20"/>
              </w:rPr>
              <w:t xml:space="preserve">         underkoder</w:t>
            </w:r>
          </w:p>
          <w:p w:rsidR="00CA0563" w:rsidRPr="00606D0C" w:rsidRDefault="00CA0563" w:rsidP="004D29E9">
            <w:pPr>
              <w:rPr>
                <w:szCs w:val="20"/>
              </w:rPr>
            </w:pPr>
            <w:r w:rsidRPr="00606D0C">
              <w:rPr>
                <w:szCs w:val="20"/>
              </w:rPr>
              <w:t xml:space="preserve">M06 (andre former for leddegigt) og </w:t>
            </w:r>
          </w:p>
          <w:p w:rsidR="00CA0563" w:rsidRPr="00606D0C" w:rsidRDefault="00CA0563" w:rsidP="004D29E9">
            <w:pPr>
              <w:rPr>
                <w:szCs w:val="20"/>
              </w:rPr>
            </w:pPr>
            <w:r w:rsidRPr="00606D0C">
              <w:rPr>
                <w:szCs w:val="20"/>
              </w:rPr>
              <w:t xml:space="preserve">         underkoder</w:t>
            </w:r>
          </w:p>
          <w:p w:rsidR="00CA0563" w:rsidRPr="00606D0C" w:rsidRDefault="00CA0563" w:rsidP="004D29E9">
            <w:pPr>
              <w:rPr>
                <w:b/>
                <w:szCs w:val="20"/>
              </w:rPr>
            </w:pPr>
          </w:p>
        </w:tc>
        <w:tc>
          <w:tcPr>
            <w:tcW w:w="4252" w:type="dxa"/>
          </w:tcPr>
          <w:p w:rsidR="00CA0563" w:rsidRPr="00606D0C" w:rsidRDefault="00CA0563" w:rsidP="004D29E9">
            <w:pPr>
              <w:rPr>
                <w:szCs w:val="20"/>
              </w:rPr>
            </w:pPr>
            <w:r w:rsidRPr="00606D0C">
              <w:rPr>
                <w:szCs w:val="20"/>
              </w:rPr>
              <w:t>Indikationskoder:</w:t>
            </w:r>
          </w:p>
          <w:p w:rsidR="00CA0563" w:rsidRPr="00606D0C" w:rsidRDefault="00CA0563" w:rsidP="004D29E9">
            <w:pPr>
              <w:rPr>
                <w:szCs w:val="20"/>
              </w:rPr>
            </w:pPr>
          </w:p>
          <w:p w:rsidR="00CA0563" w:rsidRPr="00606D0C" w:rsidRDefault="00CA0563" w:rsidP="004D29E9">
            <w:pPr>
              <w:rPr>
                <w:szCs w:val="20"/>
              </w:rPr>
            </w:pPr>
            <w:r w:rsidRPr="00606D0C">
              <w:rPr>
                <w:szCs w:val="20"/>
              </w:rPr>
              <w:t>147 ’mod leddegigt’</w:t>
            </w:r>
          </w:p>
          <w:p w:rsidR="00CA0563" w:rsidRPr="00606D0C" w:rsidRDefault="00CA0563" w:rsidP="004D29E9">
            <w:pPr>
              <w:rPr>
                <w:szCs w:val="20"/>
              </w:rPr>
            </w:pPr>
            <w:r w:rsidRPr="00606D0C">
              <w:rPr>
                <w:szCs w:val="20"/>
              </w:rPr>
              <w:t>402 ’reumatoid artrit’</w:t>
            </w:r>
          </w:p>
          <w:p w:rsidR="00CA0563" w:rsidRPr="00606D0C" w:rsidRDefault="00CA0563" w:rsidP="004D29E9">
            <w:pPr>
              <w:rPr>
                <w:b/>
                <w:szCs w:val="20"/>
              </w:rPr>
            </w:pPr>
            <w:r w:rsidRPr="00606D0C">
              <w:rPr>
                <w:szCs w:val="20"/>
              </w:rPr>
              <w:t>641 ’mod reumatoid artrit’</w:t>
            </w:r>
          </w:p>
        </w:tc>
      </w:tr>
    </w:tbl>
    <w:p w:rsidR="00CA0563" w:rsidRPr="00606D0C" w:rsidRDefault="00CA0563" w:rsidP="00CA0563">
      <w:pPr>
        <w:rPr>
          <w:b/>
          <w:szCs w:val="20"/>
        </w:rPr>
      </w:pPr>
    </w:p>
    <w:p w:rsidR="00CA0563" w:rsidRDefault="00CA0563" w:rsidP="00CA0563">
      <w:pPr>
        <w:rPr>
          <w:szCs w:val="20"/>
        </w:rPr>
      </w:pPr>
      <w:r w:rsidRPr="00606D0C">
        <w:rPr>
          <w:szCs w:val="20"/>
        </w:rPr>
        <w:t xml:space="preserve">Eksklusion: For at imødegå evt. fejlregistrering og misklassifikation i LPR frasorteres personer, der </w:t>
      </w:r>
      <w:r w:rsidRPr="00606D0C">
        <w:rPr>
          <w:szCs w:val="20"/>
          <w:u w:val="single"/>
        </w:rPr>
        <w:t>udelukkende</w:t>
      </w:r>
      <w:r w:rsidRPr="00606D0C">
        <w:rPr>
          <w:szCs w:val="20"/>
        </w:rPr>
        <w:t xml:space="preserve"> optræder i LPR og ikke har købt lægemidler, der kan anvendes til leddegigt: </w:t>
      </w:r>
    </w:p>
    <w:p w:rsidR="00606D0C" w:rsidRPr="00606D0C" w:rsidRDefault="00606D0C" w:rsidP="00CA0563">
      <w:pPr>
        <w:rPr>
          <w:szCs w:val="20"/>
        </w:rPr>
      </w:pPr>
    </w:p>
    <w:p w:rsidR="00CA0563" w:rsidRPr="00606D0C" w:rsidRDefault="00CA0563" w:rsidP="00CA0563">
      <w:pPr>
        <w:pStyle w:val="Listeafsnit"/>
        <w:numPr>
          <w:ilvl w:val="1"/>
          <w:numId w:val="10"/>
        </w:numPr>
        <w:rPr>
          <w:szCs w:val="20"/>
        </w:rPr>
      </w:pPr>
      <w:r w:rsidRPr="00606D0C">
        <w:rPr>
          <w:szCs w:val="20"/>
        </w:rPr>
        <w:t>Antinflammatoriske og antirhemautiske midler fraset NSAIDs. NSAIDs er frasorteret idet NSAIDs vurderes for uspecifik som indikator for leddegigt (M01 fraset M01A)</w:t>
      </w:r>
    </w:p>
    <w:p w:rsidR="00CA0563" w:rsidRPr="00606D0C" w:rsidRDefault="00CA0563" w:rsidP="00CA0563">
      <w:pPr>
        <w:pStyle w:val="Listeafsnit"/>
        <w:numPr>
          <w:ilvl w:val="1"/>
          <w:numId w:val="10"/>
        </w:numPr>
        <w:rPr>
          <w:szCs w:val="20"/>
          <w:lang w:val="en-US"/>
        </w:rPr>
      </w:pPr>
      <w:r w:rsidRPr="00606D0C">
        <w:rPr>
          <w:szCs w:val="20"/>
          <w:lang w:val="en-US"/>
        </w:rPr>
        <w:t>Immunosupressiva ( L04A)</w:t>
      </w:r>
    </w:p>
    <w:p w:rsidR="00CA0563" w:rsidRPr="00606D0C" w:rsidRDefault="00CA0563" w:rsidP="00CA0563">
      <w:pPr>
        <w:pStyle w:val="Listeafsnit"/>
        <w:numPr>
          <w:ilvl w:val="1"/>
          <w:numId w:val="10"/>
        </w:numPr>
        <w:rPr>
          <w:szCs w:val="20"/>
          <w:lang w:val="en-US"/>
        </w:rPr>
      </w:pPr>
      <w:r w:rsidRPr="00606D0C">
        <w:rPr>
          <w:szCs w:val="20"/>
          <w:lang w:val="en-US"/>
        </w:rPr>
        <w:t>Aminochinoliner (P01BA)</w:t>
      </w:r>
    </w:p>
    <w:p w:rsidR="00CA0563" w:rsidRPr="00606D0C" w:rsidRDefault="00CA0563" w:rsidP="00CA0563">
      <w:pPr>
        <w:pStyle w:val="Listeafsnit"/>
        <w:numPr>
          <w:ilvl w:val="1"/>
          <w:numId w:val="10"/>
        </w:numPr>
        <w:rPr>
          <w:szCs w:val="20"/>
          <w:lang w:val="en-US"/>
        </w:rPr>
      </w:pPr>
      <w:r w:rsidRPr="00606D0C">
        <w:rPr>
          <w:szCs w:val="20"/>
          <w:lang w:val="en-US"/>
        </w:rPr>
        <w:t>Sulfasalazin (A07EC01)</w:t>
      </w:r>
    </w:p>
    <w:p w:rsidR="00CA0563" w:rsidRPr="00606D0C" w:rsidRDefault="00CA0563" w:rsidP="00CA0563">
      <w:pPr>
        <w:pStyle w:val="Listeafsnit"/>
        <w:numPr>
          <w:ilvl w:val="1"/>
          <w:numId w:val="10"/>
        </w:numPr>
        <w:rPr>
          <w:szCs w:val="20"/>
        </w:rPr>
      </w:pPr>
      <w:r w:rsidRPr="00606D0C">
        <w:rPr>
          <w:szCs w:val="20"/>
        </w:rPr>
        <w:t>Methotrexat, parenteralt (L01BA01)</w:t>
      </w:r>
    </w:p>
    <w:p w:rsidR="00F02E5E" w:rsidRDefault="00CA0563" w:rsidP="00F02E5E">
      <w:pPr>
        <w:pStyle w:val="Listeafsnit"/>
        <w:numPr>
          <w:ilvl w:val="1"/>
          <w:numId w:val="10"/>
        </w:numPr>
        <w:rPr>
          <w:szCs w:val="20"/>
        </w:rPr>
      </w:pPr>
      <w:r w:rsidRPr="00606D0C">
        <w:rPr>
          <w:szCs w:val="20"/>
        </w:rPr>
        <w:t>Prednisolon og prednison (H02AB06, H02AB07)</w:t>
      </w:r>
    </w:p>
    <w:p w:rsidR="00362924" w:rsidRPr="00F02E5E" w:rsidRDefault="00362924" w:rsidP="00362924">
      <w:pPr>
        <w:pStyle w:val="Listeafsnit"/>
        <w:ind w:left="1440"/>
        <w:rPr>
          <w:szCs w:val="20"/>
        </w:rPr>
      </w:pPr>
    </w:p>
    <w:p w:rsidR="00CA0563" w:rsidRPr="00C46A08" w:rsidRDefault="00CA0563" w:rsidP="00CA0563">
      <w:pPr>
        <w:rPr>
          <w:sz w:val="22"/>
        </w:rPr>
      </w:pPr>
      <w:r w:rsidRPr="00606D0C">
        <w:rPr>
          <w:szCs w:val="20"/>
        </w:rPr>
        <w:t>Ligeledes eksluderes personer, der kun optræder i LSR og ikke har fået min. 3 specifikke indikationskoder for leddegigt.</w:t>
      </w:r>
    </w:p>
    <w:p w:rsidR="00CA0563" w:rsidRDefault="00CA0563" w:rsidP="008C473E">
      <w:pPr>
        <w:pStyle w:val="Overskrift2"/>
        <w:rPr>
          <w:b/>
          <w:sz w:val="22"/>
        </w:rPr>
      </w:pPr>
      <w:bookmarkStart w:id="52" w:name="_Toc391624687"/>
      <w:r>
        <w:rPr>
          <w:b/>
          <w:sz w:val="22"/>
        </w:rPr>
        <w:t xml:space="preserve">Flowdiagram for dannelse af </w:t>
      </w:r>
      <w:r w:rsidR="002B44AF">
        <w:rPr>
          <w:b/>
          <w:sz w:val="22"/>
        </w:rPr>
        <w:t xml:space="preserve">leddegigt </w:t>
      </w:r>
      <w:r>
        <w:rPr>
          <w:b/>
          <w:sz w:val="22"/>
        </w:rPr>
        <w:t>population pr. 1. januar 2013</w:t>
      </w:r>
      <w:bookmarkEnd w:id="52"/>
    </w:p>
    <w:p w:rsidR="0098756B" w:rsidRPr="0098756B" w:rsidRDefault="0098756B" w:rsidP="0098756B"/>
    <w:p w:rsidR="00CA0563" w:rsidRDefault="00CA0563" w:rsidP="00CA0563">
      <w:pPr>
        <w:tabs>
          <w:tab w:val="left" w:pos="7380"/>
        </w:tabs>
        <w:rPr>
          <w:b/>
          <w:sz w:val="22"/>
        </w:rPr>
      </w:pPr>
    </w:p>
    <w:p w:rsidR="00CA0563" w:rsidRDefault="0001339F" w:rsidP="00CA0563">
      <w:pPr>
        <w:tabs>
          <w:tab w:val="left" w:pos="7380"/>
        </w:tabs>
        <w:rPr>
          <w:b/>
          <w:sz w:val="22"/>
        </w:rPr>
      </w:pPr>
      <w:r>
        <w:rPr>
          <w:b/>
          <w:noProof/>
          <w:sz w:val="22"/>
          <w:lang w:eastAsia="da-DK"/>
        </w:rPr>
        <w:drawing>
          <wp:inline distT="0" distB="0" distL="0" distR="0" wp14:anchorId="3E2C3A09">
            <wp:extent cx="6524625" cy="5990854"/>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35633" cy="6000961"/>
                    </a:xfrm>
                    <a:prstGeom prst="rect">
                      <a:avLst/>
                    </a:prstGeom>
                    <a:noFill/>
                  </pic:spPr>
                </pic:pic>
              </a:graphicData>
            </a:graphic>
          </wp:inline>
        </w:drawing>
      </w:r>
    </w:p>
    <w:p w:rsidR="00CA0563" w:rsidRDefault="00CA0563" w:rsidP="00CA0563">
      <w:pPr>
        <w:tabs>
          <w:tab w:val="left" w:pos="7380"/>
        </w:tabs>
        <w:rPr>
          <w:b/>
          <w:sz w:val="22"/>
        </w:rPr>
      </w:pPr>
    </w:p>
    <w:p w:rsidR="00CA0563" w:rsidRDefault="008A5CE8" w:rsidP="00CA0563">
      <w:pPr>
        <w:rPr>
          <w:b/>
          <w:sz w:val="22"/>
        </w:rPr>
      </w:pPr>
      <w:r w:rsidRPr="008A5CE8">
        <w:rPr>
          <w:b/>
          <w:noProof/>
          <w:sz w:val="22"/>
          <w:lang w:eastAsia="da-DK"/>
        </w:rPr>
        <mc:AlternateContent>
          <mc:Choice Requires="wps">
            <w:drawing>
              <wp:anchor distT="0" distB="0" distL="114300" distR="114300" simplePos="0" relativeHeight="251780096" behindDoc="0" locked="0" layoutInCell="1" allowOverlap="1" wp14:anchorId="21BAFB4D" wp14:editId="1D477E0F">
                <wp:simplePos x="0" y="0"/>
                <wp:positionH relativeFrom="margin">
                  <wp:align>left</wp:align>
                </wp:positionH>
                <wp:positionV relativeFrom="paragraph">
                  <wp:posOffset>179705</wp:posOffset>
                </wp:positionV>
                <wp:extent cx="5438775" cy="830580"/>
                <wp:effectExtent l="0" t="0" r="0" b="0"/>
                <wp:wrapNone/>
                <wp:docPr id="26" name="Tekstboks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5849" w:rsidRDefault="00E95849" w:rsidP="008A5CE8">
                            <w:pPr>
                              <w:pStyle w:val="NormalWeb"/>
                              <w:kinsoku w:val="0"/>
                              <w:overflowPunct w:val="0"/>
                              <w:spacing w:before="0" w:beforeAutospacing="0" w:after="0" w:afterAutospacing="0"/>
                              <w:textAlignment w:val="baseline"/>
                            </w:pPr>
                            <w:r>
                              <w:rPr>
                                <w:rFonts w:asciiTheme="minorHAnsi" w:eastAsia="Times New Roman" w:hAnsi="Arial" w:cs="Arial"/>
                                <w:color w:val="000000"/>
                                <w:kern w:val="24"/>
                                <w:sz w:val="16"/>
                                <w:szCs w:val="16"/>
                              </w:rPr>
                              <w:t xml:space="preserve">* Lægemidler, der anvendes til leddegigt: </w:t>
                            </w:r>
                          </w:p>
                          <w:p w:rsidR="00E95849" w:rsidRPr="008A5CE8" w:rsidRDefault="00E95849" w:rsidP="008A5CE8">
                            <w:pPr>
                              <w:pStyle w:val="NormalWeb"/>
                              <w:kinsoku w:val="0"/>
                              <w:overflowPunct w:val="0"/>
                              <w:spacing w:before="0" w:beforeAutospacing="0" w:after="0" w:afterAutospacing="0"/>
                              <w:textAlignment w:val="baseline"/>
                              <w:rPr>
                                <w:lang w:val="en-US"/>
                              </w:rPr>
                            </w:pPr>
                            <w:r w:rsidRPr="00E844FB">
                              <w:rPr>
                                <w:rFonts w:asciiTheme="minorHAnsi" w:eastAsia="Times New Roman" w:hAnsi="Arial" w:cs="Arial"/>
                                <w:color w:val="000000"/>
                                <w:kern w:val="24"/>
                                <w:sz w:val="16"/>
                                <w:szCs w:val="16"/>
                              </w:rPr>
                              <w:t xml:space="preserve">   </w:t>
                            </w:r>
                            <w:r>
                              <w:rPr>
                                <w:rFonts w:asciiTheme="minorHAnsi" w:eastAsia="Times New Roman" w:hAnsi="Arial" w:cs="Arial"/>
                                <w:color w:val="000000"/>
                                <w:kern w:val="24"/>
                                <w:sz w:val="16"/>
                                <w:szCs w:val="16"/>
                                <w:lang w:val="en-US"/>
                              </w:rPr>
                              <w:t>M01 (fraset M01A), L04A, P01BA, A07EC01, L01BA01, H02AB06 og H02AB07</w:t>
                            </w:r>
                          </w:p>
                          <w:p w:rsidR="00E95849" w:rsidRDefault="00E95849" w:rsidP="008A5CE8">
                            <w:pPr>
                              <w:pStyle w:val="NormalWeb"/>
                              <w:spacing w:before="0" w:beforeAutospacing="0" w:after="0" w:afterAutospacing="0"/>
                              <w:rPr>
                                <w:rFonts w:asciiTheme="minorHAnsi" w:hAnsi="Arial" w:cs="Arial"/>
                                <w:color w:val="000000" w:themeColor="text1"/>
                                <w:kern w:val="24"/>
                                <w:sz w:val="16"/>
                                <w:szCs w:val="16"/>
                              </w:rPr>
                            </w:pPr>
                            <w:r>
                              <w:rPr>
                                <w:rFonts w:asciiTheme="minorHAnsi" w:eastAsia="Times New Roman" w:hAnsi="Arial" w:cs="Arial"/>
                                <w:color w:val="000000"/>
                                <w:kern w:val="24"/>
                                <w:sz w:val="16"/>
                                <w:szCs w:val="16"/>
                              </w:rPr>
                              <w:t xml:space="preserve">** </w:t>
                            </w:r>
                            <w:r>
                              <w:rPr>
                                <w:rFonts w:asciiTheme="minorHAnsi" w:hAnsi="Arial" w:cs="Arial"/>
                                <w:color w:val="000000" w:themeColor="text1"/>
                                <w:kern w:val="24"/>
                                <w:sz w:val="16"/>
                                <w:szCs w:val="16"/>
                              </w:rPr>
                              <w:t xml:space="preserve">Personer, der ikke fundet som aktive og bosiddende i Danmark, er fx grønlændere, der har haft kontakter i   LPR. </w:t>
                            </w:r>
                          </w:p>
                          <w:p w:rsidR="00E95849" w:rsidRPr="008A5CE8" w:rsidRDefault="00E95849" w:rsidP="008A5CE8">
                            <w:pPr>
                              <w:pStyle w:val="NormalWeb"/>
                              <w:spacing w:before="0" w:beforeAutospacing="0" w:after="0" w:afterAutospacing="0"/>
                              <w:rPr>
                                <w:rFonts w:asciiTheme="minorHAnsi" w:hAnsi="Arial" w:cs="Arial"/>
                                <w:color w:val="000000" w:themeColor="text1"/>
                                <w:kern w:val="24"/>
                                <w:sz w:val="16"/>
                                <w:szCs w:val="16"/>
                              </w:rPr>
                            </w:pPr>
                            <w:r>
                              <w:rPr>
                                <w:rFonts w:asciiTheme="minorHAnsi" w:hAnsi="Arial" w:cs="Arial"/>
                                <w:color w:val="000000" w:themeColor="text1"/>
                                <w:kern w:val="24"/>
                                <w:sz w:val="16"/>
                                <w:szCs w:val="16"/>
                              </w:rPr>
                              <w:t xml:space="preserve">    Der er anvendt et øjebliksbillede fra 15.04.14.</w:t>
                            </w:r>
                          </w:p>
                        </w:txbxContent>
                      </wps:txbx>
                      <wps:bodyPr vert="horz" wrap="square" lIns="91440" tIns="45720" rIns="91440" bIns="45720" numCol="1" anchor="t" anchorCtr="0" compatLnSpc="1">
                        <a:prstTxWarp prst="textNoShape">
                          <a:avLst/>
                        </a:prstTxWarp>
                        <a:spAutoFit/>
                      </wps:bodyPr>
                    </wps:wsp>
                  </a:graphicData>
                </a:graphic>
                <wp14:sizeRelH relativeFrom="margin">
                  <wp14:pctWidth>0</wp14:pctWidth>
                </wp14:sizeRelH>
              </wp:anchor>
            </w:drawing>
          </mc:Choice>
          <mc:Fallback>
            <w:pict>
              <v:shape w14:anchorId="21BAFB4D" id="Tekstboks 32" o:spid="_x0000_s1028" type="#_x0000_t202" style="position:absolute;margin-left:0;margin-top:14.15pt;width:428.25pt;height:65.4pt;z-index:2517800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" filled="f" stroked="f">
                <v:textbox style="mso-fit-shape-to-text:t">
                  <w:txbxContent>
                    <w:p w:rsidR="00E95849" w:rsidRDefault="00E95849" w:rsidP="008A5CE8">
                      <w:pPr>
                        <w:pStyle w:val="NormalWeb"/>
                        <w:kinsoku w:val="0"/>
                        <w:overflowPunct w:val="0"/>
                        <w:spacing w:before="0" w:beforeAutospacing="0" w:after="0" w:afterAutospacing="0"/>
                        <w:textAlignment w:val="baseline"/>
                      </w:pPr>
                      <w:r>
                        <w:rPr>
                          <w:rFonts w:asciiTheme="minorHAnsi" w:eastAsia="Times New Roman" w:hAnsi="Arial" w:cs="Arial"/>
                          <w:color w:val="000000"/>
                          <w:kern w:val="24"/>
                          <w:sz w:val="16"/>
                          <w:szCs w:val="16"/>
                        </w:rPr>
                        <w:t xml:space="preserve">* Lægemidler, der anvendes til leddegigt: </w:t>
                      </w:r>
                    </w:p>
                    <w:p w:rsidR="00E95849" w:rsidRPr="008A5CE8" w:rsidRDefault="00E95849" w:rsidP="008A5CE8">
                      <w:pPr>
                        <w:pStyle w:val="NormalWeb"/>
                        <w:kinsoku w:val="0"/>
                        <w:overflowPunct w:val="0"/>
                        <w:spacing w:before="0" w:beforeAutospacing="0" w:after="0" w:afterAutospacing="0"/>
                        <w:textAlignment w:val="baseline"/>
                        <w:rPr>
                          <w:lang w:val="en-US"/>
                        </w:rPr>
                      </w:pPr>
                      <w:r w:rsidRPr="00E844FB">
                        <w:rPr>
                          <w:rFonts w:asciiTheme="minorHAnsi" w:eastAsia="Times New Roman" w:hAnsi="Arial" w:cs="Arial"/>
                          <w:color w:val="000000"/>
                          <w:kern w:val="24"/>
                          <w:sz w:val="16"/>
                          <w:szCs w:val="16"/>
                        </w:rPr>
                        <w:t xml:space="preserve">   </w:t>
                      </w:r>
                      <w:r>
                        <w:rPr>
                          <w:rFonts w:asciiTheme="minorHAnsi" w:eastAsia="Times New Roman" w:hAnsi="Arial" w:cs="Arial"/>
                          <w:color w:val="000000"/>
                          <w:kern w:val="24"/>
                          <w:sz w:val="16"/>
                          <w:szCs w:val="16"/>
                          <w:lang w:val="en-US"/>
                        </w:rPr>
                        <w:t>M01 (</w:t>
                      </w:r>
                      <w:proofErr w:type="spellStart"/>
                      <w:r>
                        <w:rPr>
                          <w:rFonts w:asciiTheme="minorHAnsi" w:eastAsia="Times New Roman" w:hAnsi="Arial" w:cs="Arial"/>
                          <w:color w:val="000000"/>
                          <w:kern w:val="24"/>
                          <w:sz w:val="16"/>
                          <w:szCs w:val="16"/>
                          <w:lang w:val="en-US"/>
                        </w:rPr>
                        <w:t>fraset</w:t>
                      </w:r>
                      <w:proofErr w:type="spellEnd"/>
                      <w:r>
                        <w:rPr>
                          <w:rFonts w:asciiTheme="minorHAnsi" w:eastAsia="Times New Roman" w:hAnsi="Arial" w:cs="Arial"/>
                          <w:color w:val="000000"/>
                          <w:kern w:val="24"/>
                          <w:sz w:val="16"/>
                          <w:szCs w:val="16"/>
                          <w:lang w:val="en-US"/>
                        </w:rPr>
                        <w:t xml:space="preserve"> M01A), L04A, P01BA, A07EC01, L01BA01, H02AB06 </w:t>
                      </w:r>
                      <w:proofErr w:type="spellStart"/>
                      <w:proofErr w:type="gramStart"/>
                      <w:r>
                        <w:rPr>
                          <w:rFonts w:asciiTheme="minorHAnsi" w:eastAsia="Times New Roman" w:hAnsi="Arial" w:cs="Arial"/>
                          <w:color w:val="000000"/>
                          <w:kern w:val="24"/>
                          <w:sz w:val="16"/>
                          <w:szCs w:val="16"/>
                          <w:lang w:val="en-US"/>
                        </w:rPr>
                        <w:t>og</w:t>
                      </w:r>
                      <w:proofErr w:type="spellEnd"/>
                      <w:proofErr w:type="gramEnd"/>
                      <w:r>
                        <w:rPr>
                          <w:rFonts w:asciiTheme="minorHAnsi" w:eastAsia="Times New Roman" w:hAnsi="Arial" w:cs="Arial"/>
                          <w:color w:val="000000"/>
                          <w:kern w:val="24"/>
                          <w:sz w:val="16"/>
                          <w:szCs w:val="16"/>
                          <w:lang w:val="en-US"/>
                        </w:rPr>
                        <w:t xml:space="preserve"> H02AB07</w:t>
                      </w:r>
                    </w:p>
                    <w:p w:rsidR="00E95849" w:rsidRDefault="00E95849" w:rsidP="008A5CE8">
                      <w:pPr>
                        <w:pStyle w:val="NormalWeb"/>
                        <w:spacing w:before="0" w:beforeAutospacing="0" w:after="0" w:afterAutospacing="0"/>
                        <w:rPr>
                          <w:rFonts w:asciiTheme="minorHAnsi" w:hAnsi="Arial" w:cs="Arial"/>
                          <w:color w:val="000000" w:themeColor="text1"/>
                          <w:kern w:val="24"/>
                          <w:sz w:val="16"/>
                          <w:szCs w:val="16"/>
                        </w:rPr>
                      </w:pPr>
                      <w:r>
                        <w:rPr>
                          <w:rFonts w:asciiTheme="minorHAnsi" w:eastAsia="Times New Roman" w:hAnsi="Arial" w:cs="Arial"/>
                          <w:color w:val="000000"/>
                          <w:kern w:val="24"/>
                          <w:sz w:val="16"/>
                          <w:szCs w:val="16"/>
                        </w:rPr>
                        <w:t xml:space="preserve">** </w:t>
                      </w:r>
                      <w:r>
                        <w:rPr>
                          <w:rFonts w:asciiTheme="minorHAnsi" w:hAnsi="Arial" w:cs="Arial"/>
                          <w:color w:val="000000" w:themeColor="text1"/>
                          <w:kern w:val="24"/>
                          <w:sz w:val="16"/>
                          <w:szCs w:val="16"/>
                        </w:rPr>
                        <w:t xml:space="preserve">Personer, der ikke fundet som aktive og bosiddende i Danmark, er fx grønlændere, der har haft kontakter i   LPR. </w:t>
                      </w:r>
                    </w:p>
                    <w:p w:rsidR="00E95849" w:rsidRPr="008A5CE8" w:rsidRDefault="00E95849" w:rsidP="008A5CE8">
                      <w:pPr>
                        <w:pStyle w:val="NormalWeb"/>
                        <w:spacing w:before="0" w:beforeAutospacing="0" w:after="0" w:afterAutospacing="0"/>
                        <w:rPr>
                          <w:rFonts w:asciiTheme="minorHAnsi" w:hAnsi="Arial" w:cs="Arial"/>
                          <w:color w:val="000000" w:themeColor="text1"/>
                          <w:kern w:val="24"/>
                          <w:sz w:val="16"/>
                          <w:szCs w:val="16"/>
                        </w:rPr>
                      </w:pPr>
                      <w:r>
                        <w:rPr>
                          <w:rFonts w:asciiTheme="minorHAnsi" w:hAnsi="Arial" w:cs="Arial"/>
                          <w:color w:val="000000" w:themeColor="text1"/>
                          <w:kern w:val="24"/>
                          <w:sz w:val="16"/>
                          <w:szCs w:val="16"/>
                        </w:rPr>
                        <w:t xml:space="preserve">    Der er anvendt et øjebliksbillede fra 15.04.14.</w:t>
                      </w:r>
                    </w:p>
                  </w:txbxContent>
                </v:textbox>
                <w10:wrap anchorx="margin"/>
              </v:shape>
            </w:pict>
          </mc:Fallback>
        </mc:AlternateContent>
      </w:r>
    </w:p>
    <w:p w:rsidR="00362924" w:rsidRDefault="00362924" w:rsidP="008C473E">
      <w:pPr>
        <w:pStyle w:val="Overskrift2"/>
        <w:rPr>
          <w:rFonts w:asciiTheme="minorHAnsi" w:eastAsiaTheme="minorHAnsi" w:hAnsiTheme="minorHAnsi" w:cstheme="minorBidi"/>
          <w:b/>
          <w:bCs w:val="0"/>
          <w:sz w:val="22"/>
          <w:szCs w:val="22"/>
        </w:rPr>
      </w:pPr>
    </w:p>
    <w:p w:rsidR="00477FD8" w:rsidRPr="00477FD8" w:rsidRDefault="00477FD8" w:rsidP="00477FD8"/>
    <w:p w:rsidR="00CA0563" w:rsidRPr="005B4D36" w:rsidRDefault="00CA0563" w:rsidP="008C473E">
      <w:pPr>
        <w:pStyle w:val="Overskrift2"/>
        <w:rPr>
          <w:b/>
          <w:sz w:val="20"/>
          <w:szCs w:val="20"/>
        </w:rPr>
      </w:pPr>
      <w:bookmarkStart w:id="53" w:name="_Toc391624688"/>
      <w:r w:rsidRPr="005B4D36">
        <w:rPr>
          <w:b/>
          <w:sz w:val="20"/>
          <w:szCs w:val="20"/>
        </w:rPr>
        <w:t>Beskrivelse af den fundne population</w:t>
      </w:r>
      <w:bookmarkEnd w:id="53"/>
    </w:p>
    <w:p w:rsidR="00CA0563" w:rsidRPr="005B4D36" w:rsidRDefault="00CA0563" w:rsidP="00CA0563">
      <w:pPr>
        <w:rPr>
          <w:szCs w:val="20"/>
        </w:rPr>
      </w:pPr>
    </w:p>
    <w:p w:rsidR="00CA0563" w:rsidRPr="005B4D36" w:rsidRDefault="00CA0563" w:rsidP="00CA0563">
      <w:pPr>
        <w:rPr>
          <w:szCs w:val="20"/>
        </w:rPr>
      </w:pPr>
      <w:r w:rsidRPr="005B4D36">
        <w:rPr>
          <w:szCs w:val="20"/>
        </w:rPr>
        <w:t xml:space="preserve">I leddegigtpopulationen til RUKS er 70 </w:t>
      </w:r>
      <w:r w:rsidR="00B82458">
        <w:rPr>
          <w:szCs w:val="20"/>
        </w:rPr>
        <w:t>%</w:t>
      </w:r>
      <w:r w:rsidRPr="005B4D36">
        <w:rPr>
          <w:szCs w:val="20"/>
        </w:rPr>
        <w:t xml:space="preserve"> pr. 1. januar 2013. Medianalderen ved debut er 59 år (47-70</w:t>
      </w:r>
      <w:r w:rsidRPr="005B4D36">
        <w:rPr>
          <w:rStyle w:val="Fodnotehenvisning"/>
          <w:szCs w:val="20"/>
        </w:rPr>
        <w:footnoteReference w:id="9"/>
      </w:r>
      <w:r w:rsidRPr="005B4D36">
        <w:rPr>
          <w:szCs w:val="20"/>
        </w:rPr>
        <w:t xml:space="preserve">) og ens for kvinder og mænd, se figur </w:t>
      </w:r>
      <w:r w:rsidR="008C473E" w:rsidRPr="005B4D36">
        <w:rPr>
          <w:szCs w:val="20"/>
        </w:rPr>
        <w:t>1.</w:t>
      </w:r>
      <w:r w:rsidRPr="005B4D36">
        <w:rPr>
          <w:szCs w:val="20"/>
        </w:rPr>
        <w:t>1. Ved udregning af medianalder er personer, der er debuteret før 1996 frasorteret, da registerudtrækkene er fra 1995 og personerne kan have debuteret tidligere end vi har data for og deres alder i 1995 ikke nødvendigvis er deres sande debutalder.</w:t>
      </w:r>
    </w:p>
    <w:p w:rsidR="00CA0563" w:rsidRPr="005B4D36" w:rsidRDefault="00CA0563" w:rsidP="00CA0563">
      <w:pPr>
        <w:rPr>
          <w:szCs w:val="20"/>
        </w:rPr>
      </w:pPr>
    </w:p>
    <w:p w:rsidR="00CA0563" w:rsidRPr="005B4D36" w:rsidRDefault="00CA0563" w:rsidP="00CA0563">
      <w:pPr>
        <w:rPr>
          <w:szCs w:val="20"/>
        </w:rPr>
      </w:pPr>
      <w:r w:rsidRPr="005B4D36">
        <w:rPr>
          <w:szCs w:val="20"/>
        </w:rPr>
        <w:t xml:space="preserve">Figur </w:t>
      </w:r>
      <w:r w:rsidR="008C473E" w:rsidRPr="005B4D36">
        <w:rPr>
          <w:szCs w:val="20"/>
        </w:rPr>
        <w:t>5.</w:t>
      </w:r>
      <w:r w:rsidRPr="005B4D36">
        <w:rPr>
          <w:szCs w:val="20"/>
        </w:rPr>
        <w:t xml:space="preserve">1. ’Debutalder’ i RUKS for populationen pr. 1. januar 2013, målt som den første indlæggelsesdato eller første indløsning af recept med specifik indikationskode for leddegigt. </w:t>
      </w:r>
    </w:p>
    <w:p w:rsidR="00CA0563" w:rsidRDefault="00CA0563" w:rsidP="00CA0563">
      <w:pPr>
        <w:rPr>
          <w:sz w:val="22"/>
        </w:rPr>
      </w:pPr>
    </w:p>
    <w:p w:rsidR="00CA0563" w:rsidRDefault="002E3C27" w:rsidP="00CA0563">
      <w:pPr>
        <w:rPr>
          <w:sz w:val="22"/>
        </w:rPr>
      </w:pPr>
      <w:r>
        <w:rPr>
          <w:noProof/>
          <w:sz w:val="22"/>
          <w:lang w:eastAsia="da-DK"/>
        </w:rPr>
        <w:drawing>
          <wp:inline distT="0" distB="0" distL="0" distR="0" wp14:anchorId="7AF4D99C" wp14:editId="2545C022">
            <wp:extent cx="6276975" cy="2790825"/>
            <wp:effectExtent l="0" t="0" r="9525" b="9525"/>
            <wp:docPr id="202" name="Billed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83054" cy="2793528"/>
                    </a:xfrm>
                    <a:prstGeom prst="rect">
                      <a:avLst/>
                    </a:prstGeom>
                    <a:noFill/>
                  </pic:spPr>
                </pic:pic>
              </a:graphicData>
            </a:graphic>
          </wp:inline>
        </w:drawing>
      </w:r>
    </w:p>
    <w:p w:rsidR="00CA0563" w:rsidRDefault="00CA0563" w:rsidP="00CA0563">
      <w:pPr>
        <w:rPr>
          <w:sz w:val="22"/>
        </w:rPr>
      </w:pPr>
    </w:p>
    <w:p w:rsidR="00CA0563" w:rsidRPr="005B4D36" w:rsidRDefault="00CA0563" w:rsidP="00CA0563">
      <w:pPr>
        <w:rPr>
          <w:szCs w:val="20"/>
        </w:rPr>
      </w:pPr>
    </w:p>
    <w:p w:rsidR="00CA0563" w:rsidRPr="005B4D36" w:rsidRDefault="00CA0563" w:rsidP="008C473E">
      <w:pPr>
        <w:pStyle w:val="Overskrift2"/>
        <w:rPr>
          <w:b/>
          <w:sz w:val="20"/>
          <w:szCs w:val="20"/>
        </w:rPr>
      </w:pPr>
      <w:bookmarkStart w:id="54" w:name="_Toc391624689"/>
      <w:r w:rsidRPr="005B4D36">
        <w:rPr>
          <w:b/>
          <w:sz w:val="20"/>
          <w:szCs w:val="20"/>
        </w:rPr>
        <w:t>Antal personer med leddegigt 2007 til 2013 i RUKS</w:t>
      </w:r>
      <w:bookmarkEnd w:id="54"/>
    </w:p>
    <w:p w:rsidR="00CA0563" w:rsidRPr="005B4D36" w:rsidRDefault="00CA0563" w:rsidP="00CA0563">
      <w:pPr>
        <w:rPr>
          <w:b/>
          <w:szCs w:val="20"/>
        </w:rPr>
      </w:pPr>
    </w:p>
    <w:p w:rsidR="00CA0563" w:rsidRPr="005B4D36" w:rsidRDefault="00CA0563" w:rsidP="00CA0563">
      <w:pPr>
        <w:rPr>
          <w:b/>
          <w:szCs w:val="20"/>
        </w:rPr>
      </w:pPr>
      <w:r w:rsidRPr="005B4D36">
        <w:rPr>
          <w:szCs w:val="20"/>
        </w:rPr>
        <w:t xml:space="preserve">Tabel </w:t>
      </w:r>
      <w:r w:rsidR="008C473E" w:rsidRPr="005B4D36">
        <w:rPr>
          <w:szCs w:val="20"/>
        </w:rPr>
        <w:t>5.</w:t>
      </w:r>
      <w:r w:rsidRPr="005B4D36">
        <w:rPr>
          <w:szCs w:val="20"/>
        </w:rPr>
        <w:t>1. Prævalens af personer i RUKS pr. 1. januar det pågældende år.</w:t>
      </w:r>
    </w:p>
    <w:tbl>
      <w:tblPr>
        <w:tblStyle w:val="Tabel-Gitter"/>
        <w:tblW w:w="0" w:type="auto"/>
        <w:tblLook w:val="04A0" w:firstRow="1" w:lastRow="0" w:firstColumn="1" w:lastColumn="0" w:noHBand="0" w:noVBand="1"/>
      </w:tblPr>
      <w:tblGrid>
        <w:gridCol w:w="1374"/>
        <w:gridCol w:w="1375"/>
        <w:gridCol w:w="1375"/>
        <w:gridCol w:w="1376"/>
        <w:gridCol w:w="1376"/>
        <w:gridCol w:w="1376"/>
        <w:gridCol w:w="1376"/>
      </w:tblGrid>
      <w:tr w:rsidR="00CA0563" w:rsidRPr="005B4D36" w:rsidTr="004D29E9">
        <w:tc>
          <w:tcPr>
            <w:tcW w:w="1396" w:type="dxa"/>
          </w:tcPr>
          <w:p w:rsidR="00CA0563" w:rsidRPr="005B4D36" w:rsidRDefault="00CA0563" w:rsidP="004D29E9">
            <w:pPr>
              <w:jc w:val="center"/>
              <w:rPr>
                <w:b/>
                <w:szCs w:val="20"/>
              </w:rPr>
            </w:pPr>
            <w:r w:rsidRPr="005B4D36">
              <w:rPr>
                <w:b/>
                <w:szCs w:val="20"/>
              </w:rPr>
              <w:t>2007</w:t>
            </w:r>
          </w:p>
        </w:tc>
        <w:tc>
          <w:tcPr>
            <w:tcW w:w="1397" w:type="dxa"/>
          </w:tcPr>
          <w:p w:rsidR="00CA0563" w:rsidRPr="005B4D36" w:rsidRDefault="00CA0563" w:rsidP="004D29E9">
            <w:pPr>
              <w:jc w:val="center"/>
              <w:rPr>
                <w:b/>
                <w:szCs w:val="20"/>
              </w:rPr>
            </w:pPr>
            <w:r w:rsidRPr="005B4D36">
              <w:rPr>
                <w:b/>
                <w:szCs w:val="20"/>
              </w:rPr>
              <w:t>2008</w:t>
            </w:r>
          </w:p>
        </w:tc>
        <w:tc>
          <w:tcPr>
            <w:tcW w:w="1397" w:type="dxa"/>
          </w:tcPr>
          <w:p w:rsidR="00CA0563" w:rsidRPr="005B4D36" w:rsidRDefault="00CA0563" w:rsidP="004D29E9">
            <w:pPr>
              <w:jc w:val="center"/>
              <w:rPr>
                <w:b/>
                <w:szCs w:val="20"/>
              </w:rPr>
            </w:pPr>
            <w:r w:rsidRPr="005B4D36">
              <w:rPr>
                <w:b/>
                <w:szCs w:val="20"/>
              </w:rPr>
              <w:t>2009</w:t>
            </w:r>
          </w:p>
        </w:tc>
        <w:tc>
          <w:tcPr>
            <w:tcW w:w="1397" w:type="dxa"/>
          </w:tcPr>
          <w:p w:rsidR="00CA0563" w:rsidRPr="005B4D36" w:rsidRDefault="00CA0563" w:rsidP="004D29E9">
            <w:pPr>
              <w:jc w:val="center"/>
              <w:rPr>
                <w:b/>
                <w:szCs w:val="20"/>
              </w:rPr>
            </w:pPr>
            <w:r w:rsidRPr="005B4D36">
              <w:rPr>
                <w:b/>
                <w:szCs w:val="20"/>
              </w:rPr>
              <w:t>2010</w:t>
            </w:r>
          </w:p>
        </w:tc>
        <w:tc>
          <w:tcPr>
            <w:tcW w:w="1397" w:type="dxa"/>
          </w:tcPr>
          <w:p w:rsidR="00CA0563" w:rsidRPr="005B4D36" w:rsidRDefault="00CA0563" w:rsidP="004D29E9">
            <w:pPr>
              <w:jc w:val="center"/>
              <w:rPr>
                <w:b/>
                <w:szCs w:val="20"/>
              </w:rPr>
            </w:pPr>
            <w:r w:rsidRPr="005B4D36">
              <w:rPr>
                <w:b/>
                <w:szCs w:val="20"/>
              </w:rPr>
              <w:t>2011</w:t>
            </w:r>
          </w:p>
        </w:tc>
        <w:tc>
          <w:tcPr>
            <w:tcW w:w="1397" w:type="dxa"/>
          </w:tcPr>
          <w:p w:rsidR="00CA0563" w:rsidRPr="005B4D36" w:rsidRDefault="00CA0563" w:rsidP="004D29E9">
            <w:pPr>
              <w:jc w:val="center"/>
              <w:rPr>
                <w:b/>
                <w:szCs w:val="20"/>
              </w:rPr>
            </w:pPr>
            <w:r w:rsidRPr="005B4D36">
              <w:rPr>
                <w:b/>
                <w:szCs w:val="20"/>
              </w:rPr>
              <w:t>2012</w:t>
            </w:r>
          </w:p>
        </w:tc>
        <w:tc>
          <w:tcPr>
            <w:tcW w:w="1397" w:type="dxa"/>
          </w:tcPr>
          <w:p w:rsidR="00CA0563" w:rsidRPr="005B4D36" w:rsidRDefault="00CA0563" w:rsidP="004D29E9">
            <w:pPr>
              <w:jc w:val="center"/>
              <w:rPr>
                <w:b/>
                <w:szCs w:val="20"/>
              </w:rPr>
            </w:pPr>
            <w:r w:rsidRPr="005B4D36">
              <w:rPr>
                <w:b/>
                <w:szCs w:val="20"/>
              </w:rPr>
              <w:t>2013</w:t>
            </w:r>
          </w:p>
        </w:tc>
      </w:tr>
      <w:tr w:rsidR="00CA0563" w:rsidRPr="005B4D36" w:rsidTr="004D29E9">
        <w:tc>
          <w:tcPr>
            <w:tcW w:w="1396" w:type="dxa"/>
          </w:tcPr>
          <w:p w:rsidR="00CA0563" w:rsidRPr="005B4D36" w:rsidRDefault="008B706F" w:rsidP="004D29E9">
            <w:pPr>
              <w:jc w:val="center"/>
              <w:rPr>
                <w:szCs w:val="20"/>
              </w:rPr>
            </w:pPr>
            <w:r>
              <w:rPr>
                <w:szCs w:val="20"/>
              </w:rPr>
              <w:t>29.176</w:t>
            </w:r>
          </w:p>
        </w:tc>
        <w:tc>
          <w:tcPr>
            <w:tcW w:w="1397" w:type="dxa"/>
          </w:tcPr>
          <w:p w:rsidR="00CA0563" w:rsidRPr="005B4D36" w:rsidRDefault="008B706F" w:rsidP="004D29E9">
            <w:pPr>
              <w:jc w:val="center"/>
              <w:rPr>
                <w:szCs w:val="20"/>
              </w:rPr>
            </w:pPr>
            <w:r>
              <w:rPr>
                <w:szCs w:val="20"/>
              </w:rPr>
              <w:t>31.473</w:t>
            </w:r>
          </w:p>
        </w:tc>
        <w:tc>
          <w:tcPr>
            <w:tcW w:w="1397" w:type="dxa"/>
          </w:tcPr>
          <w:p w:rsidR="00CA0563" w:rsidRPr="005B4D36" w:rsidRDefault="008B706F" w:rsidP="004D29E9">
            <w:pPr>
              <w:jc w:val="center"/>
              <w:rPr>
                <w:szCs w:val="20"/>
              </w:rPr>
            </w:pPr>
            <w:r>
              <w:rPr>
                <w:szCs w:val="20"/>
              </w:rPr>
              <w:t>33.771</w:t>
            </w:r>
          </w:p>
        </w:tc>
        <w:tc>
          <w:tcPr>
            <w:tcW w:w="1397" w:type="dxa"/>
          </w:tcPr>
          <w:p w:rsidR="00CA0563" w:rsidRPr="005B4D36" w:rsidRDefault="008B706F" w:rsidP="004D29E9">
            <w:pPr>
              <w:jc w:val="center"/>
              <w:rPr>
                <w:szCs w:val="20"/>
              </w:rPr>
            </w:pPr>
            <w:r>
              <w:rPr>
                <w:szCs w:val="20"/>
              </w:rPr>
              <w:t>36.060</w:t>
            </w:r>
          </w:p>
        </w:tc>
        <w:tc>
          <w:tcPr>
            <w:tcW w:w="1397" w:type="dxa"/>
          </w:tcPr>
          <w:p w:rsidR="00CA0563" w:rsidRPr="005B4D36" w:rsidRDefault="008B706F" w:rsidP="004D29E9">
            <w:pPr>
              <w:jc w:val="center"/>
              <w:rPr>
                <w:szCs w:val="20"/>
              </w:rPr>
            </w:pPr>
            <w:r>
              <w:rPr>
                <w:szCs w:val="20"/>
              </w:rPr>
              <w:t>38.407</w:t>
            </w:r>
          </w:p>
        </w:tc>
        <w:tc>
          <w:tcPr>
            <w:tcW w:w="1397" w:type="dxa"/>
          </w:tcPr>
          <w:p w:rsidR="00CA0563" w:rsidRPr="005B4D36" w:rsidRDefault="008B706F" w:rsidP="004D29E9">
            <w:pPr>
              <w:jc w:val="center"/>
              <w:rPr>
                <w:szCs w:val="20"/>
              </w:rPr>
            </w:pPr>
            <w:r>
              <w:rPr>
                <w:szCs w:val="20"/>
              </w:rPr>
              <w:t>40.660</w:t>
            </w:r>
          </w:p>
        </w:tc>
        <w:tc>
          <w:tcPr>
            <w:tcW w:w="1397" w:type="dxa"/>
          </w:tcPr>
          <w:p w:rsidR="00CA0563" w:rsidRPr="005B4D36" w:rsidRDefault="008B706F" w:rsidP="004D29E9">
            <w:pPr>
              <w:jc w:val="center"/>
              <w:rPr>
                <w:szCs w:val="20"/>
              </w:rPr>
            </w:pPr>
            <w:r>
              <w:rPr>
                <w:szCs w:val="20"/>
              </w:rPr>
              <w:t>42.465</w:t>
            </w:r>
          </w:p>
        </w:tc>
      </w:tr>
    </w:tbl>
    <w:p w:rsidR="00CA0563" w:rsidRPr="005B4D36" w:rsidRDefault="00CA0563" w:rsidP="00CA0563">
      <w:pPr>
        <w:rPr>
          <w:szCs w:val="20"/>
        </w:rPr>
      </w:pPr>
    </w:p>
    <w:p w:rsidR="00CA0563" w:rsidRPr="005B4D36" w:rsidRDefault="00CA0563" w:rsidP="00CA0563">
      <w:pPr>
        <w:rPr>
          <w:szCs w:val="20"/>
        </w:rPr>
      </w:pPr>
      <w:r w:rsidRPr="005B4D36">
        <w:rPr>
          <w:szCs w:val="20"/>
        </w:rPr>
        <w:t>Stigningen i prævalens af leddegigtpatienter skyldes,</w:t>
      </w:r>
      <w:r w:rsidRPr="005B4D36">
        <w:rPr>
          <w:b/>
          <w:szCs w:val="20"/>
        </w:rPr>
        <w:t xml:space="preserve"> </w:t>
      </w:r>
      <w:r w:rsidRPr="005B4D36">
        <w:rPr>
          <w:szCs w:val="20"/>
        </w:rPr>
        <w:t xml:space="preserve">at der tilkommer flere nye brugere (incidens) end der dør (mortalitet), se figur </w:t>
      </w:r>
      <w:r w:rsidR="008C473E" w:rsidRPr="005B4D36">
        <w:rPr>
          <w:szCs w:val="20"/>
        </w:rPr>
        <w:t>5.</w:t>
      </w:r>
      <w:r w:rsidRPr="005B4D36">
        <w:rPr>
          <w:szCs w:val="20"/>
        </w:rPr>
        <w:t>2.</w:t>
      </w:r>
    </w:p>
    <w:p w:rsidR="00CA0563" w:rsidRPr="005B4D36" w:rsidRDefault="00CA0563" w:rsidP="00CA0563">
      <w:pPr>
        <w:rPr>
          <w:szCs w:val="20"/>
        </w:rPr>
      </w:pPr>
    </w:p>
    <w:p w:rsidR="005B4D36" w:rsidRDefault="00CA0563" w:rsidP="00CA0563">
      <w:pPr>
        <w:rPr>
          <w:szCs w:val="20"/>
        </w:rPr>
      </w:pPr>
      <w:r w:rsidRPr="005B4D36">
        <w:rPr>
          <w:szCs w:val="20"/>
        </w:rPr>
        <w:t xml:space="preserve">Incidensen vil falde jo nærmere opgørelsen vil være på opdateringstidspunktet, da personer først bliver klassificerede som leddegigt patienter, når der er indsamlet en vis mængde information. Klassificeringen foregår derefter bagudrettet. Det anbefales derfor at opgørelsestidspunkt for mål som </w:t>
      </w:r>
      <w:r w:rsidR="000147A5" w:rsidRPr="005B4D36">
        <w:rPr>
          <w:szCs w:val="20"/>
        </w:rPr>
        <w:t>fx</w:t>
      </w:r>
      <w:r w:rsidRPr="005B4D36">
        <w:rPr>
          <w:szCs w:val="20"/>
        </w:rPr>
        <w:t xml:space="preserve"> prævalens og incidens ligger ca. 1 år før seneste opdatering.</w:t>
      </w:r>
    </w:p>
    <w:p w:rsidR="00477FD8" w:rsidRDefault="00477FD8" w:rsidP="00CA0563">
      <w:pPr>
        <w:rPr>
          <w:szCs w:val="20"/>
        </w:rPr>
      </w:pPr>
    </w:p>
    <w:p w:rsidR="005B4D36" w:rsidRPr="005B4D36" w:rsidRDefault="005B4D36" w:rsidP="00CA0563">
      <w:pPr>
        <w:rPr>
          <w:szCs w:val="20"/>
        </w:rPr>
      </w:pPr>
    </w:p>
    <w:p w:rsidR="00CA0563" w:rsidRPr="005B4D36" w:rsidRDefault="00CA0563" w:rsidP="00CA0563">
      <w:pPr>
        <w:rPr>
          <w:szCs w:val="20"/>
        </w:rPr>
      </w:pPr>
      <w:r w:rsidRPr="005B4D36">
        <w:rPr>
          <w:szCs w:val="20"/>
        </w:rPr>
        <w:t xml:space="preserve">Figur </w:t>
      </w:r>
      <w:r w:rsidR="008C473E" w:rsidRPr="005B4D36">
        <w:rPr>
          <w:szCs w:val="20"/>
        </w:rPr>
        <w:t>5.</w:t>
      </w:r>
      <w:r w:rsidRPr="005B4D36">
        <w:rPr>
          <w:szCs w:val="20"/>
        </w:rPr>
        <w:t>2. Prævalens, incidens og morbiditet af leddegigtpopulation i RUKS.</w:t>
      </w:r>
    </w:p>
    <w:p w:rsidR="00CA0563" w:rsidRPr="005B4D36" w:rsidRDefault="00CA0563" w:rsidP="00CA0563">
      <w:pPr>
        <w:rPr>
          <w:szCs w:val="20"/>
        </w:rPr>
      </w:pPr>
    </w:p>
    <w:p w:rsidR="00CA0563" w:rsidRDefault="00337C74" w:rsidP="00CA0563">
      <w:pPr>
        <w:rPr>
          <w:sz w:val="22"/>
        </w:rPr>
      </w:pPr>
      <w:r>
        <w:rPr>
          <w:noProof/>
          <w:sz w:val="22"/>
          <w:lang w:eastAsia="da-DK"/>
        </w:rPr>
        <w:drawing>
          <wp:inline distT="0" distB="0" distL="0" distR="0" wp14:anchorId="121ACB28">
            <wp:extent cx="5286375" cy="2410380"/>
            <wp:effectExtent l="0" t="0" r="0" b="952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3253" cy="2449993"/>
                    </a:xfrm>
                    <a:prstGeom prst="rect">
                      <a:avLst/>
                    </a:prstGeom>
                    <a:noFill/>
                  </pic:spPr>
                </pic:pic>
              </a:graphicData>
            </a:graphic>
          </wp:inline>
        </w:drawing>
      </w:r>
    </w:p>
    <w:p w:rsidR="00CA0563" w:rsidRPr="005B4D36" w:rsidRDefault="00CA0563" w:rsidP="00CA0563">
      <w:pPr>
        <w:rPr>
          <w:b/>
          <w:szCs w:val="20"/>
        </w:rPr>
      </w:pPr>
    </w:p>
    <w:p w:rsidR="00CA0563" w:rsidRPr="005B4D36" w:rsidRDefault="00CA0563" w:rsidP="008C473E">
      <w:pPr>
        <w:pStyle w:val="Overskrift2"/>
        <w:rPr>
          <w:b/>
          <w:sz w:val="20"/>
          <w:szCs w:val="20"/>
        </w:rPr>
      </w:pPr>
      <w:bookmarkStart w:id="55" w:name="_Toc391624690"/>
      <w:r w:rsidRPr="005B4D36">
        <w:rPr>
          <w:b/>
          <w:sz w:val="20"/>
          <w:szCs w:val="20"/>
        </w:rPr>
        <w:t>Andre kilders oplysninger</w:t>
      </w:r>
      <w:bookmarkEnd w:id="55"/>
    </w:p>
    <w:p w:rsidR="00CA0563" w:rsidRPr="005B4D36" w:rsidRDefault="00CA0563" w:rsidP="00CA0563">
      <w:pPr>
        <w:rPr>
          <w:b/>
          <w:szCs w:val="20"/>
        </w:rPr>
      </w:pPr>
    </w:p>
    <w:p w:rsidR="00CA0563" w:rsidRPr="005B4D36" w:rsidRDefault="00CA0563" w:rsidP="00CA0563">
      <w:pPr>
        <w:rPr>
          <w:szCs w:val="20"/>
        </w:rPr>
      </w:pPr>
      <w:r w:rsidRPr="005B4D36">
        <w:rPr>
          <w:szCs w:val="20"/>
        </w:rPr>
        <w:t>I Sundhedsprofil 2013 estimeres 273.000 personer at have leddegigt</w:t>
      </w:r>
      <w:r w:rsidRPr="005B4D36">
        <w:rPr>
          <w:szCs w:val="20"/>
          <w:vertAlign w:val="superscript"/>
        </w:rPr>
        <w:fldChar w:fldCharType="begin"/>
      </w:r>
      <w:r w:rsidRPr="005B4D36">
        <w:rPr>
          <w:szCs w:val="20"/>
          <w:vertAlign w:val="superscript"/>
        </w:rPr>
        <w:instrText xml:space="preserve"> NOTEREF _Ref390888737 \h  \* MERGEFORMAT </w:instrText>
      </w:r>
      <w:r w:rsidRPr="005B4D36">
        <w:rPr>
          <w:szCs w:val="20"/>
          <w:vertAlign w:val="superscript"/>
        </w:rPr>
      </w:r>
      <w:r w:rsidRPr="005B4D36">
        <w:rPr>
          <w:szCs w:val="20"/>
          <w:vertAlign w:val="superscript"/>
        </w:rPr>
        <w:fldChar w:fldCharType="separate"/>
      </w:r>
      <w:r w:rsidR="00581054">
        <w:rPr>
          <w:szCs w:val="20"/>
          <w:vertAlign w:val="superscript"/>
        </w:rPr>
        <w:t>4</w:t>
      </w:r>
      <w:r w:rsidRPr="005B4D36">
        <w:rPr>
          <w:szCs w:val="20"/>
          <w:vertAlign w:val="superscript"/>
        </w:rPr>
        <w:fldChar w:fldCharType="end"/>
      </w:r>
      <w:r w:rsidRPr="005B4D36">
        <w:rPr>
          <w:szCs w:val="20"/>
        </w:rPr>
        <w:t>. Undersøgelsen er en spørgeskemaundersøgelse hvor forskerne har spurgt til personerne om de havde leddegigt</w:t>
      </w:r>
      <w:r w:rsidRPr="005B4D36">
        <w:rPr>
          <w:szCs w:val="20"/>
          <w:vertAlign w:val="superscript"/>
        </w:rPr>
        <w:fldChar w:fldCharType="begin"/>
      </w:r>
      <w:r w:rsidRPr="005B4D36">
        <w:rPr>
          <w:szCs w:val="20"/>
          <w:vertAlign w:val="superscript"/>
        </w:rPr>
        <w:instrText xml:space="preserve"> NOTEREF _Ref390892004 \h  \* MERGEFORMAT </w:instrText>
      </w:r>
      <w:r w:rsidRPr="005B4D36">
        <w:rPr>
          <w:szCs w:val="20"/>
          <w:vertAlign w:val="superscript"/>
        </w:rPr>
      </w:r>
      <w:r w:rsidRPr="005B4D36">
        <w:rPr>
          <w:szCs w:val="20"/>
          <w:vertAlign w:val="superscript"/>
        </w:rPr>
        <w:fldChar w:fldCharType="separate"/>
      </w:r>
      <w:r w:rsidR="00581054">
        <w:rPr>
          <w:szCs w:val="20"/>
          <w:vertAlign w:val="superscript"/>
        </w:rPr>
        <w:t>7</w:t>
      </w:r>
      <w:r w:rsidRPr="005B4D36">
        <w:rPr>
          <w:szCs w:val="20"/>
          <w:vertAlign w:val="superscript"/>
        </w:rPr>
        <w:fldChar w:fldCharType="end"/>
      </w:r>
      <w:r w:rsidRPr="005B4D36">
        <w:rPr>
          <w:szCs w:val="20"/>
        </w:rPr>
        <w:t>. I spørgeskemaet er leddegigt ikke specificeret yderligere og det kan derfor tænkes at personerne, der svarede, opfatter leddegigt bredere end reumatoid artrit.</w:t>
      </w:r>
    </w:p>
    <w:p w:rsidR="00CA0563" w:rsidRPr="005B4D36" w:rsidRDefault="00CA0563" w:rsidP="00CA0563">
      <w:pPr>
        <w:rPr>
          <w:szCs w:val="20"/>
        </w:rPr>
      </w:pPr>
    </w:p>
    <w:p w:rsidR="00CA0563" w:rsidRPr="005B4D36" w:rsidRDefault="00CA0563" w:rsidP="00CA0563">
      <w:pPr>
        <w:rPr>
          <w:szCs w:val="20"/>
        </w:rPr>
      </w:pPr>
      <w:r w:rsidRPr="005B4D36">
        <w:rPr>
          <w:szCs w:val="20"/>
        </w:rPr>
        <w:t>I DANBIOs årsrapport 2012 undersøges overensstemmelsen mellem DANBIO og LPR i perioden 2001-2011. Der står ikke specifikt, hvilke ICD-koder og diagnosetyper, der trækkes på i LPR. De finder 22.965 personer i 2011, der optræder i enten DANBIO eller LPR. Endvidere skriver de: Leddegigt rammer ca. ½-1 % af befolkningen, hvoraf 2/3 er kvinder. Sygdommen opstår ofte i 40-60 års alderen, men kan optræde i alle aldre</w:t>
      </w:r>
      <w:r w:rsidRPr="005B4D36">
        <w:rPr>
          <w:rStyle w:val="Slutnotehenvisning"/>
          <w:szCs w:val="20"/>
        </w:rPr>
        <w:endnoteReference w:id="22"/>
      </w:r>
      <w:r w:rsidRPr="005B4D36">
        <w:rPr>
          <w:szCs w:val="20"/>
        </w:rPr>
        <w:t>.</w:t>
      </w:r>
    </w:p>
    <w:p w:rsidR="00CA0563" w:rsidRPr="005B4D36" w:rsidRDefault="00CA0563" w:rsidP="00CA0563">
      <w:pPr>
        <w:rPr>
          <w:szCs w:val="20"/>
        </w:rPr>
      </w:pPr>
    </w:p>
    <w:p w:rsidR="00CA0563" w:rsidRPr="005B4D36" w:rsidRDefault="00CA0563" w:rsidP="00CA0563">
      <w:pPr>
        <w:rPr>
          <w:szCs w:val="20"/>
        </w:rPr>
      </w:pPr>
      <w:r w:rsidRPr="005B4D36">
        <w:rPr>
          <w:szCs w:val="20"/>
        </w:rPr>
        <w:t>Gigtforeningen anslår, at der er omkring 35.000 personer med i Danmark med leddegigt</w:t>
      </w:r>
      <w:r w:rsidRPr="005B4D36">
        <w:rPr>
          <w:rStyle w:val="Slutnotehenvisning"/>
          <w:szCs w:val="20"/>
        </w:rPr>
        <w:endnoteReference w:id="23"/>
      </w:r>
      <w:r w:rsidRPr="005B4D36">
        <w:rPr>
          <w:szCs w:val="20"/>
        </w:rPr>
        <w:t>.</w:t>
      </w:r>
    </w:p>
    <w:p w:rsidR="00CA0563" w:rsidRPr="005B4D36" w:rsidRDefault="00CA0563" w:rsidP="00CA0563">
      <w:pPr>
        <w:rPr>
          <w:szCs w:val="20"/>
        </w:rPr>
      </w:pPr>
    </w:p>
    <w:p w:rsidR="00CA0563" w:rsidRPr="005B4D36" w:rsidRDefault="00CA0563" w:rsidP="008C473E">
      <w:pPr>
        <w:pStyle w:val="Overskrift2"/>
        <w:rPr>
          <w:b/>
          <w:sz w:val="20"/>
          <w:szCs w:val="20"/>
        </w:rPr>
      </w:pPr>
      <w:bookmarkStart w:id="56" w:name="_Toc391624691"/>
      <w:r w:rsidRPr="005B4D36">
        <w:rPr>
          <w:b/>
          <w:sz w:val="20"/>
          <w:szCs w:val="20"/>
        </w:rPr>
        <w:t>Forbehold ved udvælgelsen</w:t>
      </w:r>
      <w:bookmarkEnd w:id="56"/>
    </w:p>
    <w:p w:rsidR="00CA0563" w:rsidRPr="005B4D36" w:rsidRDefault="00CA0563" w:rsidP="00CA0563">
      <w:pPr>
        <w:rPr>
          <w:szCs w:val="20"/>
        </w:rPr>
      </w:pPr>
    </w:p>
    <w:p w:rsidR="00CA0563" w:rsidRPr="005B4D36" w:rsidRDefault="00CA0563" w:rsidP="00CA0563">
      <w:pPr>
        <w:rPr>
          <w:szCs w:val="20"/>
        </w:rPr>
      </w:pPr>
      <w:r w:rsidRPr="005B4D36">
        <w:rPr>
          <w:szCs w:val="20"/>
        </w:rPr>
        <w:t>Udvælgelsen er sket på baggrund af en udtræksalgoritme fra registre. Udtræksalgoritmen er ikke valideret. Validering vil kræve journalgennemgang af journaler på sygehuse og hos læger i primærsektoren.</w:t>
      </w:r>
    </w:p>
    <w:p w:rsidR="00CA0563" w:rsidRPr="005B4D36" w:rsidRDefault="00CA0563" w:rsidP="00CA0563">
      <w:pPr>
        <w:rPr>
          <w:szCs w:val="20"/>
        </w:rPr>
      </w:pPr>
    </w:p>
    <w:p w:rsidR="00CA0563" w:rsidRPr="005B4D36" w:rsidRDefault="00CA0563" w:rsidP="00CA0563">
      <w:pPr>
        <w:rPr>
          <w:szCs w:val="20"/>
        </w:rPr>
      </w:pPr>
      <w:r w:rsidRPr="005B4D36">
        <w:rPr>
          <w:szCs w:val="20"/>
        </w:rPr>
        <w:t>I udvælgelsen af patienter er det vægtet højere at de udvalgte personer med høj sandsynlighed har den pågældende sygdom frem for at få alle med. Prævalens fundet ved denne udvælgelse kan derfor være underestimeret ift. den sande prævalens og det er sandsynligvis de milde former og tidlige stadier, der bliver underestimeret.</w:t>
      </w:r>
    </w:p>
    <w:p w:rsidR="00CA0563" w:rsidRPr="005B4D36" w:rsidRDefault="00CA0563" w:rsidP="00CA0563">
      <w:pPr>
        <w:rPr>
          <w:szCs w:val="20"/>
        </w:rPr>
      </w:pPr>
    </w:p>
    <w:p w:rsidR="00CA0563" w:rsidRPr="005B4D36" w:rsidRDefault="00CA0563" w:rsidP="00CA0563">
      <w:pPr>
        <w:rPr>
          <w:szCs w:val="20"/>
        </w:rPr>
      </w:pPr>
      <w:r w:rsidRPr="005B4D36">
        <w:rPr>
          <w:szCs w:val="20"/>
        </w:rPr>
        <w:t xml:space="preserve">En del patienter (23 </w:t>
      </w:r>
      <w:r w:rsidR="00B82458">
        <w:rPr>
          <w:szCs w:val="20"/>
        </w:rPr>
        <w:t>%</w:t>
      </w:r>
      <w:r w:rsidRPr="005B4D36">
        <w:rPr>
          <w:szCs w:val="20"/>
        </w:rPr>
        <w:t>) bliver inkluderet udelukkende på baggrund af indikationskoder i Lægemiddelstatistikregisteret. Patienter, der udelukkende følges i almen praksis eller af private speciallæger i primærsektoren, vil ikke være at finde med en diagnose i LPR.</w:t>
      </w:r>
    </w:p>
    <w:p w:rsidR="00CA0563" w:rsidRPr="005B4D36" w:rsidRDefault="00CA0563" w:rsidP="00CA0563">
      <w:pPr>
        <w:rPr>
          <w:szCs w:val="20"/>
        </w:rPr>
      </w:pPr>
    </w:p>
    <w:p w:rsidR="00CA0563" w:rsidRPr="005B4D36" w:rsidRDefault="00CA0563" w:rsidP="00CA0563">
      <w:pPr>
        <w:rPr>
          <w:szCs w:val="20"/>
        </w:rPr>
      </w:pPr>
      <w:r w:rsidRPr="005B4D36">
        <w:rPr>
          <w:szCs w:val="20"/>
        </w:rPr>
        <w:t>Der er anvendt indikationskoder fra Lægemiddelstatistikregisteret svarende til de tekster der sættes på apotekets etiket. I lægesystemer vælges indikationer fra en dropdown liste. Der kan derfor være ’transposition errors’ – det at man ved en fejl vælger den over eller under i stedet. Det kan også være at lægen af bekvemmelig</w:t>
      </w:r>
      <w:r w:rsidR="0075199B">
        <w:rPr>
          <w:szCs w:val="20"/>
        </w:rPr>
        <w:t>hed</w:t>
      </w:r>
      <w:r w:rsidRPr="005B4D36">
        <w:rPr>
          <w:szCs w:val="20"/>
        </w:rPr>
        <w:t xml:space="preserve"> vælger den øverste. Derudover kan der være diskretionshensyn ved valg af indikationstekst. I nogle lægesystemer kan lægen overskrive teksten med fritekst. I dette tilfælde indberettes stadig den oprindelige kode og lægen</w:t>
      </w:r>
      <w:r w:rsidR="0075199B">
        <w:rPr>
          <w:szCs w:val="20"/>
        </w:rPr>
        <w:t>s</w:t>
      </w:r>
      <w:r w:rsidRPr="005B4D36">
        <w:rPr>
          <w:szCs w:val="20"/>
        </w:rPr>
        <w:t xml:space="preserve"> redigering kan ikke ses af Lægemiddelstatistikregisteret. Nedenfor ses en liste over de lægemidler, der har medvirket til at inkludere personer i RUKS.</w:t>
      </w:r>
    </w:p>
    <w:p w:rsidR="00CA0563" w:rsidRPr="005B4D36" w:rsidRDefault="00CA0563" w:rsidP="00CA0563">
      <w:pPr>
        <w:rPr>
          <w:szCs w:val="20"/>
        </w:rPr>
      </w:pPr>
    </w:p>
    <w:p w:rsidR="00CA0563" w:rsidRPr="005B4D36" w:rsidRDefault="00CA0563" w:rsidP="00CA0563">
      <w:pPr>
        <w:rPr>
          <w:szCs w:val="20"/>
        </w:rPr>
      </w:pPr>
      <w:r w:rsidRPr="005B4D36">
        <w:rPr>
          <w:szCs w:val="20"/>
        </w:rPr>
        <w:t xml:space="preserve">Tabel </w:t>
      </w:r>
      <w:r w:rsidR="008C473E" w:rsidRPr="005B4D36">
        <w:rPr>
          <w:szCs w:val="20"/>
        </w:rPr>
        <w:t>5.</w:t>
      </w:r>
      <w:r w:rsidRPr="005B4D36">
        <w:rPr>
          <w:szCs w:val="20"/>
        </w:rPr>
        <w:t>2. Lægemidler med indikationskoder, der er anvendt til at inkludere personer i RUKS.</w:t>
      </w:r>
    </w:p>
    <w:p w:rsidR="00CA0563" w:rsidRDefault="00CA0563" w:rsidP="00CA0563">
      <w:pPr>
        <w:rPr>
          <w:sz w:val="22"/>
        </w:rPr>
      </w:pPr>
    </w:p>
    <w:tbl>
      <w:tblPr>
        <w:tblW w:w="0" w:type="auto"/>
        <w:jc w:val="center"/>
        <w:tblLayout w:type="fixed"/>
        <w:tblCellMar>
          <w:left w:w="60" w:type="dxa"/>
          <w:right w:w="60" w:type="dxa"/>
        </w:tblCellMar>
        <w:tblLook w:val="0000" w:firstRow="0" w:lastRow="0" w:firstColumn="0" w:lastColumn="0" w:noHBand="0" w:noVBand="0"/>
      </w:tblPr>
      <w:tblGrid>
        <w:gridCol w:w="3296"/>
        <w:gridCol w:w="1135"/>
        <w:gridCol w:w="972"/>
        <w:gridCol w:w="1935"/>
      </w:tblGrid>
      <w:tr w:rsidR="00CA0563" w:rsidTr="00362924">
        <w:trPr>
          <w:cantSplit/>
          <w:trHeight w:val="671"/>
          <w:tblHeader/>
          <w:jc w:val="center"/>
        </w:trPr>
        <w:tc>
          <w:tcPr>
            <w:tcW w:w="3296" w:type="dxa"/>
            <w:tcBorders>
              <w:top w:val="single" w:sz="6" w:space="0" w:color="000000"/>
              <w:left w:val="single" w:sz="6" w:space="0" w:color="000000"/>
              <w:bottom w:val="single" w:sz="2" w:space="0" w:color="000000"/>
              <w:right w:val="nil"/>
            </w:tcBorders>
            <w:shd w:val="clear" w:color="auto" w:fill="BBBBBB"/>
            <w:vAlign w:val="bottom"/>
          </w:tcPr>
          <w:p w:rsidR="00CA0563" w:rsidRDefault="00CA0563" w:rsidP="004D29E9">
            <w:pPr>
              <w:keepNext/>
              <w:adjustRightInd w:val="0"/>
              <w:spacing w:before="60" w:after="60"/>
              <w:rPr>
                <w:rFonts w:ascii="Times" w:hAnsi="Times" w:cs="Times"/>
                <w:b/>
                <w:bCs/>
                <w:color w:val="000000"/>
                <w:sz w:val="22"/>
              </w:rPr>
            </w:pPr>
            <w:r>
              <w:rPr>
                <w:sz w:val="24"/>
                <w:szCs w:val="24"/>
              </w:rPr>
              <w:fldChar w:fldCharType="begin"/>
            </w:r>
            <w:r>
              <w:rPr>
                <w:sz w:val="24"/>
                <w:szCs w:val="24"/>
              </w:rPr>
              <w:instrText>tc "SQL " \f C \l 1</w:instrText>
            </w:r>
            <w:r>
              <w:rPr>
                <w:sz w:val="24"/>
                <w:szCs w:val="24"/>
              </w:rPr>
              <w:fldChar w:fldCharType="end"/>
            </w:r>
            <w:r>
              <w:rPr>
                <w:sz w:val="24"/>
                <w:szCs w:val="24"/>
              </w:rPr>
              <w:fldChar w:fldCharType="begin"/>
            </w:r>
            <w:r>
              <w:rPr>
                <w:sz w:val="24"/>
                <w:szCs w:val="24"/>
              </w:rPr>
              <w:instrText>tc "Query Results " \f C \l 2</w:instrText>
            </w:r>
            <w:r>
              <w:rPr>
                <w:sz w:val="24"/>
                <w:szCs w:val="24"/>
              </w:rPr>
              <w:fldChar w:fldCharType="end"/>
            </w:r>
            <w:r>
              <w:rPr>
                <w:rFonts w:ascii="Times" w:hAnsi="Times" w:cs="Times"/>
                <w:b/>
                <w:bCs/>
                <w:color w:val="000000"/>
                <w:sz w:val="22"/>
              </w:rPr>
              <w:t>Lægemiddel</w:t>
            </w:r>
          </w:p>
        </w:tc>
        <w:tc>
          <w:tcPr>
            <w:tcW w:w="1135" w:type="dxa"/>
            <w:tcBorders>
              <w:top w:val="single" w:sz="6" w:space="0" w:color="000000"/>
              <w:left w:val="single" w:sz="2" w:space="0" w:color="000000"/>
              <w:bottom w:val="single" w:sz="2" w:space="0" w:color="000000"/>
              <w:right w:val="nil"/>
            </w:tcBorders>
            <w:shd w:val="clear" w:color="auto" w:fill="BBBBBB"/>
            <w:vAlign w:val="bottom"/>
          </w:tcPr>
          <w:p w:rsidR="00CA0563" w:rsidRDefault="00CA0563" w:rsidP="004D29E9">
            <w:pPr>
              <w:keepNext/>
              <w:adjustRightInd w:val="0"/>
              <w:spacing w:before="60" w:after="60"/>
              <w:rPr>
                <w:rFonts w:ascii="Times" w:hAnsi="Times" w:cs="Times"/>
                <w:b/>
                <w:bCs/>
                <w:color w:val="000000"/>
                <w:sz w:val="22"/>
              </w:rPr>
            </w:pPr>
            <w:r>
              <w:rPr>
                <w:rFonts w:ascii="Times" w:hAnsi="Times" w:cs="Times"/>
                <w:b/>
                <w:bCs/>
                <w:color w:val="000000"/>
                <w:sz w:val="22"/>
              </w:rPr>
              <w:t>ATC-kode</w:t>
            </w:r>
          </w:p>
        </w:tc>
        <w:tc>
          <w:tcPr>
            <w:tcW w:w="972" w:type="dxa"/>
            <w:tcBorders>
              <w:top w:val="single" w:sz="6" w:space="0" w:color="000000"/>
              <w:left w:val="single" w:sz="2" w:space="0" w:color="000000"/>
              <w:bottom w:val="single" w:sz="2" w:space="0" w:color="000000"/>
              <w:right w:val="nil"/>
            </w:tcBorders>
            <w:shd w:val="clear" w:color="auto" w:fill="BBBBBB"/>
            <w:vAlign w:val="bottom"/>
          </w:tcPr>
          <w:p w:rsidR="00CA0563" w:rsidRDefault="00CA0563" w:rsidP="004D29E9">
            <w:pPr>
              <w:keepNext/>
              <w:adjustRightInd w:val="0"/>
              <w:spacing w:before="60" w:after="60"/>
              <w:jc w:val="right"/>
              <w:rPr>
                <w:rFonts w:ascii="Times" w:hAnsi="Times" w:cs="Times"/>
                <w:b/>
                <w:bCs/>
                <w:color w:val="000000"/>
                <w:sz w:val="22"/>
              </w:rPr>
            </w:pPr>
            <w:r>
              <w:rPr>
                <w:rFonts w:ascii="Times" w:hAnsi="Times" w:cs="Times"/>
                <w:b/>
                <w:bCs/>
                <w:color w:val="000000"/>
                <w:sz w:val="22"/>
              </w:rPr>
              <w:t>Antal personer</w:t>
            </w:r>
          </w:p>
        </w:tc>
        <w:tc>
          <w:tcPr>
            <w:tcW w:w="1935" w:type="dxa"/>
            <w:tcBorders>
              <w:top w:val="single" w:sz="6" w:space="0" w:color="000000"/>
              <w:left w:val="single" w:sz="2" w:space="0" w:color="000000"/>
              <w:bottom w:val="single" w:sz="2" w:space="0" w:color="000000"/>
              <w:right w:val="single" w:sz="6" w:space="0" w:color="000000"/>
            </w:tcBorders>
            <w:shd w:val="clear" w:color="auto" w:fill="BBBBBB"/>
            <w:vAlign w:val="bottom"/>
          </w:tcPr>
          <w:p w:rsidR="00CA0563" w:rsidRDefault="00CA0563" w:rsidP="004D29E9">
            <w:pPr>
              <w:keepNext/>
              <w:adjustRightInd w:val="0"/>
              <w:spacing w:before="60" w:after="60"/>
              <w:jc w:val="right"/>
              <w:rPr>
                <w:rFonts w:ascii="Times" w:hAnsi="Times" w:cs="Times"/>
                <w:b/>
                <w:bCs/>
                <w:color w:val="000000"/>
                <w:sz w:val="22"/>
              </w:rPr>
            </w:pPr>
            <w:r>
              <w:rPr>
                <w:rFonts w:ascii="Times" w:hAnsi="Times" w:cs="Times"/>
                <w:b/>
                <w:bCs/>
                <w:color w:val="000000"/>
                <w:sz w:val="22"/>
              </w:rPr>
              <w:t>Antal receptindløsninger</w:t>
            </w:r>
          </w:p>
        </w:tc>
      </w:tr>
      <w:tr w:rsidR="00CA0563" w:rsidTr="00362924">
        <w:trPr>
          <w:cantSplit/>
          <w:trHeight w:val="388"/>
          <w:jc w:val="center"/>
        </w:trPr>
        <w:tc>
          <w:tcPr>
            <w:tcW w:w="3296" w:type="dxa"/>
            <w:tcBorders>
              <w:top w:val="nil"/>
              <w:left w:val="single" w:sz="6" w:space="0" w:color="000000"/>
              <w:bottom w:val="single" w:sz="2" w:space="0" w:color="000000"/>
              <w:right w:val="nil"/>
            </w:tcBorders>
          </w:tcPr>
          <w:p w:rsidR="00CA0563" w:rsidRDefault="00CA0563" w:rsidP="004D29E9">
            <w:pPr>
              <w:keepNext/>
              <w:adjustRightInd w:val="0"/>
              <w:spacing w:before="60" w:after="60"/>
              <w:rPr>
                <w:rFonts w:ascii="Times" w:hAnsi="Times" w:cs="Times"/>
                <w:color w:val="000000"/>
              </w:rPr>
            </w:pPr>
            <w:r>
              <w:rPr>
                <w:rFonts w:ascii="Times" w:hAnsi="Times" w:cs="Times"/>
                <w:color w:val="000000"/>
              </w:rPr>
              <w:t>Methotrexat</w:t>
            </w:r>
          </w:p>
        </w:tc>
        <w:tc>
          <w:tcPr>
            <w:tcW w:w="1135" w:type="dxa"/>
            <w:tcBorders>
              <w:top w:val="nil"/>
              <w:left w:val="single" w:sz="2" w:space="0" w:color="000000"/>
              <w:bottom w:val="single" w:sz="2" w:space="0" w:color="000000"/>
              <w:right w:val="nil"/>
            </w:tcBorders>
          </w:tcPr>
          <w:p w:rsidR="00CA0563" w:rsidRDefault="00CA0563" w:rsidP="004D29E9">
            <w:pPr>
              <w:keepNext/>
              <w:adjustRightInd w:val="0"/>
              <w:spacing w:before="60" w:after="60"/>
              <w:rPr>
                <w:rFonts w:ascii="Times" w:hAnsi="Times" w:cs="Times"/>
                <w:color w:val="000000"/>
              </w:rPr>
            </w:pPr>
            <w:r>
              <w:rPr>
                <w:rFonts w:ascii="Times" w:hAnsi="Times" w:cs="Times"/>
                <w:color w:val="000000"/>
              </w:rPr>
              <w:t>L04AX03</w:t>
            </w:r>
          </w:p>
        </w:tc>
        <w:tc>
          <w:tcPr>
            <w:tcW w:w="972" w:type="dxa"/>
            <w:tcBorders>
              <w:top w:val="nil"/>
              <w:left w:val="single" w:sz="2" w:space="0" w:color="000000"/>
              <w:bottom w:val="single" w:sz="2" w:space="0" w:color="000000"/>
              <w:right w:val="nil"/>
            </w:tcBorders>
          </w:tcPr>
          <w:p w:rsidR="00CA0563" w:rsidRDefault="00CA0563" w:rsidP="004D29E9">
            <w:pPr>
              <w:keepNext/>
              <w:adjustRightInd w:val="0"/>
              <w:spacing w:before="60" w:after="60"/>
              <w:jc w:val="right"/>
              <w:rPr>
                <w:rFonts w:ascii="Times" w:hAnsi="Times" w:cs="Times"/>
                <w:color w:val="000000"/>
              </w:rPr>
            </w:pPr>
            <w:r>
              <w:rPr>
                <w:rFonts w:ascii="Times" w:hAnsi="Times" w:cs="Times"/>
                <w:color w:val="000000"/>
              </w:rPr>
              <w:t>23.352</w:t>
            </w:r>
          </w:p>
        </w:tc>
        <w:tc>
          <w:tcPr>
            <w:tcW w:w="1935" w:type="dxa"/>
            <w:tcBorders>
              <w:top w:val="nil"/>
              <w:left w:val="single" w:sz="2" w:space="0" w:color="000000"/>
              <w:bottom w:val="single" w:sz="2" w:space="0" w:color="000000"/>
              <w:right w:val="single" w:sz="6" w:space="0" w:color="000000"/>
            </w:tcBorders>
          </w:tcPr>
          <w:p w:rsidR="00CA0563" w:rsidRDefault="00CA0563" w:rsidP="004D29E9">
            <w:pPr>
              <w:keepNext/>
              <w:adjustRightInd w:val="0"/>
              <w:spacing w:before="60" w:after="60"/>
              <w:jc w:val="right"/>
              <w:rPr>
                <w:rFonts w:ascii="Times" w:hAnsi="Times" w:cs="Times"/>
                <w:color w:val="000000"/>
              </w:rPr>
            </w:pPr>
            <w:r>
              <w:rPr>
                <w:rFonts w:ascii="Times" w:hAnsi="Times" w:cs="Times"/>
                <w:color w:val="000000"/>
              </w:rPr>
              <w:t>182.136</w:t>
            </w:r>
          </w:p>
        </w:tc>
      </w:tr>
      <w:tr w:rsidR="00CA0563" w:rsidTr="00362924">
        <w:trPr>
          <w:cantSplit/>
          <w:trHeight w:val="388"/>
          <w:jc w:val="center"/>
        </w:trPr>
        <w:tc>
          <w:tcPr>
            <w:tcW w:w="3296" w:type="dxa"/>
            <w:tcBorders>
              <w:top w:val="nil"/>
              <w:left w:val="single" w:sz="6" w:space="0" w:color="000000"/>
              <w:bottom w:val="single" w:sz="2" w:space="0" w:color="000000"/>
              <w:right w:val="nil"/>
            </w:tcBorders>
          </w:tcPr>
          <w:p w:rsidR="00CA0563" w:rsidRDefault="00CA0563" w:rsidP="004D29E9">
            <w:pPr>
              <w:keepNext/>
              <w:adjustRightInd w:val="0"/>
              <w:spacing w:before="60" w:after="60"/>
              <w:rPr>
                <w:rFonts w:ascii="Times" w:hAnsi="Times" w:cs="Times"/>
                <w:color w:val="000000"/>
              </w:rPr>
            </w:pPr>
            <w:r>
              <w:rPr>
                <w:rFonts w:ascii="Times" w:hAnsi="Times" w:cs="Times"/>
                <w:color w:val="000000"/>
              </w:rPr>
              <w:t>Sulfasalazin</w:t>
            </w:r>
          </w:p>
        </w:tc>
        <w:tc>
          <w:tcPr>
            <w:tcW w:w="1135" w:type="dxa"/>
            <w:tcBorders>
              <w:top w:val="nil"/>
              <w:left w:val="single" w:sz="2" w:space="0" w:color="000000"/>
              <w:bottom w:val="single" w:sz="2" w:space="0" w:color="000000"/>
              <w:right w:val="nil"/>
            </w:tcBorders>
          </w:tcPr>
          <w:p w:rsidR="00CA0563" w:rsidRDefault="00CA0563" w:rsidP="004D29E9">
            <w:pPr>
              <w:keepNext/>
              <w:adjustRightInd w:val="0"/>
              <w:spacing w:before="60" w:after="60"/>
              <w:rPr>
                <w:rFonts w:ascii="Times" w:hAnsi="Times" w:cs="Times"/>
                <w:color w:val="000000"/>
              </w:rPr>
            </w:pPr>
            <w:r>
              <w:rPr>
                <w:rFonts w:ascii="Times" w:hAnsi="Times" w:cs="Times"/>
                <w:color w:val="000000"/>
              </w:rPr>
              <w:t>A07EC01</w:t>
            </w:r>
          </w:p>
        </w:tc>
        <w:tc>
          <w:tcPr>
            <w:tcW w:w="972" w:type="dxa"/>
            <w:tcBorders>
              <w:top w:val="nil"/>
              <w:left w:val="single" w:sz="2" w:space="0" w:color="000000"/>
              <w:bottom w:val="single" w:sz="2" w:space="0" w:color="000000"/>
              <w:right w:val="nil"/>
            </w:tcBorders>
          </w:tcPr>
          <w:p w:rsidR="00CA0563" w:rsidRDefault="00CA0563" w:rsidP="004D29E9">
            <w:pPr>
              <w:keepNext/>
              <w:adjustRightInd w:val="0"/>
              <w:spacing w:before="60" w:after="60"/>
              <w:jc w:val="right"/>
              <w:rPr>
                <w:rFonts w:ascii="Times" w:hAnsi="Times" w:cs="Times"/>
                <w:color w:val="000000"/>
              </w:rPr>
            </w:pPr>
            <w:r>
              <w:rPr>
                <w:rFonts w:ascii="Times" w:hAnsi="Times" w:cs="Times"/>
                <w:color w:val="000000"/>
              </w:rPr>
              <w:t>15.131</w:t>
            </w:r>
          </w:p>
        </w:tc>
        <w:tc>
          <w:tcPr>
            <w:tcW w:w="1935" w:type="dxa"/>
            <w:tcBorders>
              <w:top w:val="nil"/>
              <w:left w:val="single" w:sz="2" w:space="0" w:color="000000"/>
              <w:bottom w:val="single" w:sz="2" w:space="0" w:color="000000"/>
              <w:right w:val="single" w:sz="6" w:space="0" w:color="000000"/>
            </w:tcBorders>
          </w:tcPr>
          <w:p w:rsidR="00CA0563" w:rsidRDefault="00CA0563" w:rsidP="004D29E9">
            <w:pPr>
              <w:keepNext/>
              <w:adjustRightInd w:val="0"/>
              <w:spacing w:before="60" w:after="60"/>
              <w:jc w:val="right"/>
              <w:rPr>
                <w:rFonts w:ascii="Times" w:hAnsi="Times" w:cs="Times"/>
                <w:color w:val="000000"/>
              </w:rPr>
            </w:pPr>
            <w:r>
              <w:rPr>
                <w:rFonts w:ascii="Times" w:hAnsi="Times" w:cs="Times"/>
                <w:color w:val="000000"/>
              </w:rPr>
              <w:t>209.541</w:t>
            </w:r>
          </w:p>
        </w:tc>
      </w:tr>
      <w:tr w:rsidR="00CA0563" w:rsidTr="00362924">
        <w:trPr>
          <w:cantSplit/>
          <w:trHeight w:val="388"/>
          <w:jc w:val="center"/>
        </w:trPr>
        <w:tc>
          <w:tcPr>
            <w:tcW w:w="3296" w:type="dxa"/>
            <w:tcBorders>
              <w:top w:val="nil"/>
              <w:left w:val="single" w:sz="6" w:space="0" w:color="000000"/>
              <w:bottom w:val="single" w:sz="2" w:space="0" w:color="000000"/>
              <w:right w:val="nil"/>
            </w:tcBorders>
          </w:tcPr>
          <w:p w:rsidR="00CA0563" w:rsidRDefault="00CA0563" w:rsidP="004D29E9">
            <w:pPr>
              <w:adjustRightInd w:val="0"/>
              <w:spacing w:before="60" w:after="60"/>
              <w:rPr>
                <w:rFonts w:ascii="Times" w:hAnsi="Times" w:cs="Times"/>
                <w:color w:val="000000"/>
              </w:rPr>
            </w:pPr>
            <w:r>
              <w:rPr>
                <w:rFonts w:ascii="Times" w:hAnsi="Times" w:cs="Times"/>
                <w:color w:val="000000"/>
              </w:rPr>
              <w:t>Hydroxychloroquin</w:t>
            </w:r>
          </w:p>
        </w:tc>
        <w:tc>
          <w:tcPr>
            <w:tcW w:w="1135" w:type="dxa"/>
            <w:tcBorders>
              <w:top w:val="nil"/>
              <w:left w:val="single" w:sz="2" w:space="0" w:color="000000"/>
              <w:bottom w:val="single" w:sz="2" w:space="0" w:color="000000"/>
              <w:right w:val="nil"/>
            </w:tcBorders>
          </w:tcPr>
          <w:p w:rsidR="00CA0563" w:rsidRDefault="00CA0563" w:rsidP="004D29E9">
            <w:pPr>
              <w:adjustRightInd w:val="0"/>
              <w:spacing w:before="60" w:after="60"/>
              <w:rPr>
                <w:rFonts w:ascii="Times" w:hAnsi="Times" w:cs="Times"/>
                <w:color w:val="000000"/>
              </w:rPr>
            </w:pPr>
            <w:r>
              <w:rPr>
                <w:rFonts w:ascii="Times" w:hAnsi="Times" w:cs="Times"/>
                <w:color w:val="000000"/>
              </w:rPr>
              <w:t>P01BA02</w:t>
            </w:r>
          </w:p>
        </w:tc>
        <w:tc>
          <w:tcPr>
            <w:tcW w:w="972" w:type="dxa"/>
            <w:tcBorders>
              <w:top w:val="nil"/>
              <w:left w:val="single" w:sz="2" w:space="0" w:color="000000"/>
              <w:bottom w:val="single" w:sz="2" w:space="0" w:color="000000"/>
              <w:right w:val="nil"/>
            </w:tcBorders>
          </w:tcPr>
          <w:p w:rsidR="00CA0563" w:rsidRDefault="00CA0563" w:rsidP="004D29E9">
            <w:pPr>
              <w:adjustRightInd w:val="0"/>
              <w:spacing w:before="60" w:after="60"/>
              <w:jc w:val="right"/>
              <w:rPr>
                <w:rFonts w:ascii="Times" w:hAnsi="Times" w:cs="Times"/>
                <w:color w:val="000000"/>
              </w:rPr>
            </w:pPr>
            <w:r>
              <w:rPr>
                <w:rFonts w:ascii="Times" w:hAnsi="Times" w:cs="Times"/>
                <w:color w:val="000000"/>
              </w:rPr>
              <w:t>7.550</w:t>
            </w:r>
          </w:p>
        </w:tc>
        <w:tc>
          <w:tcPr>
            <w:tcW w:w="1935" w:type="dxa"/>
            <w:tcBorders>
              <w:top w:val="nil"/>
              <w:left w:val="single" w:sz="2" w:space="0" w:color="000000"/>
              <w:bottom w:val="single" w:sz="2" w:space="0" w:color="000000"/>
              <w:right w:val="single" w:sz="6" w:space="0" w:color="000000"/>
            </w:tcBorders>
          </w:tcPr>
          <w:p w:rsidR="00CA0563" w:rsidRDefault="00CA0563" w:rsidP="004D29E9">
            <w:pPr>
              <w:adjustRightInd w:val="0"/>
              <w:spacing w:before="60" w:after="60"/>
              <w:jc w:val="right"/>
              <w:rPr>
                <w:rFonts w:ascii="Times" w:hAnsi="Times" w:cs="Times"/>
                <w:color w:val="000000"/>
              </w:rPr>
            </w:pPr>
            <w:r>
              <w:rPr>
                <w:rFonts w:ascii="Times" w:hAnsi="Times" w:cs="Times"/>
                <w:color w:val="000000"/>
              </w:rPr>
              <w:t>68.015</w:t>
            </w:r>
          </w:p>
        </w:tc>
      </w:tr>
      <w:tr w:rsidR="00CA0563" w:rsidTr="00362924">
        <w:trPr>
          <w:cantSplit/>
          <w:trHeight w:val="388"/>
          <w:jc w:val="center"/>
        </w:trPr>
        <w:tc>
          <w:tcPr>
            <w:tcW w:w="3296" w:type="dxa"/>
            <w:tcBorders>
              <w:top w:val="nil"/>
              <w:left w:val="single" w:sz="6" w:space="0" w:color="000000"/>
              <w:bottom w:val="single" w:sz="2" w:space="0" w:color="000000"/>
              <w:right w:val="nil"/>
            </w:tcBorders>
          </w:tcPr>
          <w:p w:rsidR="00CA0563" w:rsidRDefault="00CA0563" w:rsidP="004D29E9">
            <w:pPr>
              <w:adjustRightInd w:val="0"/>
              <w:spacing w:before="60" w:after="60"/>
              <w:rPr>
                <w:rFonts w:ascii="Times" w:hAnsi="Times" w:cs="Times"/>
                <w:color w:val="000000"/>
              </w:rPr>
            </w:pPr>
            <w:r>
              <w:rPr>
                <w:rFonts w:ascii="Times" w:hAnsi="Times" w:cs="Times"/>
                <w:color w:val="000000"/>
              </w:rPr>
              <w:t>Azathioprin</w:t>
            </w:r>
          </w:p>
        </w:tc>
        <w:tc>
          <w:tcPr>
            <w:tcW w:w="1135" w:type="dxa"/>
            <w:tcBorders>
              <w:top w:val="nil"/>
              <w:left w:val="single" w:sz="2" w:space="0" w:color="000000"/>
              <w:bottom w:val="single" w:sz="2" w:space="0" w:color="000000"/>
              <w:right w:val="nil"/>
            </w:tcBorders>
          </w:tcPr>
          <w:p w:rsidR="00CA0563" w:rsidRDefault="00CA0563" w:rsidP="004D29E9">
            <w:pPr>
              <w:adjustRightInd w:val="0"/>
              <w:spacing w:before="60" w:after="60"/>
              <w:rPr>
                <w:rFonts w:ascii="Times" w:hAnsi="Times" w:cs="Times"/>
                <w:color w:val="000000"/>
              </w:rPr>
            </w:pPr>
            <w:r>
              <w:rPr>
                <w:rFonts w:ascii="Times" w:hAnsi="Times" w:cs="Times"/>
                <w:color w:val="000000"/>
              </w:rPr>
              <w:t>L04AX01</w:t>
            </w:r>
          </w:p>
        </w:tc>
        <w:tc>
          <w:tcPr>
            <w:tcW w:w="972" w:type="dxa"/>
            <w:tcBorders>
              <w:top w:val="nil"/>
              <w:left w:val="single" w:sz="2" w:space="0" w:color="000000"/>
              <w:bottom w:val="single" w:sz="2" w:space="0" w:color="000000"/>
              <w:right w:val="nil"/>
            </w:tcBorders>
          </w:tcPr>
          <w:p w:rsidR="00CA0563" w:rsidRDefault="00CA0563" w:rsidP="004D29E9">
            <w:pPr>
              <w:adjustRightInd w:val="0"/>
              <w:spacing w:before="60" w:after="60"/>
              <w:jc w:val="right"/>
              <w:rPr>
                <w:rFonts w:ascii="Times" w:hAnsi="Times" w:cs="Times"/>
                <w:color w:val="000000"/>
              </w:rPr>
            </w:pPr>
            <w:r>
              <w:rPr>
                <w:rFonts w:ascii="Times" w:hAnsi="Times" w:cs="Times"/>
                <w:color w:val="000000"/>
              </w:rPr>
              <w:t>2.928</w:t>
            </w:r>
          </w:p>
        </w:tc>
        <w:tc>
          <w:tcPr>
            <w:tcW w:w="1935" w:type="dxa"/>
            <w:tcBorders>
              <w:top w:val="nil"/>
              <w:left w:val="single" w:sz="2" w:space="0" w:color="000000"/>
              <w:bottom w:val="single" w:sz="2" w:space="0" w:color="000000"/>
              <w:right w:val="single" w:sz="6" w:space="0" w:color="000000"/>
            </w:tcBorders>
          </w:tcPr>
          <w:p w:rsidR="00CA0563" w:rsidRDefault="00CA0563" w:rsidP="004D29E9">
            <w:pPr>
              <w:adjustRightInd w:val="0"/>
              <w:spacing w:before="60" w:after="60"/>
              <w:jc w:val="right"/>
              <w:rPr>
                <w:rFonts w:ascii="Times" w:hAnsi="Times" w:cs="Times"/>
                <w:color w:val="000000"/>
              </w:rPr>
            </w:pPr>
            <w:r>
              <w:rPr>
                <w:rFonts w:ascii="Times" w:hAnsi="Times" w:cs="Times"/>
                <w:color w:val="000000"/>
              </w:rPr>
              <w:t>33.951</w:t>
            </w:r>
          </w:p>
        </w:tc>
      </w:tr>
      <w:tr w:rsidR="00CA0563" w:rsidTr="00362924">
        <w:trPr>
          <w:cantSplit/>
          <w:trHeight w:val="388"/>
          <w:jc w:val="center"/>
        </w:trPr>
        <w:tc>
          <w:tcPr>
            <w:tcW w:w="3296" w:type="dxa"/>
            <w:tcBorders>
              <w:top w:val="nil"/>
              <w:left w:val="single" w:sz="6" w:space="0" w:color="000000"/>
              <w:bottom w:val="single" w:sz="2" w:space="0" w:color="000000"/>
              <w:right w:val="nil"/>
            </w:tcBorders>
          </w:tcPr>
          <w:p w:rsidR="00CA0563" w:rsidRDefault="00CA0563" w:rsidP="004D29E9">
            <w:pPr>
              <w:adjustRightInd w:val="0"/>
              <w:spacing w:before="60" w:after="60"/>
              <w:rPr>
                <w:rFonts w:ascii="Times" w:hAnsi="Times" w:cs="Times"/>
                <w:color w:val="000000"/>
              </w:rPr>
            </w:pPr>
            <w:r>
              <w:rPr>
                <w:rFonts w:ascii="Times" w:hAnsi="Times" w:cs="Times"/>
                <w:color w:val="000000"/>
              </w:rPr>
              <w:t>Leflunomid</w:t>
            </w:r>
          </w:p>
        </w:tc>
        <w:tc>
          <w:tcPr>
            <w:tcW w:w="1135" w:type="dxa"/>
            <w:tcBorders>
              <w:top w:val="nil"/>
              <w:left w:val="single" w:sz="2" w:space="0" w:color="000000"/>
              <w:bottom w:val="single" w:sz="2" w:space="0" w:color="000000"/>
              <w:right w:val="nil"/>
            </w:tcBorders>
          </w:tcPr>
          <w:p w:rsidR="00CA0563" w:rsidRDefault="00CA0563" w:rsidP="004D29E9">
            <w:pPr>
              <w:adjustRightInd w:val="0"/>
              <w:spacing w:before="60" w:after="60"/>
              <w:rPr>
                <w:rFonts w:ascii="Times" w:hAnsi="Times" w:cs="Times"/>
                <w:color w:val="000000"/>
              </w:rPr>
            </w:pPr>
            <w:r>
              <w:rPr>
                <w:rFonts w:ascii="Times" w:hAnsi="Times" w:cs="Times"/>
                <w:color w:val="000000"/>
              </w:rPr>
              <w:t>L04AA13</w:t>
            </w:r>
          </w:p>
        </w:tc>
        <w:tc>
          <w:tcPr>
            <w:tcW w:w="972" w:type="dxa"/>
            <w:tcBorders>
              <w:top w:val="nil"/>
              <w:left w:val="single" w:sz="2" w:space="0" w:color="000000"/>
              <w:bottom w:val="single" w:sz="2" w:space="0" w:color="000000"/>
              <w:right w:val="nil"/>
            </w:tcBorders>
          </w:tcPr>
          <w:p w:rsidR="00CA0563" w:rsidRDefault="00CA0563" w:rsidP="004D29E9">
            <w:pPr>
              <w:adjustRightInd w:val="0"/>
              <w:spacing w:before="60" w:after="60"/>
              <w:jc w:val="right"/>
              <w:rPr>
                <w:rFonts w:ascii="Times" w:hAnsi="Times" w:cs="Times"/>
                <w:color w:val="000000"/>
              </w:rPr>
            </w:pPr>
            <w:r>
              <w:rPr>
                <w:rFonts w:ascii="Times" w:hAnsi="Times" w:cs="Times"/>
                <w:color w:val="000000"/>
              </w:rPr>
              <w:t>504</w:t>
            </w:r>
          </w:p>
        </w:tc>
        <w:tc>
          <w:tcPr>
            <w:tcW w:w="1935" w:type="dxa"/>
            <w:tcBorders>
              <w:top w:val="nil"/>
              <w:left w:val="single" w:sz="2" w:space="0" w:color="000000"/>
              <w:bottom w:val="single" w:sz="2" w:space="0" w:color="000000"/>
              <w:right w:val="single" w:sz="6" w:space="0" w:color="000000"/>
            </w:tcBorders>
          </w:tcPr>
          <w:p w:rsidR="00CA0563" w:rsidRDefault="00CA0563" w:rsidP="004D29E9">
            <w:pPr>
              <w:adjustRightInd w:val="0"/>
              <w:spacing w:before="60" w:after="60"/>
              <w:jc w:val="right"/>
              <w:rPr>
                <w:rFonts w:ascii="Times" w:hAnsi="Times" w:cs="Times"/>
                <w:color w:val="000000"/>
              </w:rPr>
            </w:pPr>
            <w:r>
              <w:rPr>
                <w:rFonts w:ascii="Times" w:hAnsi="Times" w:cs="Times"/>
                <w:color w:val="000000"/>
              </w:rPr>
              <w:t>2.765</w:t>
            </w:r>
          </w:p>
        </w:tc>
      </w:tr>
      <w:tr w:rsidR="00CA0563" w:rsidTr="00362924">
        <w:trPr>
          <w:cantSplit/>
          <w:trHeight w:val="388"/>
          <w:jc w:val="center"/>
        </w:trPr>
        <w:tc>
          <w:tcPr>
            <w:tcW w:w="3296" w:type="dxa"/>
            <w:tcBorders>
              <w:top w:val="nil"/>
              <w:left w:val="single" w:sz="6" w:space="0" w:color="000000"/>
              <w:bottom w:val="single" w:sz="2" w:space="0" w:color="000000"/>
              <w:right w:val="nil"/>
            </w:tcBorders>
          </w:tcPr>
          <w:p w:rsidR="00CA0563" w:rsidRDefault="00CA0563" w:rsidP="004D29E9">
            <w:pPr>
              <w:adjustRightInd w:val="0"/>
              <w:spacing w:before="60" w:after="60"/>
              <w:rPr>
                <w:rFonts w:ascii="Times" w:hAnsi="Times" w:cs="Times"/>
                <w:color w:val="000000"/>
              </w:rPr>
            </w:pPr>
            <w:r>
              <w:rPr>
                <w:rFonts w:ascii="Times" w:hAnsi="Times" w:cs="Times"/>
                <w:color w:val="000000"/>
              </w:rPr>
              <w:t>Chloroquin</w:t>
            </w:r>
          </w:p>
        </w:tc>
        <w:tc>
          <w:tcPr>
            <w:tcW w:w="1135" w:type="dxa"/>
            <w:tcBorders>
              <w:top w:val="nil"/>
              <w:left w:val="single" w:sz="2" w:space="0" w:color="000000"/>
              <w:bottom w:val="single" w:sz="2" w:space="0" w:color="000000"/>
              <w:right w:val="nil"/>
            </w:tcBorders>
          </w:tcPr>
          <w:p w:rsidR="00CA0563" w:rsidRDefault="00CA0563" w:rsidP="004D29E9">
            <w:pPr>
              <w:adjustRightInd w:val="0"/>
              <w:spacing w:before="60" w:after="60"/>
              <w:rPr>
                <w:rFonts w:ascii="Times" w:hAnsi="Times" w:cs="Times"/>
                <w:color w:val="000000"/>
              </w:rPr>
            </w:pPr>
            <w:r>
              <w:rPr>
                <w:rFonts w:ascii="Times" w:hAnsi="Times" w:cs="Times"/>
                <w:color w:val="000000"/>
              </w:rPr>
              <w:t>P01BA01</w:t>
            </w:r>
          </w:p>
        </w:tc>
        <w:tc>
          <w:tcPr>
            <w:tcW w:w="972" w:type="dxa"/>
            <w:tcBorders>
              <w:top w:val="nil"/>
              <w:left w:val="single" w:sz="2" w:space="0" w:color="000000"/>
              <w:bottom w:val="single" w:sz="2" w:space="0" w:color="000000"/>
              <w:right w:val="nil"/>
            </w:tcBorders>
          </w:tcPr>
          <w:p w:rsidR="00CA0563" w:rsidRDefault="00CA0563" w:rsidP="004D29E9">
            <w:pPr>
              <w:adjustRightInd w:val="0"/>
              <w:spacing w:before="60" w:after="60"/>
              <w:jc w:val="right"/>
              <w:rPr>
                <w:rFonts w:ascii="Times" w:hAnsi="Times" w:cs="Times"/>
                <w:color w:val="000000"/>
              </w:rPr>
            </w:pPr>
            <w:r>
              <w:rPr>
                <w:rFonts w:ascii="Times" w:hAnsi="Times" w:cs="Times"/>
                <w:color w:val="000000"/>
              </w:rPr>
              <w:t>434</w:t>
            </w:r>
          </w:p>
        </w:tc>
        <w:tc>
          <w:tcPr>
            <w:tcW w:w="1935" w:type="dxa"/>
            <w:tcBorders>
              <w:top w:val="nil"/>
              <w:left w:val="single" w:sz="2" w:space="0" w:color="000000"/>
              <w:bottom w:val="single" w:sz="2" w:space="0" w:color="000000"/>
              <w:right w:val="single" w:sz="6" w:space="0" w:color="000000"/>
            </w:tcBorders>
          </w:tcPr>
          <w:p w:rsidR="00CA0563" w:rsidRDefault="00CA0563" w:rsidP="004D29E9">
            <w:pPr>
              <w:adjustRightInd w:val="0"/>
              <w:spacing w:before="60" w:after="60"/>
              <w:jc w:val="right"/>
              <w:rPr>
                <w:rFonts w:ascii="Times" w:hAnsi="Times" w:cs="Times"/>
                <w:color w:val="000000"/>
              </w:rPr>
            </w:pPr>
            <w:r>
              <w:rPr>
                <w:rFonts w:ascii="Times" w:hAnsi="Times" w:cs="Times"/>
                <w:color w:val="000000"/>
              </w:rPr>
              <w:t>1.257</w:t>
            </w:r>
          </w:p>
        </w:tc>
      </w:tr>
      <w:tr w:rsidR="00CA0563" w:rsidTr="00362924">
        <w:trPr>
          <w:cantSplit/>
          <w:trHeight w:val="388"/>
          <w:jc w:val="center"/>
        </w:trPr>
        <w:tc>
          <w:tcPr>
            <w:tcW w:w="3296" w:type="dxa"/>
            <w:tcBorders>
              <w:top w:val="nil"/>
              <w:left w:val="single" w:sz="6" w:space="0" w:color="000000"/>
              <w:bottom w:val="single" w:sz="2" w:space="0" w:color="000000"/>
              <w:right w:val="nil"/>
            </w:tcBorders>
          </w:tcPr>
          <w:p w:rsidR="00CA0563" w:rsidRDefault="00CA0563" w:rsidP="004D29E9">
            <w:pPr>
              <w:adjustRightInd w:val="0"/>
              <w:spacing w:before="60" w:after="60"/>
              <w:rPr>
                <w:rFonts w:ascii="Times" w:hAnsi="Times" w:cs="Times"/>
                <w:color w:val="000000"/>
              </w:rPr>
            </w:pPr>
            <w:r>
              <w:rPr>
                <w:rFonts w:ascii="Times" w:hAnsi="Times" w:cs="Times"/>
                <w:color w:val="000000"/>
              </w:rPr>
              <w:t>Penicillamin</w:t>
            </w:r>
          </w:p>
        </w:tc>
        <w:tc>
          <w:tcPr>
            <w:tcW w:w="1135" w:type="dxa"/>
            <w:tcBorders>
              <w:top w:val="nil"/>
              <w:left w:val="single" w:sz="2" w:space="0" w:color="000000"/>
              <w:bottom w:val="single" w:sz="2" w:space="0" w:color="000000"/>
              <w:right w:val="nil"/>
            </w:tcBorders>
          </w:tcPr>
          <w:p w:rsidR="00CA0563" w:rsidRDefault="00CA0563" w:rsidP="004D29E9">
            <w:pPr>
              <w:adjustRightInd w:val="0"/>
              <w:spacing w:before="60" w:after="60"/>
              <w:rPr>
                <w:rFonts w:ascii="Times" w:hAnsi="Times" w:cs="Times"/>
                <w:color w:val="000000"/>
              </w:rPr>
            </w:pPr>
            <w:r>
              <w:rPr>
                <w:rFonts w:ascii="Times" w:hAnsi="Times" w:cs="Times"/>
                <w:color w:val="000000"/>
              </w:rPr>
              <w:t>M01CC01</w:t>
            </w:r>
          </w:p>
        </w:tc>
        <w:tc>
          <w:tcPr>
            <w:tcW w:w="972" w:type="dxa"/>
            <w:tcBorders>
              <w:top w:val="nil"/>
              <w:left w:val="single" w:sz="2" w:space="0" w:color="000000"/>
              <w:bottom w:val="single" w:sz="2" w:space="0" w:color="000000"/>
              <w:right w:val="nil"/>
            </w:tcBorders>
          </w:tcPr>
          <w:p w:rsidR="00CA0563" w:rsidRDefault="00CA0563" w:rsidP="004D29E9">
            <w:pPr>
              <w:adjustRightInd w:val="0"/>
              <w:spacing w:before="60" w:after="60"/>
              <w:jc w:val="right"/>
              <w:rPr>
                <w:rFonts w:ascii="Times" w:hAnsi="Times" w:cs="Times"/>
                <w:color w:val="000000"/>
              </w:rPr>
            </w:pPr>
            <w:r>
              <w:rPr>
                <w:rFonts w:ascii="Times" w:hAnsi="Times" w:cs="Times"/>
                <w:color w:val="000000"/>
              </w:rPr>
              <w:t>337</w:t>
            </w:r>
          </w:p>
        </w:tc>
        <w:tc>
          <w:tcPr>
            <w:tcW w:w="1935" w:type="dxa"/>
            <w:tcBorders>
              <w:top w:val="nil"/>
              <w:left w:val="single" w:sz="2" w:space="0" w:color="000000"/>
              <w:bottom w:val="single" w:sz="2" w:space="0" w:color="000000"/>
              <w:right w:val="single" w:sz="6" w:space="0" w:color="000000"/>
            </w:tcBorders>
          </w:tcPr>
          <w:p w:rsidR="00CA0563" w:rsidRDefault="00CA0563" w:rsidP="004D29E9">
            <w:pPr>
              <w:adjustRightInd w:val="0"/>
              <w:spacing w:before="60" w:after="60"/>
              <w:jc w:val="right"/>
              <w:rPr>
                <w:rFonts w:ascii="Times" w:hAnsi="Times" w:cs="Times"/>
                <w:color w:val="000000"/>
              </w:rPr>
            </w:pPr>
            <w:r>
              <w:rPr>
                <w:rFonts w:ascii="Times" w:hAnsi="Times" w:cs="Times"/>
                <w:color w:val="000000"/>
              </w:rPr>
              <w:t>3.568</w:t>
            </w:r>
          </w:p>
        </w:tc>
      </w:tr>
      <w:tr w:rsidR="00CA0563" w:rsidTr="00362924">
        <w:trPr>
          <w:cantSplit/>
          <w:trHeight w:val="388"/>
          <w:jc w:val="center"/>
        </w:trPr>
        <w:tc>
          <w:tcPr>
            <w:tcW w:w="3296" w:type="dxa"/>
            <w:tcBorders>
              <w:top w:val="nil"/>
              <w:left w:val="single" w:sz="6" w:space="0" w:color="000000"/>
              <w:bottom w:val="single" w:sz="2" w:space="0" w:color="000000"/>
              <w:right w:val="nil"/>
            </w:tcBorders>
          </w:tcPr>
          <w:p w:rsidR="00CA0563" w:rsidRDefault="00CA0563" w:rsidP="004D29E9">
            <w:pPr>
              <w:adjustRightInd w:val="0"/>
              <w:spacing w:before="60" w:after="60"/>
              <w:rPr>
                <w:rFonts w:ascii="Times" w:hAnsi="Times" w:cs="Times"/>
                <w:color w:val="000000"/>
              </w:rPr>
            </w:pPr>
            <w:r>
              <w:rPr>
                <w:rFonts w:ascii="Times" w:hAnsi="Times" w:cs="Times"/>
                <w:color w:val="000000"/>
              </w:rPr>
              <w:t>Methotrexat</w:t>
            </w:r>
          </w:p>
        </w:tc>
        <w:tc>
          <w:tcPr>
            <w:tcW w:w="1135" w:type="dxa"/>
            <w:tcBorders>
              <w:top w:val="nil"/>
              <w:left w:val="single" w:sz="2" w:space="0" w:color="000000"/>
              <w:bottom w:val="single" w:sz="2" w:space="0" w:color="000000"/>
              <w:right w:val="nil"/>
            </w:tcBorders>
          </w:tcPr>
          <w:p w:rsidR="00CA0563" w:rsidRDefault="00CA0563" w:rsidP="004D29E9">
            <w:pPr>
              <w:adjustRightInd w:val="0"/>
              <w:spacing w:before="60" w:after="60"/>
              <w:rPr>
                <w:rFonts w:ascii="Times" w:hAnsi="Times" w:cs="Times"/>
                <w:color w:val="000000"/>
              </w:rPr>
            </w:pPr>
            <w:r>
              <w:rPr>
                <w:rFonts w:ascii="Times" w:hAnsi="Times" w:cs="Times"/>
                <w:color w:val="000000"/>
              </w:rPr>
              <w:t>L01BA01</w:t>
            </w:r>
          </w:p>
        </w:tc>
        <w:tc>
          <w:tcPr>
            <w:tcW w:w="972" w:type="dxa"/>
            <w:tcBorders>
              <w:top w:val="nil"/>
              <w:left w:val="single" w:sz="2" w:space="0" w:color="000000"/>
              <w:bottom w:val="single" w:sz="2" w:space="0" w:color="000000"/>
              <w:right w:val="nil"/>
            </w:tcBorders>
          </w:tcPr>
          <w:p w:rsidR="00CA0563" w:rsidRDefault="00CA0563" w:rsidP="004D29E9">
            <w:pPr>
              <w:adjustRightInd w:val="0"/>
              <w:spacing w:before="60" w:after="60"/>
              <w:jc w:val="right"/>
              <w:rPr>
                <w:rFonts w:ascii="Times" w:hAnsi="Times" w:cs="Times"/>
                <w:color w:val="000000"/>
              </w:rPr>
            </w:pPr>
            <w:r>
              <w:rPr>
                <w:rFonts w:ascii="Times" w:hAnsi="Times" w:cs="Times"/>
                <w:color w:val="000000"/>
              </w:rPr>
              <w:t>321</w:t>
            </w:r>
          </w:p>
        </w:tc>
        <w:tc>
          <w:tcPr>
            <w:tcW w:w="1935" w:type="dxa"/>
            <w:tcBorders>
              <w:top w:val="nil"/>
              <w:left w:val="single" w:sz="2" w:space="0" w:color="000000"/>
              <w:bottom w:val="single" w:sz="2" w:space="0" w:color="000000"/>
              <w:right w:val="single" w:sz="6" w:space="0" w:color="000000"/>
            </w:tcBorders>
          </w:tcPr>
          <w:p w:rsidR="00CA0563" w:rsidRDefault="00CA0563" w:rsidP="004D29E9">
            <w:pPr>
              <w:adjustRightInd w:val="0"/>
              <w:spacing w:before="60" w:after="60"/>
              <w:jc w:val="right"/>
              <w:rPr>
                <w:rFonts w:ascii="Times" w:hAnsi="Times" w:cs="Times"/>
                <w:color w:val="000000"/>
              </w:rPr>
            </w:pPr>
            <w:r>
              <w:rPr>
                <w:rFonts w:ascii="Times" w:hAnsi="Times" w:cs="Times"/>
                <w:color w:val="000000"/>
              </w:rPr>
              <w:t>1.934</w:t>
            </w:r>
          </w:p>
        </w:tc>
      </w:tr>
      <w:tr w:rsidR="00CA0563" w:rsidTr="00362924">
        <w:trPr>
          <w:cantSplit/>
          <w:trHeight w:val="388"/>
          <w:jc w:val="center"/>
        </w:trPr>
        <w:tc>
          <w:tcPr>
            <w:tcW w:w="3296" w:type="dxa"/>
            <w:tcBorders>
              <w:top w:val="nil"/>
              <w:left w:val="single" w:sz="6" w:space="0" w:color="000000"/>
              <w:bottom w:val="single" w:sz="2" w:space="0" w:color="000000"/>
              <w:right w:val="nil"/>
            </w:tcBorders>
          </w:tcPr>
          <w:p w:rsidR="00CA0563" w:rsidRDefault="00CA0563" w:rsidP="004D29E9">
            <w:pPr>
              <w:adjustRightInd w:val="0"/>
              <w:spacing w:before="60" w:after="60"/>
              <w:rPr>
                <w:rFonts w:ascii="Times" w:hAnsi="Times" w:cs="Times"/>
                <w:color w:val="000000"/>
              </w:rPr>
            </w:pPr>
            <w:r>
              <w:rPr>
                <w:rFonts w:ascii="Times" w:hAnsi="Times" w:cs="Times"/>
                <w:color w:val="000000"/>
              </w:rPr>
              <w:t>Diclofenac</w:t>
            </w:r>
          </w:p>
        </w:tc>
        <w:tc>
          <w:tcPr>
            <w:tcW w:w="1135" w:type="dxa"/>
            <w:tcBorders>
              <w:top w:val="nil"/>
              <w:left w:val="single" w:sz="2" w:space="0" w:color="000000"/>
              <w:bottom w:val="single" w:sz="2" w:space="0" w:color="000000"/>
              <w:right w:val="nil"/>
            </w:tcBorders>
          </w:tcPr>
          <w:p w:rsidR="00CA0563" w:rsidRDefault="00CA0563" w:rsidP="004D29E9">
            <w:pPr>
              <w:adjustRightInd w:val="0"/>
              <w:spacing w:before="60" w:after="60"/>
              <w:rPr>
                <w:rFonts w:ascii="Times" w:hAnsi="Times" w:cs="Times"/>
                <w:color w:val="000000"/>
              </w:rPr>
            </w:pPr>
            <w:r>
              <w:rPr>
                <w:rFonts w:ascii="Times" w:hAnsi="Times" w:cs="Times"/>
                <w:color w:val="000000"/>
              </w:rPr>
              <w:t>M01AB05</w:t>
            </w:r>
          </w:p>
        </w:tc>
        <w:tc>
          <w:tcPr>
            <w:tcW w:w="972" w:type="dxa"/>
            <w:tcBorders>
              <w:top w:val="nil"/>
              <w:left w:val="single" w:sz="2" w:space="0" w:color="000000"/>
              <w:bottom w:val="single" w:sz="2" w:space="0" w:color="000000"/>
              <w:right w:val="nil"/>
            </w:tcBorders>
          </w:tcPr>
          <w:p w:rsidR="00CA0563" w:rsidRDefault="00CA0563" w:rsidP="004D29E9">
            <w:pPr>
              <w:adjustRightInd w:val="0"/>
              <w:spacing w:before="60" w:after="60"/>
              <w:jc w:val="right"/>
              <w:rPr>
                <w:rFonts w:ascii="Times" w:hAnsi="Times" w:cs="Times"/>
                <w:color w:val="000000"/>
              </w:rPr>
            </w:pPr>
            <w:r>
              <w:rPr>
                <w:rFonts w:ascii="Times" w:hAnsi="Times" w:cs="Times"/>
                <w:color w:val="000000"/>
              </w:rPr>
              <w:t>105</w:t>
            </w:r>
          </w:p>
        </w:tc>
        <w:tc>
          <w:tcPr>
            <w:tcW w:w="1935" w:type="dxa"/>
            <w:tcBorders>
              <w:top w:val="nil"/>
              <w:left w:val="single" w:sz="2" w:space="0" w:color="000000"/>
              <w:bottom w:val="single" w:sz="2" w:space="0" w:color="000000"/>
              <w:right w:val="single" w:sz="6" w:space="0" w:color="000000"/>
            </w:tcBorders>
          </w:tcPr>
          <w:p w:rsidR="00CA0563" w:rsidRDefault="00CA0563" w:rsidP="004D29E9">
            <w:pPr>
              <w:adjustRightInd w:val="0"/>
              <w:spacing w:before="60" w:after="60"/>
              <w:jc w:val="right"/>
              <w:rPr>
                <w:rFonts w:ascii="Times" w:hAnsi="Times" w:cs="Times"/>
                <w:color w:val="000000"/>
              </w:rPr>
            </w:pPr>
            <w:r>
              <w:rPr>
                <w:rFonts w:ascii="Times" w:hAnsi="Times" w:cs="Times"/>
                <w:color w:val="000000"/>
              </w:rPr>
              <w:t>387</w:t>
            </w:r>
          </w:p>
        </w:tc>
      </w:tr>
      <w:tr w:rsidR="00CA0563" w:rsidTr="00362924">
        <w:trPr>
          <w:cantSplit/>
          <w:trHeight w:val="388"/>
          <w:jc w:val="center"/>
        </w:trPr>
        <w:tc>
          <w:tcPr>
            <w:tcW w:w="3296" w:type="dxa"/>
            <w:tcBorders>
              <w:top w:val="nil"/>
              <w:left w:val="single" w:sz="6" w:space="0" w:color="000000"/>
              <w:bottom w:val="single" w:sz="2" w:space="0" w:color="000000"/>
              <w:right w:val="nil"/>
            </w:tcBorders>
          </w:tcPr>
          <w:p w:rsidR="00CA0563" w:rsidRDefault="00CA0563" w:rsidP="004D29E9">
            <w:pPr>
              <w:adjustRightInd w:val="0"/>
              <w:spacing w:before="60" w:after="60"/>
              <w:rPr>
                <w:rFonts w:ascii="Times" w:hAnsi="Times" w:cs="Times"/>
                <w:color w:val="000000"/>
              </w:rPr>
            </w:pPr>
            <w:r>
              <w:rPr>
                <w:rFonts w:ascii="Times" w:hAnsi="Times" w:cs="Times"/>
                <w:color w:val="000000"/>
              </w:rPr>
              <w:t>Prednison</w:t>
            </w:r>
          </w:p>
        </w:tc>
        <w:tc>
          <w:tcPr>
            <w:tcW w:w="1135" w:type="dxa"/>
            <w:tcBorders>
              <w:top w:val="nil"/>
              <w:left w:val="single" w:sz="2" w:space="0" w:color="000000"/>
              <w:bottom w:val="single" w:sz="2" w:space="0" w:color="000000"/>
              <w:right w:val="nil"/>
            </w:tcBorders>
          </w:tcPr>
          <w:p w:rsidR="00CA0563" w:rsidRDefault="00CA0563" w:rsidP="004D29E9">
            <w:pPr>
              <w:adjustRightInd w:val="0"/>
              <w:spacing w:before="60" w:after="60"/>
              <w:rPr>
                <w:rFonts w:ascii="Times" w:hAnsi="Times" w:cs="Times"/>
                <w:color w:val="000000"/>
              </w:rPr>
            </w:pPr>
            <w:r>
              <w:rPr>
                <w:rFonts w:ascii="Times" w:hAnsi="Times" w:cs="Times"/>
                <w:color w:val="000000"/>
              </w:rPr>
              <w:t>H02AB07</w:t>
            </w:r>
          </w:p>
        </w:tc>
        <w:tc>
          <w:tcPr>
            <w:tcW w:w="972" w:type="dxa"/>
            <w:tcBorders>
              <w:top w:val="nil"/>
              <w:left w:val="single" w:sz="2" w:space="0" w:color="000000"/>
              <w:bottom w:val="single" w:sz="2" w:space="0" w:color="000000"/>
              <w:right w:val="nil"/>
            </w:tcBorders>
          </w:tcPr>
          <w:p w:rsidR="00CA0563" w:rsidRDefault="00CA0563" w:rsidP="004D29E9">
            <w:pPr>
              <w:adjustRightInd w:val="0"/>
              <w:spacing w:before="60" w:after="60"/>
              <w:jc w:val="right"/>
              <w:rPr>
                <w:rFonts w:ascii="Times" w:hAnsi="Times" w:cs="Times"/>
                <w:color w:val="000000"/>
              </w:rPr>
            </w:pPr>
            <w:r>
              <w:rPr>
                <w:rFonts w:ascii="Times" w:hAnsi="Times" w:cs="Times"/>
                <w:color w:val="000000"/>
              </w:rPr>
              <w:t>97</w:t>
            </w:r>
          </w:p>
        </w:tc>
        <w:tc>
          <w:tcPr>
            <w:tcW w:w="1935" w:type="dxa"/>
            <w:tcBorders>
              <w:top w:val="nil"/>
              <w:left w:val="single" w:sz="2" w:space="0" w:color="000000"/>
              <w:bottom w:val="single" w:sz="2" w:space="0" w:color="000000"/>
              <w:right w:val="single" w:sz="6" w:space="0" w:color="000000"/>
            </w:tcBorders>
          </w:tcPr>
          <w:p w:rsidR="00CA0563" w:rsidRDefault="00CA0563" w:rsidP="004D29E9">
            <w:pPr>
              <w:adjustRightInd w:val="0"/>
              <w:spacing w:before="60" w:after="60"/>
              <w:jc w:val="right"/>
              <w:rPr>
                <w:rFonts w:ascii="Times" w:hAnsi="Times" w:cs="Times"/>
                <w:color w:val="000000"/>
              </w:rPr>
            </w:pPr>
            <w:r>
              <w:rPr>
                <w:rFonts w:ascii="Times" w:hAnsi="Times" w:cs="Times"/>
                <w:color w:val="000000"/>
              </w:rPr>
              <w:t>391</w:t>
            </w:r>
          </w:p>
        </w:tc>
      </w:tr>
      <w:tr w:rsidR="00CA0563" w:rsidTr="00362924">
        <w:trPr>
          <w:cantSplit/>
          <w:trHeight w:val="388"/>
          <w:jc w:val="center"/>
        </w:trPr>
        <w:tc>
          <w:tcPr>
            <w:tcW w:w="3296" w:type="dxa"/>
            <w:tcBorders>
              <w:top w:val="nil"/>
              <w:left w:val="single" w:sz="6" w:space="0" w:color="000000"/>
              <w:bottom w:val="single" w:sz="2" w:space="0" w:color="000000"/>
              <w:right w:val="nil"/>
            </w:tcBorders>
          </w:tcPr>
          <w:p w:rsidR="00CA0563" w:rsidRDefault="00CA0563" w:rsidP="004D29E9">
            <w:pPr>
              <w:adjustRightInd w:val="0"/>
              <w:spacing w:before="60" w:after="60"/>
              <w:rPr>
                <w:rFonts w:ascii="Times" w:hAnsi="Times" w:cs="Times"/>
                <w:color w:val="000000"/>
              </w:rPr>
            </w:pPr>
            <w:r>
              <w:rPr>
                <w:rFonts w:ascii="Times" w:hAnsi="Times" w:cs="Times"/>
                <w:color w:val="000000"/>
              </w:rPr>
              <w:t>Prednisolon</w:t>
            </w:r>
          </w:p>
        </w:tc>
        <w:tc>
          <w:tcPr>
            <w:tcW w:w="1135" w:type="dxa"/>
            <w:tcBorders>
              <w:top w:val="nil"/>
              <w:left w:val="single" w:sz="2" w:space="0" w:color="000000"/>
              <w:bottom w:val="single" w:sz="2" w:space="0" w:color="000000"/>
              <w:right w:val="nil"/>
            </w:tcBorders>
          </w:tcPr>
          <w:p w:rsidR="00CA0563" w:rsidRDefault="00CA0563" w:rsidP="004D29E9">
            <w:pPr>
              <w:adjustRightInd w:val="0"/>
              <w:spacing w:before="60" w:after="60"/>
              <w:rPr>
                <w:rFonts w:ascii="Times" w:hAnsi="Times" w:cs="Times"/>
                <w:color w:val="000000"/>
              </w:rPr>
            </w:pPr>
            <w:r>
              <w:rPr>
                <w:rFonts w:ascii="Times" w:hAnsi="Times" w:cs="Times"/>
                <w:color w:val="000000"/>
              </w:rPr>
              <w:t>H02AB06</w:t>
            </w:r>
          </w:p>
        </w:tc>
        <w:tc>
          <w:tcPr>
            <w:tcW w:w="972" w:type="dxa"/>
            <w:tcBorders>
              <w:top w:val="nil"/>
              <w:left w:val="single" w:sz="2" w:space="0" w:color="000000"/>
              <w:bottom w:val="single" w:sz="2" w:space="0" w:color="000000"/>
              <w:right w:val="nil"/>
            </w:tcBorders>
          </w:tcPr>
          <w:p w:rsidR="00CA0563" w:rsidRDefault="00CA0563" w:rsidP="004D29E9">
            <w:pPr>
              <w:adjustRightInd w:val="0"/>
              <w:spacing w:before="60" w:after="60"/>
              <w:jc w:val="right"/>
              <w:rPr>
                <w:rFonts w:ascii="Times" w:hAnsi="Times" w:cs="Times"/>
                <w:color w:val="000000"/>
              </w:rPr>
            </w:pPr>
            <w:r>
              <w:rPr>
                <w:rFonts w:ascii="Times" w:hAnsi="Times" w:cs="Times"/>
                <w:color w:val="000000"/>
              </w:rPr>
              <w:t>81</w:t>
            </w:r>
          </w:p>
        </w:tc>
        <w:tc>
          <w:tcPr>
            <w:tcW w:w="1935" w:type="dxa"/>
            <w:tcBorders>
              <w:top w:val="nil"/>
              <w:left w:val="single" w:sz="2" w:space="0" w:color="000000"/>
              <w:bottom w:val="single" w:sz="2" w:space="0" w:color="000000"/>
              <w:right w:val="single" w:sz="6" w:space="0" w:color="000000"/>
            </w:tcBorders>
          </w:tcPr>
          <w:p w:rsidR="00CA0563" w:rsidRDefault="00CA0563" w:rsidP="004D29E9">
            <w:pPr>
              <w:adjustRightInd w:val="0"/>
              <w:spacing w:before="60" w:after="60"/>
              <w:jc w:val="right"/>
              <w:rPr>
                <w:rFonts w:ascii="Times" w:hAnsi="Times" w:cs="Times"/>
                <w:color w:val="000000"/>
              </w:rPr>
            </w:pPr>
            <w:r>
              <w:rPr>
                <w:rFonts w:ascii="Times" w:hAnsi="Times" w:cs="Times"/>
                <w:color w:val="000000"/>
              </w:rPr>
              <w:t>179</w:t>
            </w:r>
          </w:p>
        </w:tc>
      </w:tr>
      <w:tr w:rsidR="00CA0563" w:rsidTr="00362924">
        <w:trPr>
          <w:cantSplit/>
          <w:trHeight w:val="388"/>
          <w:jc w:val="center"/>
        </w:trPr>
        <w:tc>
          <w:tcPr>
            <w:tcW w:w="3296" w:type="dxa"/>
            <w:tcBorders>
              <w:top w:val="nil"/>
              <w:left w:val="single" w:sz="6" w:space="0" w:color="000000"/>
              <w:bottom w:val="single" w:sz="2" w:space="0" w:color="000000"/>
              <w:right w:val="nil"/>
            </w:tcBorders>
          </w:tcPr>
          <w:p w:rsidR="00CA0563" w:rsidRDefault="00CA0563" w:rsidP="004D29E9">
            <w:pPr>
              <w:adjustRightInd w:val="0"/>
              <w:spacing w:before="60" w:after="60"/>
              <w:rPr>
                <w:rFonts w:ascii="Times" w:hAnsi="Times" w:cs="Times"/>
                <w:color w:val="000000"/>
              </w:rPr>
            </w:pPr>
            <w:r>
              <w:rPr>
                <w:rFonts w:ascii="Times" w:hAnsi="Times" w:cs="Times"/>
                <w:color w:val="000000"/>
              </w:rPr>
              <w:t>Aurothiomalat-natrium</w:t>
            </w:r>
          </w:p>
        </w:tc>
        <w:tc>
          <w:tcPr>
            <w:tcW w:w="1135" w:type="dxa"/>
            <w:tcBorders>
              <w:top w:val="nil"/>
              <w:left w:val="single" w:sz="2" w:space="0" w:color="000000"/>
              <w:bottom w:val="single" w:sz="2" w:space="0" w:color="000000"/>
              <w:right w:val="nil"/>
            </w:tcBorders>
          </w:tcPr>
          <w:p w:rsidR="00CA0563" w:rsidRDefault="00CA0563" w:rsidP="004D29E9">
            <w:pPr>
              <w:adjustRightInd w:val="0"/>
              <w:spacing w:before="60" w:after="60"/>
              <w:rPr>
                <w:rFonts w:ascii="Times" w:hAnsi="Times" w:cs="Times"/>
                <w:color w:val="000000"/>
              </w:rPr>
            </w:pPr>
            <w:r>
              <w:rPr>
                <w:rFonts w:ascii="Times" w:hAnsi="Times" w:cs="Times"/>
                <w:color w:val="000000"/>
              </w:rPr>
              <w:t>M01CB01</w:t>
            </w:r>
          </w:p>
        </w:tc>
        <w:tc>
          <w:tcPr>
            <w:tcW w:w="972" w:type="dxa"/>
            <w:tcBorders>
              <w:top w:val="nil"/>
              <w:left w:val="single" w:sz="2" w:space="0" w:color="000000"/>
              <w:bottom w:val="single" w:sz="2" w:space="0" w:color="000000"/>
              <w:right w:val="nil"/>
            </w:tcBorders>
          </w:tcPr>
          <w:p w:rsidR="00CA0563" w:rsidRDefault="00CA0563" w:rsidP="004D29E9">
            <w:pPr>
              <w:adjustRightInd w:val="0"/>
              <w:spacing w:before="60" w:after="60"/>
              <w:jc w:val="right"/>
              <w:rPr>
                <w:rFonts w:ascii="Times" w:hAnsi="Times" w:cs="Times"/>
                <w:color w:val="000000"/>
              </w:rPr>
            </w:pPr>
            <w:r>
              <w:rPr>
                <w:rFonts w:ascii="Times" w:hAnsi="Times" w:cs="Times"/>
                <w:color w:val="000000"/>
              </w:rPr>
              <w:t>63</w:t>
            </w:r>
          </w:p>
        </w:tc>
        <w:tc>
          <w:tcPr>
            <w:tcW w:w="1935" w:type="dxa"/>
            <w:tcBorders>
              <w:top w:val="nil"/>
              <w:left w:val="single" w:sz="2" w:space="0" w:color="000000"/>
              <w:bottom w:val="single" w:sz="2" w:space="0" w:color="000000"/>
              <w:right w:val="single" w:sz="6" w:space="0" w:color="000000"/>
            </w:tcBorders>
          </w:tcPr>
          <w:p w:rsidR="00CA0563" w:rsidRDefault="00CA0563" w:rsidP="004D29E9">
            <w:pPr>
              <w:adjustRightInd w:val="0"/>
              <w:spacing w:before="60" w:after="60"/>
              <w:jc w:val="right"/>
              <w:rPr>
                <w:rFonts w:ascii="Times" w:hAnsi="Times" w:cs="Times"/>
                <w:color w:val="000000"/>
              </w:rPr>
            </w:pPr>
            <w:r>
              <w:rPr>
                <w:rFonts w:ascii="Times" w:hAnsi="Times" w:cs="Times"/>
                <w:color w:val="000000"/>
              </w:rPr>
              <w:t>205</w:t>
            </w:r>
          </w:p>
        </w:tc>
      </w:tr>
      <w:tr w:rsidR="00CA0563" w:rsidTr="00362924">
        <w:trPr>
          <w:cantSplit/>
          <w:trHeight w:val="402"/>
          <w:jc w:val="center"/>
        </w:trPr>
        <w:tc>
          <w:tcPr>
            <w:tcW w:w="3296" w:type="dxa"/>
            <w:tcBorders>
              <w:top w:val="nil"/>
              <w:left w:val="single" w:sz="6" w:space="0" w:color="000000"/>
              <w:bottom w:val="single" w:sz="2" w:space="0" w:color="000000"/>
              <w:right w:val="nil"/>
            </w:tcBorders>
          </w:tcPr>
          <w:p w:rsidR="00CA0563" w:rsidRDefault="00CA0563" w:rsidP="004D29E9">
            <w:pPr>
              <w:adjustRightInd w:val="0"/>
              <w:spacing w:before="60" w:after="60"/>
              <w:rPr>
                <w:rFonts w:ascii="Times" w:hAnsi="Times" w:cs="Times"/>
                <w:color w:val="000000"/>
              </w:rPr>
            </w:pPr>
            <w:r>
              <w:rPr>
                <w:rFonts w:ascii="Times" w:hAnsi="Times" w:cs="Times"/>
                <w:color w:val="000000"/>
              </w:rPr>
              <w:t>Ciclosporin</w:t>
            </w:r>
          </w:p>
        </w:tc>
        <w:tc>
          <w:tcPr>
            <w:tcW w:w="1135" w:type="dxa"/>
            <w:tcBorders>
              <w:top w:val="nil"/>
              <w:left w:val="single" w:sz="2" w:space="0" w:color="000000"/>
              <w:bottom w:val="single" w:sz="2" w:space="0" w:color="000000"/>
              <w:right w:val="nil"/>
            </w:tcBorders>
          </w:tcPr>
          <w:p w:rsidR="00CA0563" w:rsidRDefault="00CA0563" w:rsidP="004D29E9">
            <w:pPr>
              <w:adjustRightInd w:val="0"/>
              <w:spacing w:before="60" w:after="60"/>
              <w:rPr>
                <w:rFonts w:ascii="Times" w:hAnsi="Times" w:cs="Times"/>
                <w:color w:val="000000"/>
              </w:rPr>
            </w:pPr>
            <w:r>
              <w:rPr>
                <w:rFonts w:ascii="Times" w:hAnsi="Times" w:cs="Times"/>
                <w:color w:val="000000"/>
              </w:rPr>
              <w:t>L04AD01</w:t>
            </w:r>
          </w:p>
        </w:tc>
        <w:tc>
          <w:tcPr>
            <w:tcW w:w="972" w:type="dxa"/>
            <w:tcBorders>
              <w:top w:val="nil"/>
              <w:left w:val="single" w:sz="2" w:space="0" w:color="000000"/>
              <w:bottom w:val="single" w:sz="2" w:space="0" w:color="000000"/>
              <w:right w:val="nil"/>
            </w:tcBorders>
          </w:tcPr>
          <w:p w:rsidR="00CA0563" w:rsidRDefault="00CA0563" w:rsidP="004D29E9">
            <w:pPr>
              <w:adjustRightInd w:val="0"/>
              <w:spacing w:before="60" w:after="60"/>
              <w:jc w:val="right"/>
              <w:rPr>
                <w:rFonts w:ascii="Times" w:hAnsi="Times" w:cs="Times"/>
                <w:color w:val="000000"/>
              </w:rPr>
            </w:pPr>
            <w:r>
              <w:rPr>
                <w:rFonts w:ascii="Times" w:hAnsi="Times" w:cs="Times"/>
                <w:color w:val="000000"/>
              </w:rPr>
              <w:t>56</w:t>
            </w:r>
          </w:p>
        </w:tc>
        <w:tc>
          <w:tcPr>
            <w:tcW w:w="1935" w:type="dxa"/>
            <w:tcBorders>
              <w:top w:val="nil"/>
              <w:left w:val="single" w:sz="2" w:space="0" w:color="000000"/>
              <w:bottom w:val="single" w:sz="2" w:space="0" w:color="000000"/>
              <w:right w:val="single" w:sz="6" w:space="0" w:color="000000"/>
            </w:tcBorders>
          </w:tcPr>
          <w:p w:rsidR="00CA0563" w:rsidRDefault="00CA0563" w:rsidP="004D29E9">
            <w:pPr>
              <w:adjustRightInd w:val="0"/>
              <w:spacing w:before="60" w:after="60"/>
              <w:jc w:val="right"/>
              <w:rPr>
                <w:rFonts w:ascii="Times" w:hAnsi="Times" w:cs="Times"/>
                <w:color w:val="000000"/>
              </w:rPr>
            </w:pPr>
            <w:r>
              <w:rPr>
                <w:rFonts w:ascii="Times" w:hAnsi="Times" w:cs="Times"/>
                <w:color w:val="000000"/>
              </w:rPr>
              <w:t>250</w:t>
            </w:r>
          </w:p>
        </w:tc>
      </w:tr>
      <w:tr w:rsidR="00CA0563" w:rsidTr="00362924">
        <w:trPr>
          <w:cantSplit/>
          <w:trHeight w:val="388"/>
          <w:jc w:val="center"/>
        </w:trPr>
        <w:tc>
          <w:tcPr>
            <w:tcW w:w="3296" w:type="dxa"/>
            <w:tcBorders>
              <w:top w:val="nil"/>
              <w:left w:val="single" w:sz="6" w:space="0" w:color="000000"/>
              <w:bottom w:val="single" w:sz="2" w:space="0" w:color="000000"/>
              <w:right w:val="nil"/>
            </w:tcBorders>
          </w:tcPr>
          <w:p w:rsidR="00CA0563" w:rsidRDefault="00CA0563" w:rsidP="004D29E9">
            <w:pPr>
              <w:adjustRightInd w:val="0"/>
              <w:spacing w:before="60" w:after="60"/>
              <w:rPr>
                <w:rFonts w:ascii="Times" w:hAnsi="Times" w:cs="Times"/>
                <w:color w:val="000000"/>
              </w:rPr>
            </w:pPr>
            <w:r>
              <w:rPr>
                <w:rFonts w:ascii="Times" w:hAnsi="Times" w:cs="Times"/>
                <w:color w:val="000000"/>
              </w:rPr>
              <w:t>Naproxen og esomeprazol</w:t>
            </w:r>
          </w:p>
        </w:tc>
        <w:tc>
          <w:tcPr>
            <w:tcW w:w="1135" w:type="dxa"/>
            <w:tcBorders>
              <w:top w:val="nil"/>
              <w:left w:val="single" w:sz="2" w:space="0" w:color="000000"/>
              <w:bottom w:val="single" w:sz="2" w:space="0" w:color="000000"/>
              <w:right w:val="nil"/>
            </w:tcBorders>
          </w:tcPr>
          <w:p w:rsidR="00CA0563" w:rsidRDefault="00CA0563" w:rsidP="004D29E9">
            <w:pPr>
              <w:adjustRightInd w:val="0"/>
              <w:spacing w:before="60" w:after="60"/>
              <w:rPr>
                <w:rFonts w:ascii="Times" w:hAnsi="Times" w:cs="Times"/>
                <w:color w:val="000000"/>
              </w:rPr>
            </w:pPr>
            <w:r>
              <w:rPr>
                <w:rFonts w:ascii="Times" w:hAnsi="Times" w:cs="Times"/>
                <w:color w:val="000000"/>
              </w:rPr>
              <w:t>M01AE52</w:t>
            </w:r>
          </w:p>
        </w:tc>
        <w:tc>
          <w:tcPr>
            <w:tcW w:w="972" w:type="dxa"/>
            <w:tcBorders>
              <w:top w:val="nil"/>
              <w:left w:val="single" w:sz="2" w:space="0" w:color="000000"/>
              <w:bottom w:val="single" w:sz="2" w:space="0" w:color="000000"/>
              <w:right w:val="nil"/>
            </w:tcBorders>
          </w:tcPr>
          <w:p w:rsidR="00CA0563" w:rsidRDefault="00CA0563" w:rsidP="004D29E9">
            <w:pPr>
              <w:adjustRightInd w:val="0"/>
              <w:spacing w:before="60" w:after="60"/>
              <w:jc w:val="right"/>
              <w:rPr>
                <w:rFonts w:ascii="Times" w:hAnsi="Times" w:cs="Times"/>
                <w:color w:val="000000"/>
              </w:rPr>
            </w:pPr>
            <w:r>
              <w:rPr>
                <w:rFonts w:ascii="Times" w:hAnsi="Times" w:cs="Times"/>
                <w:color w:val="000000"/>
              </w:rPr>
              <w:t>13</w:t>
            </w:r>
          </w:p>
        </w:tc>
        <w:tc>
          <w:tcPr>
            <w:tcW w:w="1935" w:type="dxa"/>
            <w:tcBorders>
              <w:top w:val="nil"/>
              <w:left w:val="single" w:sz="2" w:space="0" w:color="000000"/>
              <w:bottom w:val="single" w:sz="2" w:space="0" w:color="000000"/>
              <w:right w:val="single" w:sz="6" w:space="0" w:color="000000"/>
            </w:tcBorders>
          </w:tcPr>
          <w:p w:rsidR="00CA0563" w:rsidRDefault="00CA0563" w:rsidP="004D29E9">
            <w:pPr>
              <w:adjustRightInd w:val="0"/>
              <w:spacing w:before="60" w:after="60"/>
              <w:jc w:val="right"/>
              <w:rPr>
                <w:rFonts w:ascii="Times" w:hAnsi="Times" w:cs="Times"/>
                <w:color w:val="000000"/>
              </w:rPr>
            </w:pPr>
            <w:r>
              <w:rPr>
                <w:rFonts w:ascii="Times" w:hAnsi="Times" w:cs="Times"/>
                <w:color w:val="000000"/>
              </w:rPr>
              <w:t>44</w:t>
            </w:r>
          </w:p>
        </w:tc>
      </w:tr>
      <w:tr w:rsidR="00CA0563" w:rsidTr="00362924">
        <w:trPr>
          <w:cantSplit/>
          <w:trHeight w:val="388"/>
          <w:jc w:val="center"/>
        </w:trPr>
        <w:tc>
          <w:tcPr>
            <w:tcW w:w="3296" w:type="dxa"/>
            <w:tcBorders>
              <w:top w:val="nil"/>
              <w:left w:val="single" w:sz="6" w:space="0" w:color="000000"/>
              <w:bottom w:val="single" w:sz="2" w:space="0" w:color="000000"/>
              <w:right w:val="nil"/>
            </w:tcBorders>
          </w:tcPr>
          <w:p w:rsidR="00CA0563" w:rsidRDefault="00CA0563" w:rsidP="004D29E9">
            <w:pPr>
              <w:adjustRightInd w:val="0"/>
              <w:spacing w:before="60" w:after="60"/>
              <w:rPr>
                <w:rFonts w:ascii="Times" w:hAnsi="Times" w:cs="Times"/>
                <w:color w:val="000000"/>
              </w:rPr>
            </w:pPr>
            <w:r>
              <w:rPr>
                <w:rFonts w:ascii="Times" w:hAnsi="Times" w:cs="Times"/>
                <w:color w:val="000000"/>
              </w:rPr>
              <w:t>Etanercept</w:t>
            </w:r>
          </w:p>
        </w:tc>
        <w:tc>
          <w:tcPr>
            <w:tcW w:w="1135" w:type="dxa"/>
            <w:tcBorders>
              <w:top w:val="nil"/>
              <w:left w:val="single" w:sz="2" w:space="0" w:color="000000"/>
              <w:bottom w:val="single" w:sz="2" w:space="0" w:color="000000"/>
              <w:right w:val="nil"/>
            </w:tcBorders>
          </w:tcPr>
          <w:p w:rsidR="00CA0563" w:rsidRDefault="00CA0563" w:rsidP="004D29E9">
            <w:pPr>
              <w:adjustRightInd w:val="0"/>
              <w:spacing w:before="60" w:after="60"/>
              <w:rPr>
                <w:rFonts w:ascii="Times" w:hAnsi="Times" w:cs="Times"/>
                <w:color w:val="000000"/>
              </w:rPr>
            </w:pPr>
            <w:r>
              <w:rPr>
                <w:rFonts w:ascii="Times" w:hAnsi="Times" w:cs="Times"/>
                <w:color w:val="000000"/>
              </w:rPr>
              <w:t>L04AB01</w:t>
            </w:r>
          </w:p>
        </w:tc>
        <w:tc>
          <w:tcPr>
            <w:tcW w:w="972" w:type="dxa"/>
            <w:tcBorders>
              <w:top w:val="nil"/>
              <w:left w:val="single" w:sz="2" w:space="0" w:color="000000"/>
              <w:bottom w:val="single" w:sz="2" w:space="0" w:color="000000"/>
              <w:right w:val="nil"/>
            </w:tcBorders>
          </w:tcPr>
          <w:p w:rsidR="00CA0563" w:rsidRDefault="00CA0563" w:rsidP="004D29E9">
            <w:pPr>
              <w:adjustRightInd w:val="0"/>
              <w:spacing w:before="60" w:after="60"/>
              <w:jc w:val="right"/>
              <w:rPr>
                <w:rFonts w:ascii="Times" w:hAnsi="Times" w:cs="Times"/>
                <w:color w:val="000000"/>
              </w:rPr>
            </w:pPr>
            <w:r>
              <w:rPr>
                <w:rFonts w:ascii="Times" w:hAnsi="Times" w:cs="Times"/>
                <w:color w:val="000000"/>
              </w:rPr>
              <w:t>7</w:t>
            </w:r>
          </w:p>
        </w:tc>
        <w:tc>
          <w:tcPr>
            <w:tcW w:w="1935" w:type="dxa"/>
            <w:tcBorders>
              <w:top w:val="nil"/>
              <w:left w:val="single" w:sz="2" w:space="0" w:color="000000"/>
              <w:bottom w:val="single" w:sz="2" w:space="0" w:color="000000"/>
              <w:right w:val="single" w:sz="6" w:space="0" w:color="000000"/>
            </w:tcBorders>
          </w:tcPr>
          <w:p w:rsidR="00CA0563" w:rsidRDefault="00CA0563" w:rsidP="004D29E9">
            <w:pPr>
              <w:adjustRightInd w:val="0"/>
              <w:spacing w:before="60" w:after="60"/>
              <w:jc w:val="right"/>
              <w:rPr>
                <w:rFonts w:ascii="Times" w:hAnsi="Times" w:cs="Times"/>
                <w:color w:val="000000"/>
              </w:rPr>
            </w:pPr>
            <w:r>
              <w:rPr>
                <w:rFonts w:ascii="Times" w:hAnsi="Times" w:cs="Times"/>
                <w:color w:val="000000"/>
              </w:rPr>
              <w:t>47</w:t>
            </w:r>
          </w:p>
        </w:tc>
      </w:tr>
      <w:tr w:rsidR="00CA0563" w:rsidTr="00362924">
        <w:trPr>
          <w:cantSplit/>
          <w:trHeight w:val="388"/>
          <w:jc w:val="center"/>
        </w:trPr>
        <w:tc>
          <w:tcPr>
            <w:tcW w:w="3296" w:type="dxa"/>
            <w:tcBorders>
              <w:top w:val="nil"/>
              <w:left w:val="single" w:sz="6" w:space="0" w:color="000000"/>
              <w:bottom w:val="single" w:sz="2" w:space="0" w:color="000000"/>
              <w:right w:val="nil"/>
            </w:tcBorders>
          </w:tcPr>
          <w:p w:rsidR="00CA0563" w:rsidRDefault="00CA0563" w:rsidP="004D29E9">
            <w:pPr>
              <w:adjustRightInd w:val="0"/>
              <w:spacing w:before="60" w:after="60"/>
              <w:rPr>
                <w:rFonts w:ascii="Times" w:hAnsi="Times" w:cs="Times"/>
                <w:color w:val="000000"/>
              </w:rPr>
            </w:pPr>
            <w:r>
              <w:rPr>
                <w:rFonts w:ascii="Times" w:hAnsi="Times" w:cs="Times"/>
                <w:color w:val="000000"/>
              </w:rPr>
              <w:t>Ibuprofen</w:t>
            </w:r>
          </w:p>
        </w:tc>
        <w:tc>
          <w:tcPr>
            <w:tcW w:w="1135" w:type="dxa"/>
            <w:tcBorders>
              <w:top w:val="nil"/>
              <w:left w:val="single" w:sz="2" w:space="0" w:color="000000"/>
              <w:bottom w:val="single" w:sz="2" w:space="0" w:color="000000"/>
              <w:right w:val="nil"/>
            </w:tcBorders>
          </w:tcPr>
          <w:p w:rsidR="00CA0563" w:rsidRDefault="00CA0563" w:rsidP="004D29E9">
            <w:pPr>
              <w:adjustRightInd w:val="0"/>
              <w:spacing w:before="60" w:after="60"/>
              <w:rPr>
                <w:rFonts w:ascii="Times" w:hAnsi="Times" w:cs="Times"/>
                <w:color w:val="000000"/>
              </w:rPr>
            </w:pPr>
            <w:r>
              <w:rPr>
                <w:rFonts w:ascii="Times" w:hAnsi="Times" w:cs="Times"/>
                <w:color w:val="000000"/>
              </w:rPr>
              <w:t>M01AE01</w:t>
            </w:r>
          </w:p>
        </w:tc>
        <w:tc>
          <w:tcPr>
            <w:tcW w:w="972" w:type="dxa"/>
            <w:tcBorders>
              <w:top w:val="nil"/>
              <w:left w:val="single" w:sz="2" w:space="0" w:color="000000"/>
              <w:bottom w:val="single" w:sz="2" w:space="0" w:color="000000"/>
              <w:right w:val="nil"/>
            </w:tcBorders>
          </w:tcPr>
          <w:p w:rsidR="00CA0563" w:rsidRDefault="00CA0563" w:rsidP="004D29E9">
            <w:pPr>
              <w:adjustRightInd w:val="0"/>
              <w:spacing w:before="60" w:after="60"/>
              <w:jc w:val="right"/>
              <w:rPr>
                <w:rFonts w:ascii="Times" w:hAnsi="Times" w:cs="Times"/>
                <w:color w:val="000000"/>
              </w:rPr>
            </w:pPr>
            <w:r>
              <w:rPr>
                <w:rFonts w:ascii="Times" w:hAnsi="Times" w:cs="Times"/>
                <w:color w:val="000000"/>
              </w:rPr>
              <w:t>4</w:t>
            </w:r>
          </w:p>
        </w:tc>
        <w:tc>
          <w:tcPr>
            <w:tcW w:w="1935" w:type="dxa"/>
            <w:tcBorders>
              <w:top w:val="nil"/>
              <w:left w:val="single" w:sz="2" w:space="0" w:color="000000"/>
              <w:bottom w:val="single" w:sz="2" w:space="0" w:color="000000"/>
              <w:right w:val="single" w:sz="6" w:space="0" w:color="000000"/>
            </w:tcBorders>
          </w:tcPr>
          <w:p w:rsidR="00CA0563" w:rsidRDefault="00CA0563" w:rsidP="004D29E9">
            <w:pPr>
              <w:adjustRightInd w:val="0"/>
              <w:spacing w:before="60" w:after="60"/>
              <w:jc w:val="right"/>
              <w:rPr>
                <w:rFonts w:ascii="Times" w:hAnsi="Times" w:cs="Times"/>
                <w:color w:val="000000"/>
              </w:rPr>
            </w:pPr>
            <w:r>
              <w:rPr>
                <w:rFonts w:ascii="Times" w:hAnsi="Times" w:cs="Times"/>
                <w:color w:val="000000"/>
              </w:rPr>
              <w:t>9</w:t>
            </w:r>
          </w:p>
        </w:tc>
      </w:tr>
      <w:tr w:rsidR="00CA0563" w:rsidTr="00362924">
        <w:trPr>
          <w:cantSplit/>
          <w:trHeight w:val="388"/>
          <w:jc w:val="center"/>
        </w:trPr>
        <w:tc>
          <w:tcPr>
            <w:tcW w:w="3296" w:type="dxa"/>
            <w:tcBorders>
              <w:top w:val="nil"/>
              <w:left w:val="single" w:sz="6" w:space="0" w:color="000000"/>
              <w:bottom w:val="single" w:sz="2" w:space="0" w:color="000000"/>
              <w:right w:val="nil"/>
            </w:tcBorders>
          </w:tcPr>
          <w:p w:rsidR="00CA0563" w:rsidRDefault="00CA0563" w:rsidP="004D29E9">
            <w:pPr>
              <w:adjustRightInd w:val="0"/>
              <w:spacing w:before="60" w:after="60"/>
              <w:rPr>
                <w:rFonts w:ascii="Times" w:hAnsi="Times" w:cs="Times"/>
                <w:color w:val="000000"/>
              </w:rPr>
            </w:pPr>
            <w:r>
              <w:rPr>
                <w:rFonts w:ascii="Times" w:hAnsi="Times" w:cs="Times"/>
                <w:color w:val="000000"/>
              </w:rPr>
              <w:t>Paracetamol</w:t>
            </w:r>
          </w:p>
        </w:tc>
        <w:tc>
          <w:tcPr>
            <w:tcW w:w="1135" w:type="dxa"/>
            <w:tcBorders>
              <w:top w:val="nil"/>
              <w:left w:val="single" w:sz="2" w:space="0" w:color="000000"/>
              <w:bottom w:val="single" w:sz="2" w:space="0" w:color="000000"/>
              <w:right w:val="nil"/>
            </w:tcBorders>
          </w:tcPr>
          <w:p w:rsidR="00CA0563" w:rsidRDefault="00CA0563" w:rsidP="004D29E9">
            <w:pPr>
              <w:adjustRightInd w:val="0"/>
              <w:spacing w:before="60" w:after="60"/>
              <w:rPr>
                <w:rFonts w:ascii="Times" w:hAnsi="Times" w:cs="Times"/>
                <w:color w:val="000000"/>
              </w:rPr>
            </w:pPr>
            <w:r>
              <w:rPr>
                <w:rFonts w:ascii="Times" w:hAnsi="Times" w:cs="Times"/>
                <w:color w:val="000000"/>
              </w:rPr>
              <w:t>N02BE01</w:t>
            </w:r>
          </w:p>
        </w:tc>
        <w:tc>
          <w:tcPr>
            <w:tcW w:w="972" w:type="dxa"/>
            <w:tcBorders>
              <w:top w:val="nil"/>
              <w:left w:val="single" w:sz="2" w:space="0" w:color="000000"/>
              <w:bottom w:val="single" w:sz="2" w:space="0" w:color="000000"/>
              <w:right w:val="nil"/>
            </w:tcBorders>
          </w:tcPr>
          <w:p w:rsidR="00CA0563" w:rsidRDefault="00CA0563" w:rsidP="004D29E9">
            <w:pPr>
              <w:adjustRightInd w:val="0"/>
              <w:spacing w:before="60" w:after="60"/>
              <w:jc w:val="right"/>
              <w:rPr>
                <w:rFonts w:ascii="Times" w:hAnsi="Times" w:cs="Times"/>
                <w:color w:val="000000"/>
              </w:rPr>
            </w:pPr>
            <w:r>
              <w:rPr>
                <w:rFonts w:ascii="Times" w:hAnsi="Times" w:cs="Times"/>
                <w:color w:val="000000"/>
              </w:rPr>
              <w:t>3</w:t>
            </w:r>
          </w:p>
        </w:tc>
        <w:tc>
          <w:tcPr>
            <w:tcW w:w="1935" w:type="dxa"/>
            <w:tcBorders>
              <w:top w:val="nil"/>
              <w:left w:val="single" w:sz="2" w:space="0" w:color="000000"/>
              <w:bottom w:val="single" w:sz="2" w:space="0" w:color="000000"/>
              <w:right w:val="single" w:sz="6" w:space="0" w:color="000000"/>
            </w:tcBorders>
          </w:tcPr>
          <w:p w:rsidR="00CA0563" w:rsidRDefault="00CA0563" w:rsidP="004D29E9">
            <w:pPr>
              <w:adjustRightInd w:val="0"/>
              <w:spacing w:before="60" w:after="60"/>
              <w:jc w:val="right"/>
              <w:rPr>
                <w:rFonts w:ascii="Times" w:hAnsi="Times" w:cs="Times"/>
                <w:color w:val="000000"/>
              </w:rPr>
            </w:pPr>
            <w:r>
              <w:rPr>
                <w:rFonts w:ascii="Times" w:hAnsi="Times" w:cs="Times"/>
                <w:color w:val="000000"/>
              </w:rPr>
              <w:t>3</w:t>
            </w:r>
          </w:p>
        </w:tc>
      </w:tr>
      <w:tr w:rsidR="00CA0563" w:rsidTr="00362924">
        <w:trPr>
          <w:cantSplit/>
          <w:trHeight w:val="388"/>
          <w:jc w:val="center"/>
        </w:trPr>
        <w:tc>
          <w:tcPr>
            <w:tcW w:w="3296" w:type="dxa"/>
            <w:tcBorders>
              <w:top w:val="nil"/>
              <w:left w:val="single" w:sz="6" w:space="0" w:color="000000"/>
              <w:bottom w:val="single" w:sz="2" w:space="0" w:color="000000"/>
              <w:right w:val="nil"/>
            </w:tcBorders>
          </w:tcPr>
          <w:p w:rsidR="00CA0563" w:rsidRDefault="00CA0563" w:rsidP="004D29E9">
            <w:pPr>
              <w:adjustRightInd w:val="0"/>
              <w:spacing w:before="60" w:after="60"/>
              <w:rPr>
                <w:rFonts w:ascii="Times" w:hAnsi="Times" w:cs="Times"/>
                <w:color w:val="000000"/>
              </w:rPr>
            </w:pPr>
            <w:r>
              <w:rPr>
                <w:rFonts w:ascii="Times" w:hAnsi="Times" w:cs="Times"/>
                <w:color w:val="000000"/>
              </w:rPr>
              <w:t>Adalimumab</w:t>
            </w:r>
          </w:p>
        </w:tc>
        <w:tc>
          <w:tcPr>
            <w:tcW w:w="1135" w:type="dxa"/>
            <w:tcBorders>
              <w:top w:val="nil"/>
              <w:left w:val="single" w:sz="2" w:space="0" w:color="000000"/>
              <w:bottom w:val="single" w:sz="2" w:space="0" w:color="000000"/>
              <w:right w:val="nil"/>
            </w:tcBorders>
          </w:tcPr>
          <w:p w:rsidR="00CA0563" w:rsidRDefault="00CA0563" w:rsidP="004D29E9">
            <w:pPr>
              <w:adjustRightInd w:val="0"/>
              <w:spacing w:before="60" w:after="60"/>
              <w:rPr>
                <w:rFonts w:ascii="Times" w:hAnsi="Times" w:cs="Times"/>
                <w:color w:val="000000"/>
              </w:rPr>
            </w:pPr>
            <w:r>
              <w:rPr>
                <w:rFonts w:ascii="Times" w:hAnsi="Times" w:cs="Times"/>
                <w:color w:val="000000"/>
              </w:rPr>
              <w:t>L04AB04</w:t>
            </w:r>
          </w:p>
        </w:tc>
        <w:tc>
          <w:tcPr>
            <w:tcW w:w="972" w:type="dxa"/>
            <w:tcBorders>
              <w:top w:val="nil"/>
              <w:left w:val="single" w:sz="2" w:space="0" w:color="000000"/>
              <w:bottom w:val="single" w:sz="2" w:space="0" w:color="000000"/>
              <w:right w:val="nil"/>
            </w:tcBorders>
          </w:tcPr>
          <w:p w:rsidR="00CA0563" w:rsidRDefault="00CA0563" w:rsidP="004D29E9">
            <w:pPr>
              <w:adjustRightInd w:val="0"/>
              <w:spacing w:before="60" w:after="60"/>
              <w:jc w:val="right"/>
              <w:rPr>
                <w:rFonts w:ascii="Times" w:hAnsi="Times" w:cs="Times"/>
                <w:color w:val="000000"/>
              </w:rPr>
            </w:pPr>
            <w:r>
              <w:rPr>
                <w:rFonts w:ascii="Times" w:hAnsi="Times" w:cs="Times"/>
                <w:color w:val="000000"/>
              </w:rPr>
              <w:t>3</w:t>
            </w:r>
          </w:p>
        </w:tc>
        <w:tc>
          <w:tcPr>
            <w:tcW w:w="1935" w:type="dxa"/>
            <w:tcBorders>
              <w:top w:val="nil"/>
              <w:left w:val="single" w:sz="2" w:space="0" w:color="000000"/>
              <w:bottom w:val="single" w:sz="2" w:space="0" w:color="000000"/>
              <w:right w:val="single" w:sz="6" w:space="0" w:color="000000"/>
            </w:tcBorders>
          </w:tcPr>
          <w:p w:rsidR="00CA0563" w:rsidRDefault="00CA0563" w:rsidP="004D29E9">
            <w:pPr>
              <w:adjustRightInd w:val="0"/>
              <w:spacing w:before="60" w:after="60"/>
              <w:jc w:val="right"/>
              <w:rPr>
                <w:rFonts w:ascii="Times" w:hAnsi="Times" w:cs="Times"/>
                <w:color w:val="000000"/>
              </w:rPr>
            </w:pPr>
            <w:r>
              <w:rPr>
                <w:rFonts w:ascii="Times" w:hAnsi="Times" w:cs="Times"/>
                <w:color w:val="000000"/>
              </w:rPr>
              <w:t>8</w:t>
            </w:r>
          </w:p>
        </w:tc>
      </w:tr>
      <w:tr w:rsidR="00CA0563" w:rsidTr="00362924">
        <w:trPr>
          <w:cantSplit/>
          <w:trHeight w:val="388"/>
          <w:jc w:val="center"/>
        </w:trPr>
        <w:tc>
          <w:tcPr>
            <w:tcW w:w="3296" w:type="dxa"/>
            <w:tcBorders>
              <w:top w:val="nil"/>
              <w:left w:val="single" w:sz="6" w:space="0" w:color="000000"/>
              <w:bottom w:val="single" w:sz="2" w:space="0" w:color="000000"/>
              <w:right w:val="nil"/>
            </w:tcBorders>
          </w:tcPr>
          <w:p w:rsidR="00CA0563" w:rsidRDefault="00CA0563" w:rsidP="004D29E9">
            <w:pPr>
              <w:adjustRightInd w:val="0"/>
              <w:spacing w:before="60" w:after="60"/>
              <w:rPr>
                <w:rFonts w:ascii="Times" w:hAnsi="Times" w:cs="Times"/>
                <w:color w:val="000000"/>
              </w:rPr>
            </w:pPr>
            <w:r>
              <w:rPr>
                <w:rFonts w:ascii="Times" w:hAnsi="Times" w:cs="Times"/>
                <w:color w:val="000000"/>
              </w:rPr>
              <w:t>Auranofin</w:t>
            </w:r>
          </w:p>
        </w:tc>
        <w:tc>
          <w:tcPr>
            <w:tcW w:w="1135" w:type="dxa"/>
            <w:tcBorders>
              <w:top w:val="nil"/>
              <w:left w:val="single" w:sz="2" w:space="0" w:color="000000"/>
              <w:bottom w:val="single" w:sz="2" w:space="0" w:color="000000"/>
              <w:right w:val="nil"/>
            </w:tcBorders>
          </w:tcPr>
          <w:p w:rsidR="00CA0563" w:rsidRDefault="00CA0563" w:rsidP="004D29E9">
            <w:pPr>
              <w:adjustRightInd w:val="0"/>
              <w:spacing w:before="60" w:after="60"/>
              <w:rPr>
                <w:rFonts w:ascii="Times" w:hAnsi="Times" w:cs="Times"/>
                <w:color w:val="000000"/>
              </w:rPr>
            </w:pPr>
            <w:r>
              <w:rPr>
                <w:rFonts w:ascii="Times" w:hAnsi="Times" w:cs="Times"/>
                <w:color w:val="000000"/>
              </w:rPr>
              <w:t>M01CB03</w:t>
            </w:r>
          </w:p>
        </w:tc>
        <w:tc>
          <w:tcPr>
            <w:tcW w:w="972" w:type="dxa"/>
            <w:tcBorders>
              <w:top w:val="nil"/>
              <w:left w:val="single" w:sz="2" w:space="0" w:color="000000"/>
              <w:bottom w:val="single" w:sz="2" w:space="0" w:color="000000"/>
              <w:right w:val="nil"/>
            </w:tcBorders>
          </w:tcPr>
          <w:p w:rsidR="00CA0563" w:rsidRDefault="00CA0563" w:rsidP="004D29E9">
            <w:pPr>
              <w:adjustRightInd w:val="0"/>
              <w:spacing w:before="60" w:after="60"/>
              <w:jc w:val="right"/>
              <w:rPr>
                <w:rFonts w:ascii="Times" w:hAnsi="Times" w:cs="Times"/>
                <w:color w:val="000000"/>
              </w:rPr>
            </w:pPr>
            <w:r>
              <w:rPr>
                <w:rFonts w:ascii="Times" w:hAnsi="Times" w:cs="Times"/>
                <w:color w:val="000000"/>
              </w:rPr>
              <w:t>2</w:t>
            </w:r>
          </w:p>
        </w:tc>
        <w:tc>
          <w:tcPr>
            <w:tcW w:w="1935" w:type="dxa"/>
            <w:tcBorders>
              <w:top w:val="nil"/>
              <w:left w:val="single" w:sz="2" w:space="0" w:color="000000"/>
              <w:bottom w:val="single" w:sz="2" w:space="0" w:color="000000"/>
              <w:right w:val="single" w:sz="6" w:space="0" w:color="000000"/>
            </w:tcBorders>
          </w:tcPr>
          <w:p w:rsidR="00CA0563" w:rsidRDefault="00CA0563" w:rsidP="004D29E9">
            <w:pPr>
              <w:adjustRightInd w:val="0"/>
              <w:spacing w:before="60" w:after="60"/>
              <w:jc w:val="right"/>
              <w:rPr>
                <w:rFonts w:ascii="Times" w:hAnsi="Times" w:cs="Times"/>
                <w:color w:val="000000"/>
              </w:rPr>
            </w:pPr>
            <w:r>
              <w:rPr>
                <w:rFonts w:ascii="Times" w:hAnsi="Times" w:cs="Times"/>
                <w:color w:val="000000"/>
              </w:rPr>
              <w:t>2</w:t>
            </w:r>
          </w:p>
        </w:tc>
      </w:tr>
      <w:tr w:rsidR="00CA0563" w:rsidTr="00362924">
        <w:trPr>
          <w:cantSplit/>
          <w:trHeight w:val="388"/>
          <w:jc w:val="center"/>
        </w:trPr>
        <w:tc>
          <w:tcPr>
            <w:tcW w:w="3296" w:type="dxa"/>
            <w:tcBorders>
              <w:top w:val="nil"/>
              <w:left w:val="single" w:sz="6" w:space="0" w:color="000000"/>
              <w:bottom w:val="single" w:sz="2" w:space="0" w:color="000000"/>
              <w:right w:val="nil"/>
            </w:tcBorders>
          </w:tcPr>
          <w:p w:rsidR="00CA0563" w:rsidRDefault="00CA0563" w:rsidP="004D29E9">
            <w:pPr>
              <w:adjustRightInd w:val="0"/>
              <w:spacing w:before="60" w:after="60"/>
              <w:rPr>
                <w:rFonts w:ascii="Times" w:hAnsi="Times" w:cs="Times"/>
                <w:color w:val="000000"/>
              </w:rPr>
            </w:pPr>
            <w:r>
              <w:rPr>
                <w:rFonts w:ascii="Times" w:hAnsi="Times" w:cs="Times"/>
                <w:color w:val="000000"/>
              </w:rPr>
              <w:t>Folsyre</w:t>
            </w:r>
          </w:p>
        </w:tc>
        <w:tc>
          <w:tcPr>
            <w:tcW w:w="1135" w:type="dxa"/>
            <w:tcBorders>
              <w:top w:val="nil"/>
              <w:left w:val="single" w:sz="2" w:space="0" w:color="000000"/>
              <w:bottom w:val="single" w:sz="2" w:space="0" w:color="000000"/>
              <w:right w:val="nil"/>
            </w:tcBorders>
          </w:tcPr>
          <w:p w:rsidR="00CA0563" w:rsidRDefault="00CA0563" w:rsidP="004D29E9">
            <w:pPr>
              <w:adjustRightInd w:val="0"/>
              <w:spacing w:before="60" w:after="60"/>
              <w:rPr>
                <w:rFonts w:ascii="Times" w:hAnsi="Times" w:cs="Times"/>
                <w:color w:val="000000"/>
              </w:rPr>
            </w:pPr>
            <w:r>
              <w:rPr>
                <w:rFonts w:ascii="Times" w:hAnsi="Times" w:cs="Times"/>
                <w:color w:val="000000"/>
              </w:rPr>
              <w:t>B03BB01</w:t>
            </w:r>
          </w:p>
        </w:tc>
        <w:tc>
          <w:tcPr>
            <w:tcW w:w="972" w:type="dxa"/>
            <w:tcBorders>
              <w:top w:val="nil"/>
              <w:left w:val="single" w:sz="2" w:space="0" w:color="000000"/>
              <w:bottom w:val="single" w:sz="2" w:space="0" w:color="000000"/>
              <w:right w:val="nil"/>
            </w:tcBorders>
          </w:tcPr>
          <w:p w:rsidR="00CA0563" w:rsidRDefault="00CA0563" w:rsidP="004D29E9">
            <w:pPr>
              <w:adjustRightInd w:val="0"/>
              <w:spacing w:before="60" w:after="60"/>
              <w:jc w:val="right"/>
              <w:rPr>
                <w:rFonts w:ascii="Times" w:hAnsi="Times" w:cs="Times"/>
                <w:color w:val="000000"/>
              </w:rPr>
            </w:pPr>
            <w:r>
              <w:rPr>
                <w:rFonts w:ascii="Times" w:hAnsi="Times" w:cs="Times"/>
                <w:color w:val="000000"/>
              </w:rPr>
              <w:t>2</w:t>
            </w:r>
          </w:p>
        </w:tc>
        <w:tc>
          <w:tcPr>
            <w:tcW w:w="1935" w:type="dxa"/>
            <w:tcBorders>
              <w:top w:val="nil"/>
              <w:left w:val="single" w:sz="2" w:space="0" w:color="000000"/>
              <w:bottom w:val="single" w:sz="2" w:space="0" w:color="000000"/>
              <w:right w:val="single" w:sz="6" w:space="0" w:color="000000"/>
            </w:tcBorders>
          </w:tcPr>
          <w:p w:rsidR="00CA0563" w:rsidRDefault="00CA0563" w:rsidP="004D29E9">
            <w:pPr>
              <w:adjustRightInd w:val="0"/>
              <w:spacing w:before="60" w:after="60"/>
              <w:jc w:val="right"/>
              <w:rPr>
                <w:rFonts w:ascii="Times" w:hAnsi="Times" w:cs="Times"/>
                <w:color w:val="000000"/>
              </w:rPr>
            </w:pPr>
            <w:r>
              <w:rPr>
                <w:rFonts w:ascii="Times" w:hAnsi="Times" w:cs="Times"/>
                <w:color w:val="000000"/>
              </w:rPr>
              <w:t>2</w:t>
            </w:r>
          </w:p>
        </w:tc>
      </w:tr>
      <w:tr w:rsidR="00CA0563" w:rsidTr="00362924">
        <w:trPr>
          <w:cantSplit/>
          <w:trHeight w:val="388"/>
          <w:jc w:val="center"/>
        </w:trPr>
        <w:tc>
          <w:tcPr>
            <w:tcW w:w="3296" w:type="dxa"/>
            <w:tcBorders>
              <w:top w:val="nil"/>
              <w:left w:val="single" w:sz="6" w:space="0" w:color="000000"/>
              <w:bottom w:val="single" w:sz="2" w:space="0" w:color="000000"/>
              <w:right w:val="nil"/>
            </w:tcBorders>
          </w:tcPr>
          <w:p w:rsidR="00CA0563" w:rsidRDefault="00CA0563" w:rsidP="004D29E9">
            <w:pPr>
              <w:adjustRightInd w:val="0"/>
              <w:spacing w:before="60" w:after="60"/>
              <w:rPr>
                <w:rFonts w:ascii="Times" w:hAnsi="Times" w:cs="Times"/>
                <w:color w:val="000000"/>
              </w:rPr>
            </w:pPr>
            <w:r>
              <w:rPr>
                <w:rFonts w:ascii="Times" w:hAnsi="Times" w:cs="Times"/>
                <w:color w:val="000000"/>
              </w:rPr>
              <w:t>Metformin</w:t>
            </w:r>
          </w:p>
        </w:tc>
        <w:tc>
          <w:tcPr>
            <w:tcW w:w="1135" w:type="dxa"/>
            <w:tcBorders>
              <w:top w:val="nil"/>
              <w:left w:val="single" w:sz="2" w:space="0" w:color="000000"/>
              <w:bottom w:val="single" w:sz="2" w:space="0" w:color="000000"/>
              <w:right w:val="nil"/>
            </w:tcBorders>
          </w:tcPr>
          <w:p w:rsidR="00CA0563" w:rsidRDefault="00CA0563" w:rsidP="004D29E9">
            <w:pPr>
              <w:adjustRightInd w:val="0"/>
              <w:spacing w:before="60" w:after="60"/>
              <w:rPr>
                <w:rFonts w:ascii="Times" w:hAnsi="Times" w:cs="Times"/>
                <w:color w:val="000000"/>
              </w:rPr>
            </w:pPr>
            <w:r>
              <w:rPr>
                <w:rFonts w:ascii="Times" w:hAnsi="Times" w:cs="Times"/>
                <w:color w:val="000000"/>
              </w:rPr>
              <w:t>A10BA02</w:t>
            </w:r>
          </w:p>
        </w:tc>
        <w:tc>
          <w:tcPr>
            <w:tcW w:w="972" w:type="dxa"/>
            <w:tcBorders>
              <w:top w:val="nil"/>
              <w:left w:val="single" w:sz="2" w:space="0" w:color="000000"/>
              <w:bottom w:val="single" w:sz="2" w:space="0" w:color="000000"/>
              <w:right w:val="nil"/>
            </w:tcBorders>
          </w:tcPr>
          <w:p w:rsidR="00CA0563" w:rsidRDefault="00CA0563" w:rsidP="004D29E9">
            <w:pPr>
              <w:adjustRightInd w:val="0"/>
              <w:spacing w:before="60" w:after="60"/>
              <w:jc w:val="right"/>
              <w:rPr>
                <w:rFonts w:ascii="Times" w:hAnsi="Times" w:cs="Times"/>
                <w:color w:val="000000"/>
              </w:rPr>
            </w:pPr>
            <w:r>
              <w:rPr>
                <w:rFonts w:ascii="Times" w:hAnsi="Times" w:cs="Times"/>
                <w:color w:val="000000"/>
              </w:rPr>
              <w:t>1</w:t>
            </w:r>
          </w:p>
        </w:tc>
        <w:tc>
          <w:tcPr>
            <w:tcW w:w="1935" w:type="dxa"/>
            <w:tcBorders>
              <w:top w:val="nil"/>
              <w:left w:val="single" w:sz="2" w:space="0" w:color="000000"/>
              <w:bottom w:val="single" w:sz="2" w:space="0" w:color="000000"/>
              <w:right w:val="single" w:sz="6" w:space="0" w:color="000000"/>
            </w:tcBorders>
          </w:tcPr>
          <w:p w:rsidR="00CA0563" w:rsidRDefault="00CA0563" w:rsidP="004D29E9">
            <w:pPr>
              <w:adjustRightInd w:val="0"/>
              <w:spacing w:before="60" w:after="60"/>
              <w:jc w:val="right"/>
              <w:rPr>
                <w:rFonts w:ascii="Times" w:hAnsi="Times" w:cs="Times"/>
                <w:color w:val="000000"/>
              </w:rPr>
            </w:pPr>
            <w:r>
              <w:rPr>
                <w:rFonts w:ascii="Times" w:hAnsi="Times" w:cs="Times"/>
                <w:color w:val="000000"/>
              </w:rPr>
              <w:t>1</w:t>
            </w:r>
          </w:p>
        </w:tc>
      </w:tr>
      <w:tr w:rsidR="00CA0563" w:rsidTr="00362924">
        <w:trPr>
          <w:cantSplit/>
          <w:trHeight w:val="388"/>
          <w:jc w:val="center"/>
        </w:trPr>
        <w:tc>
          <w:tcPr>
            <w:tcW w:w="3296" w:type="dxa"/>
            <w:tcBorders>
              <w:top w:val="nil"/>
              <w:left w:val="single" w:sz="6" w:space="0" w:color="000000"/>
              <w:bottom w:val="single" w:sz="2" w:space="0" w:color="000000"/>
              <w:right w:val="nil"/>
            </w:tcBorders>
          </w:tcPr>
          <w:p w:rsidR="00CA0563" w:rsidRDefault="00CA0563" w:rsidP="004D29E9">
            <w:pPr>
              <w:adjustRightInd w:val="0"/>
              <w:spacing w:before="60" w:after="60"/>
              <w:rPr>
                <w:rFonts w:ascii="Times" w:hAnsi="Times" w:cs="Times"/>
                <w:color w:val="000000"/>
              </w:rPr>
            </w:pPr>
            <w:r>
              <w:rPr>
                <w:rFonts w:ascii="Times" w:hAnsi="Times" w:cs="Times"/>
                <w:color w:val="000000"/>
              </w:rPr>
              <w:t>Drospirenon og ethinylestradiol</w:t>
            </w:r>
          </w:p>
        </w:tc>
        <w:tc>
          <w:tcPr>
            <w:tcW w:w="1135" w:type="dxa"/>
            <w:tcBorders>
              <w:top w:val="nil"/>
              <w:left w:val="single" w:sz="2" w:space="0" w:color="000000"/>
              <w:bottom w:val="single" w:sz="2" w:space="0" w:color="000000"/>
              <w:right w:val="nil"/>
            </w:tcBorders>
          </w:tcPr>
          <w:p w:rsidR="00CA0563" w:rsidRDefault="00CA0563" w:rsidP="004D29E9">
            <w:pPr>
              <w:adjustRightInd w:val="0"/>
              <w:spacing w:before="60" w:after="60"/>
              <w:rPr>
                <w:rFonts w:ascii="Times" w:hAnsi="Times" w:cs="Times"/>
                <w:color w:val="000000"/>
              </w:rPr>
            </w:pPr>
            <w:r>
              <w:rPr>
                <w:rFonts w:ascii="Times" w:hAnsi="Times" w:cs="Times"/>
                <w:color w:val="000000"/>
              </w:rPr>
              <w:t>G03AA12</w:t>
            </w:r>
          </w:p>
        </w:tc>
        <w:tc>
          <w:tcPr>
            <w:tcW w:w="972" w:type="dxa"/>
            <w:tcBorders>
              <w:top w:val="nil"/>
              <w:left w:val="single" w:sz="2" w:space="0" w:color="000000"/>
              <w:bottom w:val="single" w:sz="2" w:space="0" w:color="000000"/>
              <w:right w:val="nil"/>
            </w:tcBorders>
          </w:tcPr>
          <w:p w:rsidR="00CA0563" w:rsidRDefault="00CA0563" w:rsidP="004D29E9">
            <w:pPr>
              <w:adjustRightInd w:val="0"/>
              <w:spacing w:before="60" w:after="60"/>
              <w:jc w:val="right"/>
              <w:rPr>
                <w:rFonts w:ascii="Times" w:hAnsi="Times" w:cs="Times"/>
                <w:color w:val="000000"/>
              </w:rPr>
            </w:pPr>
            <w:r>
              <w:rPr>
                <w:rFonts w:ascii="Times" w:hAnsi="Times" w:cs="Times"/>
                <w:color w:val="000000"/>
              </w:rPr>
              <w:t>1</w:t>
            </w:r>
          </w:p>
        </w:tc>
        <w:tc>
          <w:tcPr>
            <w:tcW w:w="1935" w:type="dxa"/>
            <w:tcBorders>
              <w:top w:val="nil"/>
              <w:left w:val="single" w:sz="2" w:space="0" w:color="000000"/>
              <w:bottom w:val="single" w:sz="2" w:space="0" w:color="000000"/>
              <w:right w:val="single" w:sz="6" w:space="0" w:color="000000"/>
            </w:tcBorders>
          </w:tcPr>
          <w:p w:rsidR="00CA0563" w:rsidRDefault="00CA0563" w:rsidP="004D29E9">
            <w:pPr>
              <w:adjustRightInd w:val="0"/>
              <w:spacing w:before="60" w:after="60"/>
              <w:jc w:val="right"/>
              <w:rPr>
                <w:rFonts w:ascii="Times" w:hAnsi="Times" w:cs="Times"/>
                <w:color w:val="000000"/>
              </w:rPr>
            </w:pPr>
            <w:r>
              <w:rPr>
                <w:rFonts w:ascii="Times" w:hAnsi="Times" w:cs="Times"/>
                <w:color w:val="000000"/>
              </w:rPr>
              <w:t>4</w:t>
            </w:r>
          </w:p>
        </w:tc>
      </w:tr>
      <w:tr w:rsidR="00CA0563" w:rsidTr="00362924">
        <w:trPr>
          <w:cantSplit/>
          <w:trHeight w:val="388"/>
          <w:jc w:val="center"/>
        </w:trPr>
        <w:tc>
          <w:tcPr>
            <w:tcW w:w="3296" w:type="dxa"/>
            <w:tcBorders>
              <w:top w:val="nil"/>
              <w:left w:val="single" w:sz="6" w:space="0" w:color="000000"/>
              <w:bottom w:val="single" w:sz="2" w:space="0" w:color="000000"/>
              <w:right w:val="nil"/>
            </w:tcBorders>
          </w:tcPr>
          <w:p w:rsidR="00CA0563" w:rsidRDefault="00CA0563" w:rsidP="004D29E9">
            <w:pPr>
              <w:adjustRightInd w:val="0"/>
              <w:spacing w:before="60" w:after="60"/>
              <w:rPr>
                <w:rFonts w:ascii="Times" w:hAnsi="Times" w:cs="Times"/>
                <w:color w:val="000000"/>
              </w:rPr>
            </w:pPr>
            <w:r>
              <w:rPr>
                <w:rFonts w:ascii="Times" w:hAnsi="Times" w:cs="Times"/>
                <w:color w:val="000000"/>
              </w:rPr>
              <w:t>Levodopa og decarboxylase-hæmmere</w:t>
            </w:r>
          </w:p>
        </w:tc>
        <w:tc>
          <w:tcPr>
            <w:tcW w:w="1135" w:type="dxa"/>
            <w:tcBorders>
              <w:top w:val="nil"/>
              <w:left w:val="single" w:sz="2" w:space="0" w:color="000000"/>
              <w:bottom w:val="single" w:sz="2" w:space="0" w:color="000000"/>
              <w:right w:val="nil"/>
            </w:tcBorders>
          </w:tcPr>
          <w:p w:rsidR="00CA0563" w:rsidRDefault="00CA0563" w:rsidP="004D29E9">
            <w:pPr>
              <w:adjustRightInd w:val="0"/>
              <w:spacing w:before="60" w:after="60"/>
              <w:rPr>
                <w:rFonts w:ascii="Times" w:hAnsi="Times" w:cs="Times"/>
                <w:color w:val="000000"/>
              </w:rPr>
            </w:pPr>
            <w:r>
              <w:rPr>
                <w:rFonts w:ascii="Times" w:hAnsi="Times" w:cs="Times"/>
                <w:color w:val="000000"/>
              </w:rPr>
              <w:t>N04BA02</w:t>
            </w:r>
          </w:p>
        </w:tc>
        <w:tc>
          <w:tcPr>
            <w:tcW w:w="972" w:type="dxa"/>
            <w:tcBorders>
              <w:top w:val="nil"/>
              <w:left w:val="single" w:sz="2" w:space="0" w:color="000000"/>
              <w:bottom w:val="single" w:sz="2" w:space="0" w:color="000000"/>
              <w:right w:val="nil"/>
            </w:tcBorders>
          </w:tcPr>
          <w:p w:rsidR="00CA0563" w:rsidRDefault="00CA0563" w:rsidP="004D29E9">
            <w:pPr>
              <w:adjustRightInd w:val="0"/>
              <w:spacing w:before="60" w:after="60"/>
              <w:jc w:val="right"/>
              <w:rPr>
                <w:rFonts w:ascii="Times" w:hAnsi="Times" w:cs="Times"/>
                <w:color w:val="000000"/>
              </w:rPr>
            </w:pPr>
            <w:r>
              <w:rPr>
                <w:rFonts w:ascii="Times" w:hAnsi="Times" w:cs="Times"/>
                <w:color w:val="000000"/>
              </w:rPr>
              <w:t>1</w:t>
            </w:r>
          </w:p>
        </w:tc>
        <w:tc>
          <w:tcPr>
            <w:tcW w:w="1935" w:type="dxa"/>
            <w:tcBorders>
              <w:top w:val="nil"/>
              <w:left w:val="single" w:sz="2" w:space="0" w:color="000000"/>
              <w:bottom w:val="single" w:sz="2" w:space="0" w:color="000000"/>
              <w:right w:val="single" w:sz="6" w:space="0" w:color="000000"/>
            </w:tcBorders>
          </w:tcPr>
          <w:p w:rsidR="00CA0563" w:rsidRDefault="00CA0563" w:rsidP="004D29E9">
            <w:pPr>
              <w:adjustRightInd w:val="0"/>
              <w:spacing w:before="60" w:after="60"/>
              <w:jc w:val="right"/>
              <w:rPr>
                <w:rFonts w:ascii="Times" w:hAnsi="Times" w:cs="Times"/>
                <w:color w:val="000000"/>
              </w:rPr>
            </w:pPr>
            <w:r>
              <w:rPr>
                <w:rFonts w:ascii="Times" w:hAnsi="Times" w:cs="Times"/>
                <w:color w:val="000000"/>
              </w:rPr>
              <w:t>1</w:t>
            </w:r>
          </w:p>
        </w:tc>
      </w:tr>
      <w:tr w:rsidR="00CA0563" w:rsidTr="00362924">
        <w:trPr>
          <w:cantSplit/>
          <w:trHeight w:val="388"/>
          <w:jc w:val="center"/>
        </w:trPr>
        <w:tc>
          <w:tcPr>
            <w:tcW w:w="3296" w:type="dxa"/>
            <w:tcBorders>
              <w:top w:val="nil"/>
              <w:left w:val="single" w:sz="6" w:space="0" w:color="000000"/>
              <w:bottom w:val="single" w:sz="2" w:space="0" w:color="000000"/>
              <w:right w:val="nil"/>
            </w:tcBorders>
          </w:tcPr>
          <w:p w:rsidR="00CA0563" w:rsidRDefault="00CA0563" w:rsidP="004D29E9">
            <w:pPr>
              <w:adjustRightInd w:val="0"/>
              <w:spacing w:before="60" w:after="60"/>
              <w:rPr>
                <w:rFonts w:ascii="Times" w:hAnsi="Times" w:cs="Times"/>
                <w:color w:val="000000"/>
              </w:rPr>
            </w:pPr>
            <w:r>
              <w:rPr>
                <w:rFonts w:ascii="Times" w:hAnsi="Times" w:cs="Times"/>
                <w:color w:val="000000"/>
              </w:rPr>
              <w:t>Furosemid</w:t>
            </w:r>
          </w:p>
        </w:tc>
        <w:tc>
          <w:tcPr>
            <w:tcW w:w="1135" w:type="dxa"/>
            <w:tcBorders>
              <w:top w:val="nil"/>
              <w:left w:val="single" w:sz="2" w:space="0" w:color="000000"/>
              <w:bottom w:val="single" w:sz="2" w:space="0" w:color="000000"/>
              <w:right w:val="nil"/>
            </w:tcBorders>
          </w:tcPr>
          <w:p w:rsidR="00CA0563" w:rsidRDefault="00CA0563" w:rsidP="004D29E9">
            <w:pPr>
              <w:adjustRightInd w:val="0"/>
              <w:spacing w:before="60" w:after="60"/>
              <w:rPr>
                <w:rFonts w:ascii="Times" w:hAnsi="Times" w:cs="Times"/>
                <w:color w:val="000000"/>
              </w:rPr>
            </w:pPr>
            <w:r>
              <w:rPr>
                <w:rFonts w:ascii="Times" w:hAnsi="Times" w:cs="Times"/>
                <w:color w:val="000000"/>
              </w:rPr>
              <w:t>C03CA01</w:t>
            </w:r>
          </w:p>
        </w:tc>
        <w:tc>
          <w:tcPr>
            <w:tcW w:w="972" w:type="dxa"/>
            <w:tcBorders>
              <w:top w:val="nil"/>
              <w:left w:val="single" w:sz="2" w:space="0" w:color="000000"/>
              <w:bottom w:val="single" w:sz="2" w:space="0" w:color="000000"/>
              <w:right w:val="nil"/>
            </w:tcBorders>
          </w:tcPr>
          <w:p w:rsidR="00CA0563" w:rsidRDefault="00CA0563" w:rsidP="004D29E9">
            <w:pPr>
              <w:adjustRightInd w:val="0"/>
              <w:spacing w:before="60" w:after="60"/>
              <w:jc w:val="right"/>
              <w:rPr>
                <w:rFonts w:ascii="Times" w:hAnsi="Times" w:cs="Times"/>
                <w:color w:val="000000"/>
              </w:rPr>
            </w:pPr>
            <w:r>
              <w:rPr>
                <w:rFonts w:ascii="Times" w:hAnsi="Times" w:cs="Times"/>
                <w:color w:val="000000"/>
              </w:rPr>
              <w:t>1</w:t>
            </w:r>
          </w:p>
        </w:tc>
        <w:tc>
          <w:tcPr>
            <w:tcW w:w="1935" w:type="dxa"/>
            <w:tcBorders>
              <w:top w:val="nil"/>
              <w:left w:val="single" w:sz="2" w:space="0" w:color="000000"/>
              <w:bottom w:val="single" w:sz="2" w:space="0" w:color="000000"/>
              <w:right w:val="single" w:sz="6" w:space="0" w:color="000000"/>
            </w:tcBorders>
          </w:tcPr>
          <w:p w:rsidR="00CA0563" w:rsidRDefault="00CA0563" w:rsidP="004D29E9">
            <w:pPr>
              <w:adjustRightInd w:val="0"/>
              <w:spacing w:before="60" w:after="60"/>
              <w:jc w:val="right"/>
              <w:rPr>
                <w:rFonts w:ascii="Times" w:hAnsi="Times" w:cs="Times"/>
                <w:color w:val="000000"/>
              </w:rPr>
            </w:pPr>
            <w:r>
              <w:rPr>
                <w:rFonts w:ascii="Times" w:hAnsi="Times" w:cs="Times"/>
                <w:color w:val="000000"/>
              </w:rPr>
              <w:t>1</w:t>
            </w:r>
          </w:p>
        </w:tc>
      </w:tr>
      <w:tr w:rsidR="00CA0563" w:rsidTr="00362924">
        <w:trPr>
          <w:cantSplit/>
          <w:trHeight w:val="388"/>
          <w:jc w:val="center"/>
        </w:trPr>
        <w:tc>
          <w:tcPr>
            <w:tcW w:w="3296" w:type="dxa"/>
            <w:tcBorders>
              <w:top w:val="nil"/>
              <w:left w:val="single" w:sz="6" w:space="0" w:color="000000"/>
              <w:bottom w:val="single" w:sz="2" w:space="0" w:color="000000"/>
              <w:right w:val="nil"/>
            </w:tcBorders>
          </w:tcPr>
          <w:p w:rsidR="00CA0563" w:rsidRDefault="00CA0563" w:rsidP="004D29E9">
            <w:pPr>
              <w:adjustRightInd w:val="0"/>
              <w:spacing w:before="60" w:after="60"/>
              <w:rPr>
                <w:rFonts w:ascii="Times" w:hAnsi="Times" w:cs="Times"/>
                <w:color w:val="000000"/>
              </w:rPr>
            </w:pPr>
            <w:r>
              <w:rPr>
                <w:rFonts w:ascii="Times" w:hAnsi="Times" w:cs="Times"/>
                <w:color w:val="000000"/>
              </w:rPr>
              <w:t>Tramadol</w:t>
            </w:r>
          </w:p>
        </w:tc>
        <w:tc>
          <w:tcPr>
            <w:tcW w:w="1135" w:type="dxa"/>
            <w:tcBorders>
              <w:top w:val="nil"/>
              <w:left w:val="single" w:sz="2" w:space="0" w:color="000000"/>
              <w:bottom w:val="single" w:sz="2" w:space="0" w:color="000000"/>
              <w:right w:val="nil"/>
            </w:tcBorders>
          </w:tcPr>
          <w:p w:rsidR="00CA0563" w:rsidRDefault="00CA0563" w:rsidP="004D29E9">
            <w:pPr>
              <w:adjustRightInd w:val="0"/>
              <w:spacing w:before="60" w:after="60"/>
              <w:rPr>
                <w:rFonts w:ascii="Times" w:hAnsi="Times" w:cs="Times"/>
                <w:color w:val="000000"/>
              </w:rPr>
            </w:pPr>
            <w:r>
              <w:rPr>
                <w:rFonts w:ascii="Times" w:hAnsi="Times" w:cs="Times"/>
                <w:color w:val="000000"/>
              </w:rPr>
              <w:t>N02AX02</w:t>
            </w:r>
          </w:p>
        </w:tc>
        <w:tc>
          <w:tcPr>
            <w:tcW w:w="972" w:type="dxa"/>
            <w:tcBorders>
              <w:top w:val="nil"/>
              <w:left w:val="single" w:sz="2" w:space="0" w:color="000000"/>
              <w:bottom w:val="single" w:sz="2" w:space="0" w:color="000000"/>
              <w:right w:val="nil"/>
            </w:tcBorders>
          </w:tcPr>
          <w:p w:rsidR="00CA0563" w:rsidRDefault="00CA0563" w:rsidP="004D29E9">
            <w:pPr>
              <w:adjustRightInd w:val="0"/>
              <w:spacing w:before="60" w:after="60"/>
              <w:jc w:val="right"/>
              <w:rPr>
                <w:rFonts w:ascii="Times" w:hAnsi="Times" w:cs="Times"/>
                <w:color w:val="000000"/>
              </w:rPr>
            </w:pPr>
            <w:r>
              <w:rPr>
                <w:rFonts w:ascii="Times" w:hAnsi="Times" w:cs="Times"/>
                <w:color w:val="000000"/>
              </w:rPr>
              <w:t>1</w:t>
            </w:r>
          </w:p>
        </w:tc>
        <w:tc>
          <w:tcPr>
            <w:tcW w:w="1935" w:type="dxa"/>
            <w:tcBorders>
              <w:top w:val="nil"/>
              <w:left w:val="single" w:sz="2" w:space="0" w:color="000000"/>
              <w:bottom w:val="single" w:sz="2" w:space="0" w:color="000000"/>
              <w:right w:val="single" w:sz="6" w:space="0" w:color="000000"/>
            </w:tcBorders>
          </w:tcPr>
          <w:p w:rsidR="00CA0563" w:rsidRDefault="00CA0563" w:rsidP="004D29E9">
            <w:pPr>
              <w:adjustRightInd w:val="0"/>
              <w:spacing w:before="60" w:after="60"/>
              <w:jc w:val="right"/>
              <w:rPr>
                <w:rFonts w:ascii="Times" w:hAnsi="Times" w:cs="Times"/>
                <w:color w:val="000000"/>
              </w:rPr>
            </w:pPr>
            <w:r>
              <w:rPr>
                <w:rFonts w:ascii="Times" w:hAnsi="Times" w:cs="Times"/>
                <w:color w:val="000000"/>
              </w:rPr>
              <w:t>1</w:t>
            </w:r>
          </w:p>
        </w:tc>
      </w:tr>
      <w:tr w:rsidR="00CA0563" w:rsidTr="00362924">
        <w:trPr>
          <w:cantSplit/>
          <w:trHeight w:val="388"/>
          <w:jc w:val="center"/>
        </w:trPr>
        <w:tc>
          <w:tcPr>
            <w:tcW w:w="3296" w:type="dxa"/>
            <w:tcBorders>
              <w:top w:val="nil"/>
              <w:left w:val="single" w:sz="6" w:space="0" w:color="000000"/>
              <w:bottom w:val="single" w:sz="2" w:space="0" w:color="000000"/>
              <w:right w:val="nil"/>
            </w:tcBorders>
          </w:tcPr>
          <w:p w:rsidR="00CA0563" w:rsidRDefault="00CA0563" w:rsidP="004D29E9">
            <w:pPr>
              <w:keepNext/>
              <w:adjustRightInd w:val="0"/>
              <w:spacing w:before="60" w:after="60"/>
              <w:rPr>
                <w:rFonts w:ascii="Times" w:hAnsi="Times" w:cs="Times"/>
                <w:color w:val="000000"/>
              </w:rPr>
            </w:pPr>
            <w:r>
              <w:rPr>
                <w:rFonts w:ascii="Times" w:hAnsi="Times" w:cs="Times"/>
                <w:color w:val="000000"/>
              </w:rPr>
              <w:t>Mesalazin</w:t>
            </w:r>
          </w:p>
        </w:tc>
        <w:tc>
          <w:tcPr>
            <w:tcW w:w="1135" w:type="dxa"/>
            <w:tcBorders>
              <w:top w:val="nil"/>
              <w:left w:val="single" w:sz="2" w:space="0" w:color="000000"/>
              <w:bottom w:val="single" w:sz="2" w:space="0" w:color="000000"/>
              <w:right w:val="nil"/>
            </w:tcBorders>
          </w:tcPr>
          <w:p w:rsidR="00CA0563" w:rsidRDefault="00CA0563" w:rsidP="004D29E9">
            <w:pPr>
              <w:keepNext/>
              <w:adjustRightInd w:val="0"/>
              <w:spacing w:before="60" w:after="60"/>
              <w:rPr>
                <w:rFonts w:ascii="Times" w:hAnsi="Times" w:cs="Times"/>
                <w:color w:val="000000"/>
              </w:rPr>
            </w:pPr>
            <w:r>
              <w:rPr>
                <w:rFonts w:ascii="Times" w:hAnsi="Times" w:cs="Times"/>
                <w:color w:val="000000"/>
              </w:rPr>
              <w:t>A07EC02</w:t>
            </w:r>
          </w:p>
        </w:tc>
        <w:tc>
          <w:tcPr>
            <w:tcW w:w="972" w:type="dxa"/>
            <w:tcBorders>
              <w:top w:val="nil"/>
              <w:left w:val="single" w:sz="2" w:space="0" w:color="000000"/>
              <w:bottom w:val="single" w:sz="2" w:space="0" w:color="000000"/>
              <w:right w:val="nil"/>
            </w:tcBorders>
          </w:tcPr>
          <w:p w:rsidR="00CA0563" w:rsidRDefault="00CA0563" w:rsidP="004D29E9">
            <w:pPr>
              <w:keepNext/>
              <w:adjustRightInd w:val="0"/>
              <w:spacing w:before="60" w:after="60"/>
              <w:jc w:val="right"/>
              <w:rPr>
                <w:rFonts w:ascii="Times" w:hAnsi="Times" w:cs="Times"/>
                <w:color w:val="000000"/>
              </w:rPr>
            </w:pPr>
            <w:r>
              <w:rPr>
                <w:rFonts w:ascii="Times" w:hAnsi="Times" w:cs="Times"/>
                <w:color w:val="000000"/>
              </w:rPr>
              <w:t>1</w:t>
            </w:r>
          </w:p>
        </w:tc>
        <w:tc>
          <w:tcPr>
            <w:tcW w:w="1935" w:type="dxa"/>
            <w:tcBorders>
              <w:top w:val="nil"/>
              <w:left w:val="single" w:sz="2" w:space="0" w:color="000000"/>
              <w:bottom w:val="single" w:sz="2" w:space="0" w:color="000000"/>
              <w:right w:val="single" w:sz="6" w:space="0" w:color="000000"/>
            </w:tcBorders>
          </w:tcPr>
          <w:p w:rsidR="00CA0563" w:rsidRDefault="00CA0563" w:rsidP="004D29E9">
            <w:pPr>
              <w:keepNext/>
              <w:adjustRightInd w:val="0"/>
              <w:spacing w:before="60" w:after="60"/>
              <w:jc w:val="right"/>
              <w:rPr>
                <w:rFonts w:ascii="Times" w:hAnsi="Times" w:cs="Times"/>
                <w:color w:val="000000"/>
              </w:rPr>
            </w:pPr>
            <w:r>
              <w:rPr>
                <w:rFonts w:ascii="Times" w:hAnsi="Times" w:cs="Times"/>
                <w:color w:val="000000"/>
              </w:rPr>
              <w:t>1</w:t>
            </w:r>
          </w:p>
        </w:tc>
      </w:tr>
      <w:tr w:rsidR="00CA0563" w:rsidTr="00362924">
        <w:trPr>
          <w:cantSplit/>
          <w:trHeight w:val="388"/>
          <w:jc w:val="center"/>
        </w:trPr>
        <w:tc>
          <w:tcPr>
            <w:tcW w:w="3296" w:type="dxa"/>
            <w:tcBorders>
              <w:top w:val="nil"/>
              <w:left w:val="single" w:sz="6" w:space="0" w:color="000000"/>
              <w:bottom w:val="single" w:sz="6" w:space="0" w:color="000000"/>
              <w:right w:val="nil"/>
            </w:tcBorders>
          </w:tcPr>
          <w:p w:rsidR="00CA0563" w:rsidRDefault="00CA0563" w:rsidP="004D29E9">
            <w:pPr>
              <w:adjustRightInd w:val="0"/>
              <w:spacing w:before="60" w:after="60"/>
              <w:rPr>
                <w:rFonts w:ascii="Times" w:hAnsi="Times" w:cs="Times"/>
                <w:color w:val="000000"/>
              </w:rPr>
            </w:pPr>
            <w:r>
              <w:rPr>
                <w:rFonts w:ascii="Times" w:hAnsi="Times" w:cs="Times"/>
                <w:color w:val="000000"/>
              </w:rPr>
              <w:t>Dexibuprofen</w:t>
            </w:r>
          </w:p>
        </w:tc>
        <w:tc>
          <w:tcPr>
            <w:tcW w:w="1135" w:type="dxa"/>
            <w:tcBorders>
              <w:top w:val="nil"/>
              <w:left w:val="single" w:sz="2" w:space="0" w:color="000000"/>
              <w:bottom w:val="single" w:sz="6" w:space="0" w:color="000000"/>
              <w:right w:val="nil"/>
            </w:tcBorders>
          </w:tcPr>
          <w:p w:rsidR="00CA0563" w:rsidRDefault="00CA0563" w:rsidP="004D29E9">
            <w:pPr>
              <w:adjustRightInd w:val="0"/>
              <w:spacing w:before="60" w:after="60"/>
              <w:rPr>
                <w:rFonts w:ascii="Times" w:hAnsi="Times" w:cs="Times"/>
                <w:color w:val="000000"/>
              </w:rPr>
            </w:pPr>
            <w:r>
              <w:rPr>
                <w:rFonts w:ascii="Times" w:hAnsi="Times" w:cs="Times"/>
                <w:color w:val="000000"/>
              </w:rPr>
              <w:t>M01AE14</w:t>
            </w:r>
          </w:p>
        </w:tc>
        <w:tc>
          <w:tcPr>
            <w:tcW w:w="972" w:type="dxa"/>
            <w:tcBorders>
              <w:top w:val="nil"/>
              <w:left w:val="single" w:sz="2" w:space="0" w:color="000000"/>
              <w:bottom w:val="single" w:sz="6" w:space="0" w:color="000000"/>
              <w:right w:val="nil"/>
            </w:tcBorders>
          </w:tcPr>
          <w:p w:rsidR="00CA0563" w:rsidRDefault="00CA0563" w:rsidP="004D29E9">
            <w:pPr>
              <w:adjustRightInd w:val="0"/>
              <w:spacing w:before="60" w:after="60"/>
              <w:jc w:val="right"/>
              <w:rPr>
                <w:rFonts w:ascii="Times" w:hAnsi="Times" w:cs="Times"/>
                <w:color w:val="000000"/>
              </w:rPr>
            </w:pPr>
            <w:r>
              <w:rPr>
                <w:rFonts w:ascii="Times" w:hAnsi="Times" w:cs="Times"/>
                <w:color w:val="000000"/>
              </w:rPr>
              <w:t>1</w:t>
            </w:r>
          </w:p>
        </w:tc>
        <w:tc>
          <w:tcPr>
            <w:tcW w:w="1935" w:type="dxa"/>
            <w:tcBorders>
              <w:top w:val="nil"/>
              <w:left w:val="single" w:sz="2" w:space="0" w:color="000000"/>
              <w:bottom w:val="single" w:sz="6" w:space="0" w:color="000000"/>
              <w:right w:val="single" w:sz="6" w:space="0" w:color="000000"/>
            </w:tcBorders>
          </w:tcPr>
          <w:p w:rsidR="00CA0563" w:rsidRDefault="00CA0563" w:rsidP="004D29E9">
            <w:pPr>
              <w:adjustRightInd w:val="0"/>
              <w:spacing w:before="60" w:after="60"/>
              <w:jc w:val="right"/>
              <w:rPr>
                <w:rFonts w:ascii="Times" w:hAnsi="Times" w:cs="Times"/>
                <w:color w:val="000000"/>
              </w:rPr>
            </w:pPr>
            <w:r>
              <w:rPr>
                <w:rFonts w:ascii="Times" w:hAnsi="Times" w:cs="Times"/>
                <w:color w:val="000000"/>
              </w:rPr>
              <w:t>1</w:t>
            </w:r>
          </w:p>
        </w:tc>
      </w:tr>
    </w:tbl>
    <w:p w:rsidR="00E844FB" w:rsidRDefault="00E844FB" w:rsidP="00CA0563">
      <w:pPr>
        <w:rPr>
          <w:szCs w:val="20"/>
        </w:rPr>
      </w:pPr>
    </w:p>
    <w:p w:rsidR="00CA0563" w:rsidRPr="005B4D36" w:rsidRDefault="00477FD8" w:rsidP="00CA0563">
      <w:pPr>
        <w:rPr>
          <w:szCs w:val="20"/>
        </w:rPr>
      </w:pPr>
      <w:r>
        <w:rPr>
          <w:szCs w:val="20"/>
        </w:rPr>
        <w:t>O</w:t>
      </w:r>
      <w:r w:rsidR="00CA0563" w:rsidRPr="005B4D36">
        <w:rPr>
          <w:szCs w:val="20"/>
        </w:rPr>
        <w:t>venstående lægemidler, der er solgt med indikationskoder for leddegigt, anvendes med nogle få undtagelser til leddegigt. Vi kan dog ikke udelukke, at nogle at disse personer, der har fået indikationskoder for leddegigt, ikke lider af andre former for autoimmune gigtsygdomme, som børnegigt, rygsøjlegigt og psoriasisgigt. Indikationskoderne for disse andre former for autoimmune gigtformer er ikke hyppigt anvendt i Lægemiddelstatistikregisteret.</w:t>
      </w:r>
    </w:p>
    <w:p w:rsidR="00CA0563" w:rsidRPr="005B4D36" w:rsidRDefault="00CA0563" w:rsidP="00CA0563">
      <w:pPr>
        <w:rPr>
          <w:szCs w:val="20"/>
        </w:rPr>
      </w:pPr>
    </w:p>
    <w:p w:rsidR="00CA0563" w:rsidRPr="005B4D36" w:rsidRDefault="00CA0563" w:rsidP="00CA0563">
      <w:pPr>
        <w:rPr>
          <w:szCs w:val="20"/>
        </w:rPr>
      </w:pPr>
      <w:r w:rsidRPr="005B4D36">
        <w:rPr>
          <w:szCs w:val="20"/>
        </w:rPr>
        <w:t>Der er derfor risiko for en misklassifikation mellem personer med leddegigt og andre patienter med autoimmune reumatologiske sygdomme som rygsøjlegigt, psoriasisgigt og børnegigt.</w:t>
      </w:r>
    </w:p>
    <w:p w:rsidR="00CA0563" w:rsidRPr="005B4D36" w:rsidRDefault="00CA0563" w:rsidP="00CA0563">
      <w:pPr>
        <w:rPr>
          <w:szCs w:val="20"/>
        </w:rPr>
      </w:pPr>
    </w:p>
    <w:p w:rsidR="00CA0563" w:rsidRPr="005B4D36" w:rsidRDefault="00CA0563" w:rsidP="00CA0563">
      <w:pPr>
        <w:rPr>
          <w:szCs w:val="20"/>
        </w:rPr>
      </w:pPr>
      <w:r w:rsidRPr="005B4D36">
        <w:rPr>
          <w:szCs w:val="20"/>
        </w:rPr>
        <w:t>Udtrækket fra Landspatientregisteret er baseret på aktions- og bidiagnoser. Der er ikke taget hensyn til hvilket hovedspeciale som den afdeling, der har behandlet patient, har. Årsagen til dette er, at reumatologi ikke er angivet som hovedspeciale på alle afdelinger med reumatologi som speciale. I Region Midtjylland anføres kun overafdeling på mange afdelinger og disse som medicinske afdelinger med intern medicin som hovedspeciale og uden angivelse af evt. bispecialer.</w:t>
      </w:r>
    </w:p>
    <w:p w:rsidR="00CA0563" w:rsidRPr="005B4D36" w:rsidRDefault="00CA0563" w:rsidP="00CA0563">
      <w:pPr>
        <w:rPr>
          <w:szCs w:val="20"/>
        </w:rPr>
      </w:pPr>
    </w:p>
    <w:p w:rsidR="00CA0563" w:rsidRPr="005B4D36" w:rsidRDefault="00CA0563" w:rsidP="008C473E">
      <w:pPr>
        <w:pStyle w:val="Overskrift2"/>
        <w:rPr>
          <w:b/>
          <w:sz w:val="20"/>
          <w:szCs w:val="20"/>
        </w:rPr>
      </w:pPr>
      <w:bookmarkStart w:id="57" w:name="_Toc391624692"/>
      <w:r w:rsidRPr="005B4D36">
        <w:rPr>
          <w:b/>
          <w:sz w:val="20"/>
          <w:szCs w:val="20"/>
        </w:rPr>
        <w:t>Fremtidig udbygning</w:t>
      </w:r>
      <w:bookmarkEnd w:id="57"/>
    </w:p>
    <w:p w:rsidR="00CA0563" w:rsidRPr="005B4D36" w:rsidRDefault="00CA0563" w:rsidP="00CA0563">
      <w:pPr>
        <w:rPr>
          <w:b/>
          <w:szCs w:val="20"/>
        </w:rPr>
      </w:pPr>
    </w:p>
    <w:p w:rsidR="00CA0563" w:rsidRPr="005B4D36" w:rsidRDefault="00CA0563" w:rsidP="00CA0563">
      <w:pPr>
        <w:rPr>
          <w:szCs w:val="20"/>
        </w:rPr>
      </w:pPr>
      <w:r w:rsidRPr="005B4D36">
        <w:rPr>
          <w:szCs w:val="20"/>
        </w:rPr>
        <w:t>Populationsudvælgelsen kan formentlig forbedres ved berigelse med data fra DANBIO og DAK-E.</w:t>
      </w:r>
    </w:p>
    <w:p w:rsidR="00CA0563" w:rsidRPr="005B4D36" w:rsidRDefault="00CA0563" w:rsidP="00CA0563">
      <w:pPr>
        <w:rPr>
          <w:szCs w:val="20"/>
        </w:rPr>
      </w:pPr>
    </w:p>
    <w:p w:rsidR="00CA0563" w:rsidRPr="005B4D36" w:rsidRDefault="00CA0563" w:rsidP="00CA0563">
      <w:pPr>
        <w:rPr>
          <w:szCs w:val="20"/>
        </w:rPr>
      </w:pPr>
      <w:r w:rsidRPr="005B4D36">
        <w:rPr>
          <w:szCs w:val="20"/>
        </w:rPr>
        <w:t>Det bør overvejes om population også skal udbygges med andre autoimmune reumatologiske sygdomme som rygsøjlegigt, psoriasisgigt og børnegigt. Øvrige også livsstilsbetingede gigtformer, som slidgigt og urinsurgigt kan tilføjes som separate sygdomme, men disse gigtformer bør ikke pooles med leddegigt.</w:t>
      </w:r>
    </w:p>
    <w:p w:rsidR="004D29E9" w:rsidRDefault="004D29E9" w:rsidP="00CA0563">
      <w:pPr>
        <w:rPr>
          <w:sz w:val="22"/>
        </w:rPr>
      </w:pPr>
    </w:p>
    <w:p w:rsidR="005B4D36" w:rsidRPr="008B6368" w:rsidRDefault="005B4D36" w:rsidP="00CA0563">
      <w:pPr>
        <w:rPr>
          <w:sz w:val="22"/>
        </w:rPr>
      </w:pPr>
    </w:p>
    <w:p w:rsidR="004D29E9" w:rsidRDefault="006601B6" w:rsidP="004D29E9">
      <w:pPr>
        <w:pStyle w:val="Overskrift1"/>
        <w:rPr>
          <w:sz w:val="24"/>
          <w:szCs w:val="24"/>
        </w:rPr>
      </w:pPr>
      <w:bookmarkStart w:id="58" w:name="_Toc391624693"/>
      <w:r>
        <w:t xml:space="preserve">6. </w:t>
      </w:r>
      <w:r w:rsidR="004D29E9">
        <w:t>Skizofreni</w:t>
      </w:r>
      <w:bookmarkEnd w:id="58"/>
    </w:p>
    <w:p w:rsidR="004D29E9" w:rsidRPr="005B4D36" w:rsidRDefault="004D29E9" w:rsidP="004D29E9">
      <w:pPr>
        <w:rPr>
          <w:szCs w:val="20"/>
        </w:rPr>
      </w:pPr>
    </w:p>
    <w:p w:rsidR="004D29E9" w:rsidRPr="005B4D36" w:rsidRDefault="004D29E9" w:rsidP="004D29E9">
      <w:pPr>
        <w:pStyle w:val="Overskrift2"/>
        <w:rPr>
          <w:b/>
          <w:sz w:val="20"/>
          <w:szCs w:val="20"/>
        </w:rPr>
      </w:pPr>
      <w:bookmarkStart w:id="59" w:name="_Toc391624694"/>
      <w:r w:rsidRPr="005B4D36">
        <w:rPr>
          <w:b/>
          <w:sz w:val="20"/>
          <w:szCs w:val="20"/>
        </w:rPr>
        <w:t>Årsag til udvælgelse</w:t>
      </w:r>
      <w:bookmarkEnd w:id="59"/>
    </w:p>
    <w:p w:rsidR="004D29E9" w:rsidRPr="005B4D36" w:rsidRDefault="004D29E9" w:rsidP="004D29E9">
      <w:pPr>
        <w:rPr>
          <w:szCs w:val="20"/>
        </w:rPr>
      </w:pPr>
      <w:r w:rsidRPr="005B4D36">
        <w:rPr>
          <w:szCs w:val="20"/>
        </w:rPr>
        <w:t>Sygdom er valgt i Sundhedsstyrelsens tidligere kronikermonitorering.</w:t>
      </w:r>
    </w:p>
    <w:p w:rsidR="004D29E9" w:rsidRPr="005B4D36" w:rsidRDefault="004D29E9" w:rsidP="004D29E9">
      <w:pPr>
        <w:rPr>
          <w:szCs w:val="20"/>
        </w:rPr>
      </w:pPr>
    </w:p>
    <w:p w:rsidR="004D29E9" w:rsidRPr="005B4D36" w:rsidRDefault="004D29E9" w:rsidP="004D29E9">
      <w:pPr>
        <w:pStyle w:val="Overskrift2"/>
        <w:rPr>
          <w:b/>
          <w:sz w:val="20"/>
          <w:szCs w:val="20"/>
        </w:rPr>
      </w:pPr>
      <w:bookmarkStart w:id="60" w:name="_Toc391624695"/>
      <w:r w:rsidRPr="005B4D36">
        <w:rPr>
          <w:b/>
          <w:sz w:val="20"/>
          <w:szCs w:val="20"/>
        </w:rPr>
        <w:t>Rationale for udvælgelsesmetode og registre</w:t>
      </w:r>
      <w:bookmarkEnd w:id="60"/>
    </w:p>
    <w:p w:rsidR="004D29E9" w:rsidRPr="005B4D36" w:rsidRDefault="004D29E9" w:rsidP="004D29E9">
      <w:pPr>
        <w:rPr>
          <w:szCs w:val="20"/>
        </w:rPr>
      </w:pPr>
      <w:r w:rsidRPr="005B4D36">
        <w:rPr>
          <w:szCs w:val="20"/>
        </w:rPr>
        <w:t xml:space="preserve">Antipsykotiske lægemidler (ATC-gruppe N05A), der anvendes til behandling af skizofreni, anvendes også til behandling af andre sygdomme, herunder andre psykotiske tilstande og bipolar lidelse. Populationen af skizofrenipatienter kan derfor ikke identificeres vha. specifikke lægemidler eller styrker af disse i Lægemiddelstatistikregisteret (LSR). Endvidere forekommer der </w:t>
      </w:r>
      <w:r w:rsidRPr="005B4D36">
        <w:rPr>
          <w:rFonts w:ascii="Arial" w:hAnsi="Arial" w:cs="Arial"/>
          <w:szCs w:val="20"/>
          <w:u w:val="single"/>
        </w:rPr>
        <w:t>vederlagsfri udlevering</w:t>
      </w:r>
      <w:r w:rsidRPr="005B4D36">
        <w:rPr>
          <w:rFonts w:ascii="Arial" w:hAnsi="Arial" w:cs="Arial"/>
          <w:szCs w:val="20"/>
        </w:rPr>
        <w:t xml:space="preserve"> af medicin til særlige ikke-indlagte patientgrupper (nydebuterede skizofrene patienter og retspsykiatriske patienter) i fortsat sygehusbehandling</w:t>
      </w:r>
      <w:r w:rsidRPr="005B4D36">
        <w:rPr>
          <w:rStyle w:val="Slutnotehenvisning"/>
          <w:rFonts w:ascii="Arial" w:hAnsi="Arial" w:cs="Arial"/>
          <w:szCs w:val="20"/>
        </w:rPr>
        <w:endnoteReference w:id="24"/>
      </w:r>
      <w:r w:rsidRPr="005B4D36">
        <w:rPr>
          <w:rFonts w:ascii="Arial" w:hAnsi="Arial" w:cs="Arial"/>
          <w:szCs w:val="20"/>
        </w:rPr>
        <w:t xml:space="preserve">, hvorfor ikke hele populationen af skizofrenipatienter vil optræde i LSR. </w:t>
      </w:r>
      <w:r w:rsidRPr="005B4D36">
        <w:rPr>
          <w:szCs w:val="20"/>
        </w:rPr>
        <w:t>Sygdomsspecifikke indikationskoder, svarende til den etikettetekst som apotekerne sætter på lægemiddelpakninger, kan heller ikke anvendes til udvælgelse af populationen af skizofrenipatienter fra LSR, idet nogle indikationer kan dække over forskellige sygdomme i det skizofreniforme spektrum (kun indikationskoden ”behandling af skizofreni” indikerer, at der er tale om skizofreni). Endvidere kan der være diskretionshensyn ved valg af indikationstekst, således at det er de sygdomsuspecifikke indikationskoder, som anvendes.</w:t>
      </w:r>
    </w:p>
    <w:p w:rsidR="004D29E9" w:rsidRPr="005B4D36" w:rsidRDefault="004D29E9" w:rsidP="004D29E9">
      <w:pPr>
        <w:rPr>
          <w:szCs w:val="20"/>
        </w:rPr>
      </w:pPr>
      <w:r w:rsidRPr="005B4D36">
        <w:rPr>
          <w:szCs w:val="20"/>
        </w:rPr>
        <w:t xml:space="preserve">I Landspatientregisteret (LPR) er skizofreni patienter identificeret ved specifikke ICD-10-diagnosekoder for skizofreni </w:t>
      </w:r>
      <w:r w:rsidRPr="005B4D36">
        <w:rPr>
          <w:rFonts w:asciiTheme="majorHAnsi" w:hAnsiTheme="majorHAnsi" w:cstheme="majorHAnsi"/>
          <w:szCs w:val="20"/>
        </w:rPr>
        <w:t>via deres kontakt med sygehusvæsenet gennem indlæggelser, ambulant behandling eller skadestuebesøg</w:t>
      </w:r>
      <w:r w:rsidRPr="005B4D36">
        <w:rPr>
          <w:szCs w:val="20"/>
        </w:rPr>
        <w:t xml:space="preserve">. </w:t>
      </w:r>
      <w:r w:rsidRPr="005B4D36">
        <w:rPr>
          <w:rFonts w:asciiTheme="majorHAnsi" w:hAnsiTheme="majorHAnsi" w:cstheme="majorHAnsi"/>
          <w:szCs w:val="20"/>
        </w:rPr>
        <w:t xml:space="preserve">Skizofrenipopulationen baseres derfor på data udtrukket fra LPR, Psykiatrisk Centralregister (PSYK) og de private sygehuses indberetninger (Minipas). </w:t>
      </w:r>
      <w:r w:rsidRPr="005B4D36">
        <w:rPr>
          <w:szCs w:val="20"/>
        </w:rPr>
        <w:t>Data indeholder både aktions- og bidiagnoser.</w:t>
      </w:r>
    </w:p>
    <w:p w:rsidR="004D29E9" w:rsidRPr="005B4D36" w:rsidRDefault="004D29E9" w:rsidP="004D29E9">
      <w:pPr>
        <w:rPr>
          <w:szCs w:val="20"/>
        </w:rPr>
      </w:pPr>
    </w:p>
    <w:p w:rsidR="004D29E9" w:rsidRPr="005B4D36" w:rsidRDefault="004D29E9" w:rsidP="00780DEF">
      <w:pPr>
        <w:pStyle w:val="Overskrift2"/>
        <w:rPr>
          <w:szCs w:val="20"/>
          <w:u w:val="single"/>
        </w:rPr>
      </w:pPr>
      <w:bookmarkStart w:id="61" w:name="_Toc391624696"/>
      <w:r w:rsidRPr="005B4D36">
        <w:rPr>
          <w:b/>
          <w:sz w:val="20"/>
          <w:szCs w:val="20"/>
        </w:rPr>
        <w:t>Inklusion- og eksklusionskoder fra registre</w:t>
      </w:r>
      <w:bookmarkEnd w:id="61"/>
    </w:p>
    <w:p w:rsidR="004D29E9" w:rsidRDefault="004D29E9" w:rsidP="004D29E9">
      <w:pPr>
        <w:rPr>
          <w:szCs w:val="20"/>
        </w:rPr>
      </w:pPr>
      <w:r w:rsidRPr="005B4D36">
        <w:rPr>
          <w:szCs w:val="20"/>
        </w:rPr>
        <w:t xml:space="preserve">Inklusion: </w:t>
      </w:r>
    </w:p>
    <w:p w:rsidR="00780DEF" w:rsidRPr="005B4D36" w:rsidRDefault="00780DEF" w:rsidP="004D29E9">
      <w:pPr>
        <w:rPr>
          <w:szCs w:val="20"/>
        </w:rPr>
      </w:pPr>
    </w:p>
    <w:p w:rsidR="004D29E9" w:rsidRPr="005B4D36" w:rsidRDefault="0018716D" w:rsidP="004D29E9">
      <w:pPr>
        <w:pStyle w:val="Listeafsnit"/>
        <w:numPr>
          <w:ilvl w:val="0"/>
          <w:numId w:val="9"/>
        </w:numPr>
        <w:rPr>
          <w:szCs w:val="20"/>
        </w:rPr>
      </w:pPr>
      <w:r>
        <w:rPr>
          <w:szCs w:val="20"/>
        </w:rPr>
        <w:t>Personer, med min.</w:t>
      </w:r>
      <w:r w:rsidR="004D29E9" w:rsidRPr="005B4D36">
        <w:rPr>
          <w:szCs w:val="20"/>
        </w:rPr>
        <w:t xml:space="preserve"> én aktions- eller biadiagnose skizofreni i LPR, PSYK eller Minipas.  </w:t>
      </w:r>
    </w:p>
    <w:p w:rsidR="004D29E9" w:rsidRPr="005B4D36" w:rsidRDefault="004D29E9" w:rsidP="004D29E9">
      <w:pPr>
        <w:rPr>
          <w:szCs w:val="20"/>
          <w:highlight w:val="yellow"/>
        </w:rPr>
      </w:pPr>
    </w:p>
    <w:tbl>
      <w:tblPr>
        <w:tblStyle w:val="Tabel-Gitter"/>
        <w:tblW w:w="0" w:type="auto"/>
        <w:tblLook w:val="04A0" w:firstRow="1" w:lastRow="0" w:firstColumn="1" w:lastColumn="0" w:noHBand="0" w:noVBand="1"/>
      </w:tblPr>
      <w:tblGrid>
        <w:gridCol w:w="8143"/>
      </w:tblGrid>
      <w:tr w:rsidR="004D29E9" w:rsidRPr="005B4D36" w:rsidTr="004D29E9">
        <w:trPr>
          <w:trHeight w:val="211"/>
        </w:trPr>
        <w:tc>
          <w:tcPr>
            <w:tcW w:w="8143" w:type="dxa"/>
          </w:tcPr>
          <w:p w:rsidR="004D29E9" w:rsidRPr="005B4D36" w:rsidRDefault="004D29E9" w:rsidP="004D29E9">
            <w:pPr>
              <w:rPr>
                <w:b/>
                <w:szCs w:val="20"/>
              </w:rPr>
            </w:pPr>
            <w:r w:rsidRPr="005B4D36">
              <w:rPr>
                <w:b/>
                <w:szCs w:val="20"/>
              </w:rPr>
              <w:t>LPR+PSYK+Minipas</w:t>
            </w:r>
          </w:p>
        </w:tc>
      </w:tr>
      <w:tr w:rsidR="004D29E9" w:rsidRPr="005B4D36" w:rsidTr="004D29E9">
        <w:trPr>
          <w:trHeight w:val="632"/>
        </w:trPr>
        <w:tc>
          <w:tcPr>
            <w:tcW w:w="8143" w:type="dxa"/>
          </w:tcPr>
          <w:p w:rsidR="004D29E9" w:rsidRPr="005B4D36" w:rsidRDefault="004D29E9" w:rsidP="004D29E9">
            <w:pPr>
              <w:rPr>
                <w:szCs w:val="20"/>
              </w:rPr>
            </w:pPr>
            <w:r w:rsidRPr="005B4D36">
              <w:rPr>
                <w:szCs w:val="20"/>
              </w:rPr>
              <w:t>ICD-10 koder:</w:t>
            </w:r>
          </w:p>
          <w:p w:rsidR="004D29E9" w:rsidRPr="005B4D36" w:rsidRDefault="004D29E9" w:rsidP="004D29E9">
            <w:pPr>
              <w:rPr>
                <w:b/>
                <w:szCs w:val="20"/>
              </w:rPr>
            </w:pPr>
            <w:r w:rsidRPr="005B4D36">
              <w:rPr>
                <w:szCs w:val="20"/>
              </w:rPr>
              <w:t xml:space="preserve">F20 og underkoder (F20.0-F20.9) skizofreni som A eller B diagnose </w:t>
            </w:r>
          </w:p>
          <w:p w:rsidR="004D29E9" w:rsidRPr="005B4D36" w:rsidRDefault="004D29E9" w:rsidP="004D29E9">
            <w:pPr>
              <w:rPr>
                <w:b/>
                <w:szCs w:val="20"/>
              </w:rPr>
            </w:pPr>
          </w:p>
        </w:tc>
      </w:tr>
    </w:tbl>
    <w:p w:rsidR="004D29E9" w:rsidRPr="005B4D36" w:rsidRDefault="004D29E9" w:rsidP="004D29E9">
      <w:pPr>
        <w:rPr>
          <w:b/>
          <w:szCs w:val="20"/>
        </w:rPr>
      </w:pPr>
    </w:p>
    <w:p w:rsidR="004D29E9" w:rsidRPr="005B4D36" w:rsidRDefault="004D29E9" w:rsidP="004D29E9">
      <w:pPr>
        <w:rPr>
          <w:szCs w:val="20"/>
        </w:rPr>
      </w:pPr>
      <w:r w:rsidRPr="005B4D36">
        <w:rPr>
          <w:szCs w:val="20"/>
        </w:rPr>
        <w:t xml:space="preserve">Eksklusion: </w:t>
      </w:r>
    </w:p>
    <w:p w:rsidR="004D29E9" w:rsidRPr="005B4D36" w:rsidRDefault="00A75F3B" w:rsidP="000147A5">
      <w:pPr>
        <w:pStyle w:val="Listeafsnit"/>
        <w:numPr>
          <w:ilvl w:val="0"/>
          <w:numId w:val="9"/>
        </w:numPr>
        <w:spacing w:line="240" w:lineRule="auto"/>
        <w:rPr>
          <w:b/>
          <w:szCs w:val="20"/>
          <w:vertAlign w:val="superscript"/>
        </w:rPr>
      </w:pPr>
      <w:r w:rsidRPr="005B4D36">
        <w:rPr>
          <w:szCs w:val="20"/>
        </w:rPr>
        <w:t>P</w:t>
      </w:r>
      <w:r w:rsidR="004D29E9" w:rsidRPr="005B4D36">
        <w:rPr>
          <w:szCs w:val="20"/>
        </w:rPr>
        <w:t>ersoner, der ikke har haft en kontakt inden</w:t>
      </w:r>
      <w:r w:rsidR="002E3C27">
        <w:rPr>
          <w:szCs w:val="20"/>
        </w:rPr>
        <w:t xml:space="preserve"> </w:t>
      </w:r>
      <w:r w:rsidR="004D29E9" w:rsidRPr="005B4D36">
        <w:rPr>
          <w:szCs w:val="20"/>
        </w:rPr>
        <w:t xml:space="preserve">for de sidste fem år fra opgørelsestidspunktet. 5-års grænsen vælges for ikke at medtage personer, som ikke aktuelt/længere kan beregnes som syge.   </w:t>
      </w:r>
    </w:p>
    <w:p w:rsidR="004D29E9" w:rsidRPr="005B4D36" w:rsidRDefault="004D29E9" w:rsidP="004D29E9">
      <w:pPr>
        <w:spacing w:line="240" w:lineRule="auto"/>
        <w:rPr>
          <w:b/>
          <w:szCs w:val="20"/>
          <w:vertAlign w:val="superscript"/>
        </w:rPr>
      </w:pPr>
    </w:p>
    <w:p w:rsidR="004D29E9" w:rsidRPr="005B4D36" w:rsidRDefault="004D29E9" w:rsidP="004D29E9">
      <w:pPr>
        <w:spacing w:line="240" w:lineRule="auto"/>
        <w:rPr>
          <w:b/>
          <w:szCs w:val="20"/>
          <w:vertAlign w:val="superscript"/>
        </w:rPr>
      </w:pPr>
    </w:p>
    <w:p w:rsidR="004D29E9" w:rsidRPr="005B4D36" w:rsidRDefault="004D29E9" w:rsidP="004D29E9">
      <w:pPr>
        <w:rPr>
          <w:b/>
          <w:szCs w:val="20"/>
        </w:rPr>
      </w:pPr>
      <w:r w:rsidRPr="005B4D36">
        <w:rPr>
          <w:b/>
          <w:szCs w:val="20"/>
        </w:rPr>
        <w:br w:type="page"/>
      </w:r>
    </w:p>
    <w:p w:rsidR="004D29E9" w:rsidRPr="005B4D36" w:rsidRDefault="004D29E9" w:rsidP="004D29E9">
      <w:pPr>
        <w:pStyle w:val="Overskrift2"/>
        <w:rPr>
          <w:b/>
          <w:sz w:val="20"/>
          <w:szCs w:val="20"/>
        </w:rPr>
      </w:pPr>
      <w:bookmarkStart w:id="62" w:name="_Toc391624697"/>
      <w:r w:rsidRPr="005B4D36">
        <w:rPr>
          <w:b/>
          <w:sz w:val="20"/>
          <w:szCs w:val="20"/>
        </w:rPr>
        <w:t xml:space="preserve">Flowdiagram for dannelse af </w:t>
      </w:r>
      <w:r w:rsidR="002B44AF">
        <w:rPr>
          <w:b/>
          <w:sz w:val="20"/>
          <w:szCs w:val="20"/>
        </w:rPr>
        <w:t xml:space="preserve">skizofreni </w:t>
      </w:r>
      <w:r w:rsidRPr="005B4D36">
        <w:rPr>
          <w:b/>
          <w:sz w:val="20"/>
          <w:szCs w:val="20"/>
        </w:rPr>
        <w:t>population pr. 1. januar 2013</w:t>
      </w:r>
      <w:bookmarkEnd w:id="62"/>
    </w:p>
    <w:p w:rsidR="004D29E9" w:rsidRDefault="004D29E9" w:rsidP="004D29E9">
      <w:pPr>
        <w:rPr>
          <w:b/>
          <w:szCs w:val="20"/>
        </w:rPr>
      </w:pPr>
    </w:p>
    <w:p w:rsidR="003B2CF3" w:rsidRPr="005B4D36" w:rsidRDefault="003B2CF3" w:rsidP="004D29E9">
      <w:pPr>
        <w:rPr>
          <w:b/>
          <w:szCs w:val="20"/>
        </w:rPr>
      </w:pPr>
      <w:r>
        <w:rPr>
          <w:b/>
          <w:noProof/>
          <w:szCs w:val="20"/>
          <w:lang w:eastAsia="da-DK"/>
        </w:rPr>
        <w:drawing>
          <wp:inline distT="0" distB="0" distL="0" distR="0" wp14:anchorId="6774AF7C" wp14:editId="4AF2FAA3">
            <wp:extent cx="5133340" cy="5487035"/>
            <wp:effectExtent l="0" t="0" r="0" b="0"/>
            <wp:docPr id="221" name="Billed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33340" cy="5487035"/>
                    </a:xfrm>
                    <a:prstGeom prst="rect">
                      <a:avLst/>
                    </a:prstGeom>
                    <a:noFill/>
                  </pic:spPr>
                </pic:pic>
              </a:graphicData>
            </a:graphic>
          </wp:inline>
        </w:drawing>
      </w:r>
    </w:p>
    <w:p w:rsidR="003B2CF3" w:rsidRDefault="003B2CF3" w:rsidP="003B2CF3">
      <w:pPr>
        <w:spacing w:line="240" w:lineRule="auto"/>
        <w:rPr>
          <w:rFonts w:eastAsiaTheme="minorEastAsia" w:hAnsi="Calibri" w:cs="Arial"/>
          <w:color w:val="000000" w:themeColor="text1"/>
          <w:kern w:val="24"/>
          <w:sz w:val="18"/>
          <w:szCs w:val="18"/>
          <w:lang w:eastAsia="da-DK"/>
        </w:rPr>
      </w:pPr>
    </w:p>
    <w:p w:rsidR="003B2CF3" w:rsidRDefault="003B2CF3" w:rsidP="003B2CF3">
      <w:pPr>
        <w:spacing w:line="240" w:lineRule="auto"/>
        <w:rPr>
          <w:rFonts w:eastAsiaTheme="minorEastAsia" w:hAnsi="Calibri" w:cs="Arial"/>
          <w:color w:val="000000" w:themeColor="text1"/>
          <w:kern w:val="24"/>
          <w:sz w:val="18"/>
          <w:szCs w:val="18"/>
          <w:lang w:eastAsia="da-DK"/>
        </w:rPr>
      </w:pPr>
    </w:p>
    <w:p w:rsidR="003B2CF3" w:rsidRPr="00725FCA" w:rsidRDefault="003B2CF3" w:rsidP="003B2CF3">
      <w:pPr>
        <w:spacing w:line="240" w:lineRule="auto"/>
        <w:rPr>
          <w:rFonts w:ascii="Times New Roman" w:eastAsia="Times New Roman" w:hAnsi="Times New Roman" w:cs="Times New Roman"/>
          <w:sz w:val="24"/>
          <w:szCs w:val="24"/>
          <w:lang w:eastAsia="da-DK"/>
        </w:rPr>
      </w:pPr>
      <w:r>
        <w:rPr>
          <w:rFonts w:eastAsiaTheme="minorEastAsia" w:hAnsi="Calibri" w:cs="Arial"/>
          <w:color w:val="000000" w:themeColor="text1"/>
          <w:kern w:val="24"/>
          <w:sz w:val="18"/>
          <w:szCs w:val="18"/>
          <w:lang w:eastAsia="da-DK"/>
        </w:rPr>
        <w:t>*</w:t>
      </w:r>
      <w:r w:rsidRPr="00725FCA">
        <w:rPr>
          <w:rFonts w:eastAsiaTheme="minorEastAsia" w:hAnsi="Calibri" w:cs="Arial"/>
          <w:color w:val="000000" w:themeColor="text1"/>
          <w:kern w:val="24"/>
          <w:sz w:val="18"/>
          <w:szCs w:val="18"/>
          <w:lang w:eastAsia="da-DK"/>
        </w:rPr>
        <w:t>Personer, der ikke fundet som aktive og bosiddende i Danmark, er fx gr</w:t>
      </w:r>
      <w:r w:rsidRPr="00725FCA">
        <w:rPr>
          <w:rFonts w:eastAsiaTheme="minorEastAsia" w:hAnsi="Calibri" w:cs="Arial"/>
          <w:color w:val="000000" w:themeColor="text1"/>
          <w:kern w:val="24"/>
          <w:sz w:val="18"/>
          <w:szCs w:val="18"/>
          <w:lang w:eastAsia="da-DK"/>
        </w:rPr>
        <w:t>ø</w:t>
      </w:r>
      <w:r w:rsidRPr="00725FCA">
        <w:rPr>
          <w:rFonts w:eastAsiaTheme="minorEastAsia" w:hAnsi="Calibri" w:cs="Arial"/>
          <w:color w:val="000000" w:themeColor="text1"/>
          <w:kern w:val="24"/>
          <w:sz w:val="18"/>
          <w:szCs w:val="18"/>
          <w:lang w:eastAsia="da-DK"/>
        </w:rPr>
        <w:t>nl</w:t>
      </w:r>
      <w:r w:rsidRPr="00725FCA">
        <w:rPr>
          <w:rFonts w:eastAsiaTheme="minorEastAsia" w:hAnsi="Calibri" w:cs="Arial"/>
          <w:color w:val="000000" w:themeColor="text1"/>
          <w:kern w:val="24"/>
          <w:sz w:val="18"/>
          <w:szCs w:val="18"/>
          <w:lang w:eastAsia="da-DK"/>
        </w:rPr>
        <w:t>æ</w:t>
      </w:r>
      <w:r w:rsidRPr="00725FCA">
        <w:rPr>
          <w:rFonts w:eastAsiaTheme="minorEastAsia" w:hAnsi="Calibri" w:cs="Arial"/>
          <w:color w:val="000000" w:themeColor="text1"/>
          <w:kern w:val="24"/>
          <w:sz w:val="18"/>
          <w:szCs w:val="18"/>
          <w:lang w:eastAsia="da-DK"/>
        </w:rPr>
        <w:t>ndere, der har haft kontakter i LPR.</w:t>
      </w:r>
    </w:p>
    <w:p w:rsidR="003B2CF3" w:rsidRDefault="003B2CF3" w:rsidP="003B2CF3">
      <w:pPr>
        <w:spacing w:line="240" w:lineRule="auto"/>
        <w:rPr>
          <w:rFonts w:eastAsiaTheme="minorEastAsia" w:hAnsi="Calibri" w:cs="Arial"/>
          <w:color w:val="000000" w:themeColor="text1"/>
          <w:kern w:val="24"/>
          <w:sz w:val="18"/>
          <w:szCs w:val="18"/>
          <w:lang w:eastAsia="da-DK"/>
        </w:rPr>
      </w:pPr>
      <w:r w:rsidRPr="00725FCA">
        <w:rPr>
          <w:rFonts w:eastAsiaTheme="minorEastAsia" w:hAnsi="Calibri" w:cs="Arial"/>
          <w:color w:val="000000" w:themeColor="text1"/>
          <w:kern w:val="24"/>
          <w:sz w:val="18"/>
          <w:szCs w:val="18"/>
          <w:lang w:eastAsia="da-DK"/>
        </w:rPr>
        <w:t xml:space="preserve">Der er anvendt et </w:t>
      </w:r>
      <w:r w:rsidRPr="00725FCA">
        <w:rPr>
          <w:rFonts w:eastAsiaTheme="minorEastAsia" w:hAnsi="Calibri" w:cs="Arial"/>
          <w:color w:val="000000" w:themeColor="text1"/>
          <w:kern w:val="24"/>
          <w:sz w:val="18"/>
          <w:szCs w:val="18"/>
          <w:lang w:eastAsia="da-DK"/>
        </w:rPr>
        <w:t>ø</w:t>
      </w:r>
      <w:r w:rsidRPr="00725FCA">
        <w:rPr>
          <w:rFonts w:eastAsiaTheme="minorEastAsia" w:hAnsi="Calibri" w:cs="Arial"/>
          <w:color w:val="000000" w:themeColor="text1"/>
          <w:kern w:val="24"/>
          <w:sz w:val="18"/>
          <w:szCs w:val="18"/>
          <w:lang w:eastAsia="da-DK"/>
        </w:rPr>
        <w:t>jebliksbillede fra 15.04.14.</w:t>
      </w:r>
    </w:p>
    <w:p w:rsidR="003B2CF3" w:rsidRDefault="003B2CF3" w:rsidP="003B2CF3">
      <w:pPr>
        <w:spacing w:line="240" w:lineRule="auto"/>
        <w:rPr>
          <w:rFonts w:eastAsiaTheme="minorEastAsia" w:hAnsi="Calibri" w:cs="Arial"/>
          <w:color w:val="000000" w:themeColor="text1"/>
          <w:kern w:val="24"/>
          <w:sz w:val="18"/>
          <w:szCs w:val="18"/>
          <w:lang w:eastAsia="da-DK"/>
        </w:rPr>
      </w:pPr>
    </w:p>
    <w:p w:rsidR="003B2CF3" w:rsidRDefault="003B2CF3" w:rsidP="003B2CF3">
      <w:pPr>
        <w:spacing w:line="240" w:lineRule="auto"/>
        <w:rPr>
          <w:rFonts w:eastAsiaTheme="minorEastAsia" w:hAnsi="Calibri" w:cs="Arial"/>
          <w:color w:val="000000" w:themeColor="text1"/>
          <w:kern w:val="24"/>
          <w:sz w:val="18"/>
          <w:szCs w:val="18"/>
          <w:lang w:eastAsia="da-DK"/>
        </w:rPr>
      </w:pPr>
    </w:p>
    <w:p w:rsidR="003B2CF3" w:rsidRDefault="003B2CF3" w:rsidP="003B2CF3">
      <w:pPr>
        <w:spacing w:line="240" w:lineRule="auto"/>
        <w:rPr>
          <w:rFonts w:eastAsiaTheme="minorEastAsia" w:hAnsi="Calibri" w:cs="Arial"/>
          <w:color w:val="000000" w:themeColor="text1"/>
          <w:kern w:val="24"/>
          <w:sz w:val="18"/>
          <w:szCs w:val="18"/>
          <w:lang w:eastAsia="da-DK"/>
        </w:rPr>
      </w:pPr>
    </w:p>
    <w:p w:rsidR="003B2CF3" w:rsidRDefault="003B2CF3" w:rsidP="003B2CF3">
      <w:pPr>
        <w:spacing w:line="240" w:lineRule="auto"/>
        <w:rPr>
          <w:rFonts w:eastAsiaTheme="minorEastAsia" w:hAnsi="Calibri" w:cs="Arial"/>
          <w:color w:val="000000" w:themeColor="text1"/>
          <w:kern w:val="24"/>
          <w:sz w:val="18"/>
          <w:szCs w:val="18"/>
          <w:lang w:eastAsia="da-DK"/>
        </w:rPr>
      </w:pPr>
    </w:p>
    <w:p w:rsidR="003B2CF3" w:rsidRPr="00725FCA" w:rsidRDefault="003B2CF3" w:rsidP="003B2CF3">
      <w:pPr>
        <w:spacing w:line="240" w:lineRule="auto"/>
        <w:rPr>
          <w:rFonts w:ascii="Times New Roman" w:eastAsia="Times New Roman" w:hAnsi="Times New Roman" w:cs="Times New Roman"/>
          <w:sz w:val="24"/>
          <w:szCs w:val="24"/>
          <w:lang w:eastAsia="da-DK"/>
        </w:rPr>
      </w:pPr>
    </w:p>
    <w:p w:rsidR="004D29E9" w:rsidRDefault="004D29E9" w:rsidP="004D29E9">
      <w:pPr>
        <w:rPr>
          <w:b/>
          <w:sz w:val="22"/>
        </w:rPr>
      </w:pPr>
    </w:p>
    <w:p w:rsidR="004D29E9" w:rsidRPr="005B4D36" w:rsidRDefault="004D29E9" w:rsidP="004D29E9">
      <w:pPr>
        <w:pStyle w:val="Overskrift2"/>
        <w:rPr>
          <w:b/>
          <w:sz w:val="20"/>
          <w:szCs w:val="20"/>
        </w:rPr>
      </w:pPr>
      <w:bookmarkStart w:id="63" w:name="_Toc391624698"/>
      <w:r w:rsidRPr="005B4D36">
        <w:rPr>
          <w:b/>
          <w:sz w:val="20"/>
          <w:szCs w:val="20"/>
        </w:rPr>
        <w:t>Beskrivelse af den fundne population</w:t>
      </w:r>
      <w:bookmarkEnd w:id="63"/>
    </w:p>
    <w:p w:rsidR="005B4D36" w:rsidRPr="005B4D36" w:rsidRDefault="005B4D36" w:rsidP="005B4D36">
      <w:pPr>
        <w:rPr>
          <w:szCs w:val="20"/>
        </w:rPr>
      </w:pPr>
    </w:p>
    <w:p w:rsidR="004D29E9" w:rsidRPr="002D2E3C" w:rsidRDefault="004D29E9" w:rsidP="004D29E9">
      <w:pPr>
        <w:rPr>
          <w:szCs w:val="20"/>
        </w:rPr>
      </w:pPr>
      <w:r w:rsidRPr="005B4D36">
        <w:rPr>
          <w:rFonts w:eastAsia="Times New Roman"/>
          <w:szCs w:val="20"/>
          <w:lang w:eastAsia="da-DK"/>
        </w:rPr>
        <w:t>Aldersfordeling ved debut fremgår af figur 1. Skizofrenipopulationen er 41 procent kvinder pr. 1. januar 2013. Medianalderen ved debut er 32 år (23-43 år</w:t>
      </w:r>
      <w:bookmarkStart w:id="64" w:name="_Ref390958158"/>
      <w:r w:rsidR="002D2E3C">
        <w:rPr>
          <w:rStyle w:val="Fodnotehenvisning"/>
          <w:rFonts w:eastAsia="Times New Roman"/>
          <w:szCs w:val="20"/>
          <w:lang w:eastAsia="da-DK"/>
        </w:rPr>
        <w:footnoteReference w:id="10"/>
      </w:r>
      <w:bookmarkEnd w:id="64"/>
      <w:r w:rsidRPr="005B4D36">
        <w:rPr>
          <w:rFonts w:eastAsia="Times New Roman"/>
          <w:szCs w:val="20"/>
          <w:lang w:eastAsia="da-DK"/>
        </w:rPr>
        <w:t xml:space="preserve">) jf. Figur </w:t>
      </w:r>
      <w:r w:rsidR="00A75F3B" w:rsidRPr="005B4D36">
        <w:rPr>
          <w:rFonts w:eastAsia="Times New Roman"/>
          <w:szCs w:val="20"/>
          <w:lang w:eastAsia="da-DK"/>
        </w:rPr>
        <w:t>6.</w:t>
      </w:r>
      <w:r w:rsidRPr="005B4D36">
        <w:rPr>
          <w:rFonts w:eastAsia="Times New Roman"/>
          <w:szCs w:val="20"/>
          <w:lang w:eastAsia="da-DK"/>
        </w:rPr>
        <w:t>1 nedenfor. For kvinder er medianalderen 33 år (23-46 år</w:t>
      </w:r>
      <w:r w:rsidR="002D2E3C">
        <w:rPr>
          <w:rFonts w:eastAsia="Times New Roman"/>
          <w:b/>
          <w:szCs w:val="20"/>
          <w:vertAlign w:val="superscript"/>
          <w:lang w:eastAsia="da-DK"/>
        </w:rPr>
        <w:fldChar w:fldCharType="begin"/>
      </w:r>
      <w:r w:rsidR="002D2E3C">
        <w:rPr>
          <w:rFonts w:eastAsia="Times New Roman"/>
          <w:szCs w:val="20"/>
          <w:lang w:eastAsia="da-DK"/>
        </w:rPr>
        <w:instrText xml:space="preserve"> NOTEREF _Ref390958158 \h </w:instrText>
      </w:r>
      <w:r w:rsidR="002D2E3C">
        <w:rPr>
          <w:rFonts w:eastAsia="Times New Roman"/>
          <w:b/>
          <w:szCs w:val="20"/>
          <w:vertAlign w:val="superscript"/>
          <w:lang w:eastAsia="da-DK"/>
        </w:rPr>
      </w:r>
      <w:r w:rsidR="002D2E3C">
        <w:rPr>
          <w:rFonts w:eastAsia="Times New Roman"/>
          <w:b/>
          <w:szCs w:val="20"/>
          <w:vertAlign w:val="superscript"/>
          <w:lang w:eastAsia="da-DK"/>
        </w:rPr>
        <w:fldChar w:fldCharType="separate"/>
      </w:r>
      <w:r w:rsidR="00581054">
        <w:rPr>
          <w:rFonts w:eastAsia="Times New Roman"/>
          <w:szCs w:val="20"/>
          <w:lang w:eastAsia="da-DK"/>
        </w:rPr>
        <w:t>j</w:t>
      </w:r>
      <w:r w:rsidR="002D2E3C">
        <w:rPr>
          <w:rFonts w:eastAsia="Times New Roman"/>
          <w:b/>
          <w:szCs w:val="20"/>
          <w:vertAlign w:val="superscript"/>
          <w:lang w:eastAsia="da-DK"/>
        </w:rPr>
        <w:fldChar w:fldCharType="end"/>
      </w:r>
      <w:r w:rsidRPr="005B4D36">
        <w:rPr>
          <w:rFonts w:eastAsia="Times New Roman"/>
          <w:szCs w:val="20"/>
          <w:lang w:eastAsia="da-DK"/>
        </w:rPr>
        <w:t>), mens medianalderen for mænd er 31 år (23-41 år</w:t>
      </w:r>
      <w:r w:rsidR="002D2E3C" w:rsidRPr="002D2E3C">
        <w:rPr>
          <w:rFonts w:eastAsia="Times New Roman"/>
          <w:b/>
          <w:szCs w:val="20"/>
          <w:vertAlign w:val="superscript"/>
          <w:lang w:eastAsia="da-DK"/>
        </w:rPr>
        <w:fldChar w:fldCharType="begin"/>
      </w:r>
      <w:r w:rsidR="002D2E3C" w:rsidRPr="002D2E3C">
        <w:rPr>
          <w:rFonts w:eastAsia="Times New Roman"/>
          <w:szCs w:val="20"/>
          <w:vertAlign w:val="superscript"/>
          <w:lang w:eastAsia="da-DK"/>
        </w:rPr>
        <w:instrText xml:space="preserve"> NOTEREF _Ref390958158 \h </w:instrText>
      </w:r>
      <w:r w:rsidR="002D2E3C" w:rsidRPr="002D2E3C">
        <w:rPr>
          <w:rFonts w:eastAsia="Times New Roman"/>
          <w:b/>
          <w:szCs w:val="20"/>
          <w:vertAlign w:val="superscript"/>
          <w:lang w:eastAsia="da-DK"/>
        </w:rPr>
        <w:instrText xml:space="preserve"> \* MERGEFORMAT </w:instrText>
      </w:r>
      <w:r w:rsidR="002D2E3C" w:rsidRPr="002D2E3C">
        <w:rPr>
          <w:rFonts w:eastAsia="Times New Roman"/>
          <w:b/>
          <w:szCs w:val="20"/>
          <w:vertAlign w:val="superscript"/>
          <w:lang w:eastAsia="da-DK"/>
        </w:rPr>
      </w:r>
      <w:r w:rsidR="002D2E3C" w:rsidRPr="002D2E3C">
        <w:rPr>
          <w:rFonts w:eastAsia="Times New Roman"/>
          <w:b/>
          <w:szCs w:val="20"/>
          <w:vertAlign w:val="superscript"/>
          <w:lang w:eastAsia="da-DK"/>
        </w:rPr>
        <w:fldChar w:fldCharType="separate"/>
      </w:r>
      <w:r w:rsidR="00581054">
        <w:rPr>
          <w:rFonts w:eastAsia="Times New Roman"/>
          <w:szCs w:val="20"/>
          <w:vertAlign w:val="superscript"/>
          <w:lang w:eastAsia="da-DK"/>
        </w:rPr>
        <w:t>j</w:t>
      </w:r>
      <w:r w:rsidR="002D2E3C" w:rsidRPr="002D2E3C">
        <w:rPr>
          <w:rFonts w:eastAsia="Times New Roman"/>
          <w:b/>
          <w:szCs w:val="20"/>
          <w:vertAlign w:val="superscript"/>
          <w:lang w:eastAsia="da-DK"/>
        </w:rPr>
        <w:fldChar w:fldCharType="end"/>
      </w:r>
      <w:r w:rsidRPr="005B4D36">
        <w:rPr>
          <w:rFonts w:eastAsia="Times New Roman"/>
          <w:szCs w:val="20"/>
          <w:lang w:eastAsia="da-DK"/>
        </w:rPr>
        <w:t xml:space="preserve">). </w:t>
      </w:r>
      <w:r w:rsidRPr="005B4D36">
        <w:rPr>
          <w:szCs w:val="20"/>
        </w:rPr>
        <w:t>Ved udregning af debutalder er personer, der har debutår tidligere end 1996 frasorteret, da registerudtrækkene er fra 1995 og personerne kan have debuteret tidligere</w:t>
      </w:r>
      <w:r w:rsidR="00EC572E">
        <w:rPr>
          <w:szCs w:val="20"/>
        </w:rPr>
        <w:t>,</w:t>
      </w:r>
      <w:r w:rsidRPr="005B4D36">
        <w:rPr>
          <w:szCs w:val="20"/>
        </w:rPr>
        <w:t xml:space="preserve"> end vi har data for og deres alder i 1995 ikke nødvendigvis er deres sande debutalder, se figur </w:t>
      </w:r>
      <w:r w:rsidR="00A75F3B" w:rsidRPr="005B4D36">
        <w:rPr>
          <w:szCs w:val="20"/>
        </w:rPr>
        <w:t>6.</w:t>
      </w:r>
      <w:r w:rsidR="002D2E3C">
        <w:rPr>
          <w:szCs w:val="20"/>
        </w:rPr>
        <w:t>1.</w:t>
      </w:r>
    </w:p>
    <w:p w:rsidR="004D29E9" w:rsidRPr="005B4D36" w:rsidRDefault="004D29E9" w:rsidP="004D29E9">
      <w:pPr>
        <w:rPr>
          <w:b/>
          <w:szCs w:val="20"/>
        </w:rPr>
      </w:pPr>
    </w:p>
    <w:p w:rsidR="004D29E9" w:rsidRPr="005B4D36" w:rsidRDefault="004D29E9" w:rsidP="004D29E9">
      <w:pPr>
        <w:rPr>
          <w:szCs w:val="20"/>
        </w:rPr>
      </w:pPr>
      <w:r w:rsidRPr="005B4D36">
        <w:rPr>
          <w:szCs w:val="20"/>
        </w:rPr>
        <w:t xml:space="preserve">Figur </w:t>
      </w:r>
      <w:r w:rsidR="00A75F3B" w:rsidRPr="005B4D36">
        <w:rPr>
          <w:szCs w:val="20"/>
        </w:rPr>
        <w:t>6.</w:t>
      </w:r>
      <w:r w:rsidRPr="005B4D36">
        <w:rPr>
          <w:szCs w:val="20"/>
        </w:rPr>
        <w:t xml:space="preserve">1. ’Debutalder’ i RUKS for skizofrenipopulationen pr. 1. januar 2013 fordelt på køn, målt som den første indlæggelsesdato. </w:t>
      </w:r>
    </w:p>
    <w:p w:rsidR="004D29E9" w:rsidRDefault="002E3C27" w:rsidP="004D29E9">
      <w:pPr>
        <w:rPr>
          <w:b/>
          <w:sz w:val="22"/>
        </w:rPr>
      </w:pPr>
      <w:r>
        <w:rPr>
          <w:b/>
          <w:noProof/>
          <w:sz w:val="22"/>
          <w:lang w:eastAsia="da-DK"/>
        </w:rPr>
        <w:drawing>
          <wp:inline distT="0" distB="0" distL="0" distR="0" wp14:anchorId="68C371A2" wp14:editId="3F9D82CD">
            <wp:extent cx="6120765" cy="3133725"/>
            <wp:effectExtent l="0" t="0" r="0" b="9525"/>
            <wp:docPr id="205" name="Billed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765" cy="3133725"/>
                    </a:xfrm>
                    <a:prstGeom prst="rect">
                      <a:avLst/>
                    </a:prstGeom>
                    <a:noFill/>
                  </pic:spPr>
                </pic:pic>
              </a:graphicData>
            </a:graphic>
          </wp:inline>
        </w:drawing>
      </w:r>
    </w:p>
    <w:p w:rsidR="004D29E9" w:rsidRPr="005B4D36" w:rsidRDefault="004D29E9" w:rsidP="004D29E9">
      <w:pPr>
        <w:rPr>
          <w:b/>
          <w:szCs w:val="20"/>
        </w:rPr>
      </w:pPr>
    </w:p>
    <w:p w:rsidR="004D29E9" w:rsidRPr="005B4D36" w:rsidRDefault="004D29E9" w:rsidP="004D29E9">
      <w:pPr>
        <w:rPr>
          <w:b/>
          <w:szCs w:val="20"/>
        </w:rPr>
      </w:pPr>
    </w:p>
    <w:p w:rsidR="004D29E9" w:rsidRPr="005B4D36" w:rsidRDefault="004D29E9" w:rsidP="004D29E9">
      <w:pPr>
        <w:pStyle w:val="Overskrift2"/>
        <w:rPr>
          <w:b/>
          <w:sz w:val="20"/>
          <w:szCs w:val="20"/>
        </w:rPr>
      </w:pPr>
      <w:bookmarkStart w:id="65" w:name="_Toc391624699"/>
      <w:r w:rsidRPr="005B4D36">
        <w:rPr>
          <w:b/>
          <w:sz w:val="20"/>
          <w:szCs w:val="20"/>
        </w:rPr>
        <w:t>Antal personer med skizofreni 2007 til 2013</w:t>
      </w:r>
      <w:bookmarkEnd w:id="65"/>
    </w:p>
    <w:p w:rsidR="004D29E9" w:rsidRPr="005B4D36" w:rsidRDefault="004D29E9" w:rsidP="004D29E9">
      <w:pPr>
        <w:rPr>
          <w:b/>
          <w:szCs w:val="20"/>
        </w:rPr>
      </w:pPr>
    </w:p>
    <w:p w:rsidR="004D29E9" w:rsidRPr="005B4D36" w:rsidRDefault="004D29E9" w:rsidP="004D29E9">
      <w:pPr>
        <w:rPr>
          <w:szCs w:val="20"/>
        </w:rPr>
      </w:pPr>
      <w:r w:rsidRPr="005B4D36">
        <w:rPr>
          <w:szCs w:val="20"/>
        </w:rPr>
        <w:t xml:space="preserve">Tabel </w:t>
      </w:r>
      <w:r w:rsidR="00A75F3B" w:rsidRPr="005B4D36">
        <w:rPr>
          <w:szCs w:val="20"/>
        </w:rPr>
        <w:t>6.</w:t>
      </w:r>
      <w:r w:rsidRPr="005B4D36">
        <w:rPr>
          <w:szCs w:val="20"/>
        </w:rPr>
        <w:t>1. Prævalens af personer med skizofreni i RUKS pr. 1. januar det pågældende år.</w:t>
      </w:r>
    </w:p>
    <w:tbl>
      <w:tblPr>
        <w:tblStyle w:val="Tabel-Gitter"/>
        <w:tblW w:w="0" w:type="auto"/>
        <w:tblLook w:val="04A0" w:firstRow="1" w:lastRow="0" w:firstColumn="1" w:lastColumn="0" w:noHBand="0" w:noVBand="1"/>
      </w:tblPr>
      <w:tblGrid>
        <w:gridCol w:w="1374"/>
        <w:gridCol w:w="1375"/>
        <w:gridCol w:w="1375"/>
        <w:gridCol w:w="1376"/>
        <w:gridCol w:w="1376"/>
        <w:gridCol w:w="1376"/>
        <w:gridCol w:w="1376"/>
      </w:tblGrid>
      <w:tr w:rsidR="004D29E9" w:rsidRPr="005B4D36" w:rsidTr="004D29E9">
        <w:tc>
          <w:tcPr>
            <w:tcW w:w="1396" w:type="dxa"/>
          </w:tcPr>
          <w:p w:rsidR="004D29E9" w:rsidRPr="005B4D36" w:rsidRDefault="004D29E9" w:rsidP="004D29E9">
            <w:pPr>
              <w:jc w:val="center"/>
              <w:rPr>
                <w:b/>
                <w:szCs w:val="20"/>
              </w:rPr>
            </w:pPr>
            <w:r w:rsidRPr="005B4D36">
              <w:rPr>
                <w:b/>
                <w:szCs w:val="20"/>
              </w:rPr>
              <w:t>2007</w:t>
            </w:r>
          </w:p>
        </w:tc>
        <w:tc>
          <w:tcPr>
            <w:tcW w:w="1397" w:type="dxa"/>
          </w:tcPr>
          <w:p w:rsidR="004D29E9" w:rsidRPr="005B4D36" w:rsidRDefault="004D29E9" w:rsidP="004D29E9">
            <w:pPr>
              <w:jc w:val="center"/>
              <w:rPr>
                <w:b/>
                <w:szCs w:val="20"/>
              </w:rPr>
            </w:pPr>
            <w:r w:rsidRPr="005B4D36">
              <w:rPr>
                <w:b/>
                <w:szCs w:val="20"/>
              </w:rPr>
              <w:t>2008</w:t>
            </w:r>
          </w:p>
        </w:tc>
        <w:tc>
          <w:tcPr>
            <w:tcW w:w="1397" w:type="dxa"/>
          </w:tcPr>
          <w:p w:rsidR="004D29E9" w:rsidRPr="005B4D36" w:rsidRDefault="004D29E9" w:rsidP="004D29E9">
            <w:pPr>
              <w:jc w:val="center"/>
              <w:rPr>
                <w:b/>
                <w:szCs w:val="20"/>
              </w:rPr>
            </w:pPr>
            <w:r w:rsidRPr="005B4D36">
              <w:rPr>
                <w:b/>
                <w:szCs w:val="20"/>
              </w:rPr>
              <w:t>2009</w:t>
            </w:r>
          </w:p>
        </w:tc>
        <w:tc>
          <w:tcPr>
            <w:tcW w:w="1397" w:type="dxa"/>
          </w:tcPr>
          <w:p w:rsidR="004D29E9" w:rsidRPr="005B4D36" w:rsidRDefault="004D29E9" w:rsidP="004D29E9">
            <w:pPr>
              <w:jc w:val="center"/>
              <w:rPr>
                <w:b/>
                <w:szCs w:val="20"/>
              </w:rPr>
            </w:pPr>
            <w:r w:rsidRPr="005B4D36">
              <w:rPr>
                <w:b/>
                <w:szCs w:val="20"/>
              </w:rPr>
              <w:t>2010</w:t>
            </w:r>
          </w:p>
        </w:tc>
        <w:tc>
          <w:tcPr>
            <w:tcW w:w="1397" w:type="dxa"/>
          </w:tcPr>
          <w:p w:rsidR="004D29E9" w:rsidRPr="005B4D36" w:rsidRDefault="004D29E9" w:rsidP="004D29E9">
            <w:pPr>
              <w:jc w:val="center"/>
              <w:rPr>
                <w:b/>
                <w:szCs w:val="20"/>
              </w:rPr>
            </w:pPr>
            <w:r w:rsidRPr="005B4D36">
              <w:rPr>
                <w:b/>
                <w:szCs w:val="20"/>
              </w:rPr>
              <w:t>2011</w:t>
            </w:r>
          </w:p>
        </w:tc>
        <w:tc>
          <w:tcPr>
            <w:tcW w:w="1397" w:type="dxa"/>
          </w:tcPr>
          <w:p w:rsidR="004D29E9" w:rsidRPr="005B4D36" w:rsidRDefault="004D29E9" w:rsidP="004D29E9">
            <w:pPr>
              <w:jc w:val="center"/>
              <w:rPr>
                <w:b/>
                <w:szCs w:val="20"/>
              </w:rPr>
            </w:pPr>
            <w:r w:rsidRPr="005B4D36">
              <w:rPr>
                <w:b/>
                <w:szCs w:val="20"/>
              </w:rPr>
              <w:t>2012</w:t>
            </w:r>
          </w:p>
        </w:tc>
        <w:tc>
          <w:tcPr>
            <w:tcW w:w="1397" w:type="dxa"/>
          </w:tcPr>
          <w:p w:rsidR="004D29E9" w:rsidRPr="005B4D36" w:rsidRDefault="004D29E9" w:rsidP="004D29E9">
            <w:pPr>
              <w:jc w:val="center"/>
              <w:rPr>
                <w:b/>
                <w:szCs w:val="20"/>
              </w:rPr>
            </w:pPr>
            <w:r w:rsidRPr="005B4D36">
              <w:rPr>
                <w:b/>
                <w:szCs w:val="20"/>
              </w:rPr>
              <w:t>2013</w:t>
            </w:r>
          </w:p>
        </w:tc>
      </w:tr>
      <w:tr w:rsidR="004D29E9" w:rsidRPr="005B4D36" w:rsidTr="004D29E9">
        <w:tc>
          <w:tcPr>
            <w:tcW w:w="1396" w:type="dxa"/>
          </w:tcPr>
          <w:p w:rsidR="004D29E9" w:rsidRPr="005B4D36" w:rsidRDefault="004D29E9" w:rsidP="004D29E9">
            <w:pPr>
              <w:jc w:val="center"/>
              <w:rPr>
                <w:szCs w:val="20"/>
              </w:rPr>
            </w:pPr>
            <w:r w:rsidRPr="005B4D36">
              <w:rPr>
                <w:szCs w:val="20"/>
              </w:rPr>
              <w:t>20.755</w:t>
            </w:r>
          </w:p>
        </w:tc>
        <w:tc>
          <w:tcPr>
            <w:tcW w:w="1397" w:type="dxa"/>
          </w:tcPr>
          <w:p w:rsidR="004D29E9" w:rsidRPr="005B4D36" w:rsidRDefault="004D29E9" w:rsidP="004D29E9">
            <w:pPr>
              <w:jc w:val="center"/>
              <w:rPr>
                <w:szCs w:val="20"/>
              </w:rPr>
            </w:pPr>
            <w:r w:rsidRPr="005B4D36">
              <w:rPr>
                <w:szCs w:val="20"/>
              </w:rPr>
              <w:t>21.046</w:t>
            </w:r>
          </w:p>
        </w:tc>
        <w:tc>
          <w:tcPr>
            <w:tcW w:w="1397" w:type="dxa"/>
          </w:tcPr>
          <w:p w:rsidR="004D29E9" w:rsidRPr="005B4D36" w:rsidRDefault="004D29E9" w:rsidP="004D29E9">
            <w:pPr>
              <w:jc w:val="center"/>
              <w:rPr>
                <w:szCs w:val="20"/>
              </w:rPr>
            </w:pPr>
            <w:r w:rsidRPr="005B4D36">
              <w:rPr>
                <w:szCs w:val="20"/>
              </w:rPr>
              <w:t>21.665</w:t>
            </w:r>
          </w:p>
        </w:tc>
        <w:tc>
          <w:tcPr>
            <w:tcW w:w="1397" w:type="dxa"/>
          </w:tcPr>
          <w:p w:rsidR="004D29E9" w:rsidRPr="005B4D36" w:rsidRDefault="004D29E9" w:rsidP="004D29E9">
            <w:pPr>
              <w:jc w:val="center"/>
              <w:rPr>
                <w:szCs w:val="20"/>
              </w:rPr>
            </w:pPr>
            <w:r w:rsidRPr="005B4D36">
              <w:rPr>
                <w:szCs w:val="20"/>
              </w:rPr>
              <w:t>21.931</w:t>
            </w:r>
          </w:p>
        </w:tc>
        <w:tc>
          <w:tcPr>
            <w:tcW w:w="1397" w:type="dxa"/>
          </w:tcPr>
          <w:p w:rsidR="004D29E9" w:rsidRPr="005B4D36" w:rsidRDefault="004D29E9" w:rsidP="004D29E9">
            <w:pPr>
              <w:jc w:val="center"/>
              <w:rPr>
                <w:szCs w:val="20"/>
              </w:rPr>
            </w:pPr>
            <w:r w:rsidRPr="005B4D36">
              <w:rPr>
                <w:szCs w:val="20"/>
              </w:rPr>
              <w:t>22.197</w:t>
            </w:r>
          </w:p>
        </w:tc>
        <w:tc>
          <w:tcPr>
            <w:tcW w:w="1397" w:type="dxa"/>
          </w:tcPr>
          <w:p w:rsidR="004D29E9" w:rsidRPr="005B4D36" w:rsidRDefault="004D29E9" w:rsidP="004D29E9">
            <w:pPr>
              <w:jc w:val="center"/>
              <w:rPr>
                <w:szCs w:val="20"/>
              </w:rPr>
            </w:pPr>
            <w:r w:rsidRPr="005B4D36">
              <w:rPr>
                <w:szCs w:val="20"/>
              </w:rPr>
              <w:t>22.477</w:t>
            </w:r>
          </w:p>
        </w:tc>
        <w:tc>
          <w:tcPr>
            <w:tcW w:w="1397" w:type="dxa"/>
          </w:tcPr>
          <w:p w:rsidR="004D29E9" w:rsidRPr="005B4D36" w:rsidRDefault="004D29E9" w:rsidP="004D29E9">
            <w:pPr>
              <w:jc w:val="center"/>
              <w:rPr>
                <w:szCs w:val="20"/>
              </w:rPr>
            </w:pPr>
            <w:r w:rsidRPr="005B4D36">
              <w:rPr>
                <w:szCs w:val="20"/>
              </w:rPr>
              <w:t>22.776</w:t>
            </w:r>
          </w:p>
        </w:tc>
      </w:tr>
    </w:tbl>
    <w:p w:rsidR="002D2E3C" w:rsidRDefault="002D2E3C" w:rsidP="004D29E9">
      <w:pPr>
        <w:rPr>
          <w:szCs w:val="20"/>
        </w:rPr>
      </w:pPr>
    </w:p>
    <w:p w:rsidR="004D29E9" w:rsidRPr="005B4D36" w:rsidRDefault="004D29E9" w:rsidP="004D29E9">
      <w:pPr>
        <w:rPr>
          <w:szCs w:val="20"/>
        </w:rPr>
      </w:pPr>
      <w:r w:rsidRPr="005B4D36">
        <w:rPr>
          <w:szCs w:val="20"/>
        </w:rPr>
        <w:t>Stigningen i prævalens af skizofrenipatienter skyldes,</w:t>
      </w:r>
      <w:r w:rsidRPr="005B4D36">
        <w:rPr>
          <w:b/>
          <w:szCs w:val="20"/>
        </w:rPr>
        <w:t xml:space="preserve"> </w:t>
      </w:r>
      <w:r w:rsidRPr="005B4D36">
        <w:rPr>
          <w:szCs w:val="20"/>
        </w:rPr>
        <w:t xml:space="preserve">at der tilkommer flere nye brugere (incidens) end der dør (mortalitet), se figur </w:t>
      </w:r>
      <w:r w:rsidR="00A75F3B" w:rsidRPr="005B4D36">
        <w:rPr>
          <w:szCs w:val="20"/>
        </w:rPr>
        <w:t>6.</w:t>
      </w:r>
      <w:r w:rsidRPr="005B4D36">
        <w:rPr>
          <w:szCs w:val="20"/>
        </w:rPr>
        <w:t>2 nedenfor. Incidensen vil falde jo nærmere opgørelsen vil være på opdateringstidspunktet, da personer først bliver klassificerede som skizofrenipatienter, når der er indsamlet en vis mængde information. Klassificeringen foregår derefter bagudrettet. Det anbefales derfor at nyeste opgørelsestidspunkt ligger ca. 1 år før seneste opdatering.</w:t>
      </w:r>
    </w:p>
    <w:p w:rsidR="004D29E9" w:rsidRPr="005B4D36" w:rsidRDefault="004D29E9" w:rsidP="004D29E9">
      <w:pPr>
        <w:rPr>
          <w:b/>
          <w:szCs w:val="20"/>
        </w:rPr>
      </w:pPr>
    </w:p>
    <w:p w:rsidR="004D29E9" w:rsidRPr="005B4D36" w:rsidRDefault="004D29E9" w:rsidP="004D29E9">
      <w:pPr>
        <w:rPr>
          <w:b/>
          <w:szCs w:val="20"/>
        </w:rPr>
      </w:pPr>
    </w:p>
    <w:p w:rsidR="005B4D36" w:rsidRDefault="004D29E9" w:rsidP="004D29E9">
      <w:pPr>
        <w:rPr>
          <w:szCs w:val="20"/>
        </w:rPr>
      </w:pPr>
      <w:r w:rsidRPr="005B4D36">
        <w:rPr>
          <w:szCs w:val="20"/>
        </w:rPr>
        <w:t xml:space="preserve">Figur </w:t>
      </w:r>
      <w:r w:rsidR="00A75F3B" w:rsidRPr="005B4D36">
        <w:rPr>
          <w:szCs w:val="20"/>
        </w:rPr>
        <w:t>6.</w:t>
      </w:r>
      <w:r w:rsidRPr="005B4D36">
        <w:rPr>
          <w:szCs w:val="20"/>
        </w:rPr>
        <w:t>2. Prævalens, incidens og mortalitet af skizofrenipopulation i RUKS.</w:t>
      </w:r>
    </w:p>
    <w:p w:rsidR="00AE3837" w:rsidRPr="005B4D36" w:rsidRDefault="00AE3837" w:rsidP="004D29E9">
      <w:pPr>
        <w:rPr>
          <w:szCs w:val="20"/>
        </w:rPr>
      </w:pPr>
    </w:p>
    <w:p w:rsidR="004D29E9" w:rsidRDefault="00324630" w:rsidP="004D29E9">
      <w:pPr>
        <w:rPr>
          <w:sz w:val="22"/>
        </w:rPr>
      </w:pPr>
      <w:r>
        <w:rPr>
          <w:noProof/>
          <w:sz w:val="22"/>
          <w:lang w:eastAsia="da-DK"/>
        </w:rPr>
        <w:drawing>
          <wp:inline distT="0" distB="0" distL="0" distR="0" wp14:anchorId="2ACC1453" wp14:editId="78F3A4F4">
            <wp:extent cx="5492750" cy="2999740"/>
            <wp:effectExtent l="0" t="0" r="0" b="0"/>
            <wp:docPr id="206" name="Billed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92750" cy="2999740"/>
                    </a:xfrm>
                    <a:prstGeom prst="rect">
                      <a:avLst/>
                    </a:prstGeom>
                    <a:noFill/>
                  </pic:spPr>
                </pic:pic>
              </a:graphicData>
            </a:graphic>
          </wp:inline>
        </w:drawing>
      </w:r>
    </w:p>
    <w:p w:rsidR="004D29E9" w:rsidRDefault="004D29E9" w:rsidP="004D29E9">
      <w:pPr>
        <w:rPr>
          <w:b/>
          <w:sz w:val="22"/>
        </w:rPr>
      </w:pPr>
    </w:p>
    <w:p w:rsidR="004D29E9" w:rsidRDefault="004D29E9" w:rsidP="004D29E9">
      <w:pPr>
        <w:rPr>
          <w:b/>
          <w:sz w:val="22"/>
        </w:rPr>
      </w:pPr>
    </w:p>
    <w:p w:rsidR="004D29E9" w:rsidRDefault="004D29E9" w:rsidP="004D29E9">
      <w:pPr>
        <w:pStyle w:val="Overskrift2"/>
        <w:rPr>
          <w:b/>
          <w:sz w:val="20"/>
          <w:szCs w:val="20"/>
        </w:rPr>
      </w:pPr>
      <w:bookmarkStart w:id="66" w:name="_Toc391624700"/>
      <w:r w:rsidRPr="005B4D36">
        <w:rPr>
          <w:b/>
          <w:sz w:val="20"/>
          <w:szCs w:val="20"/>
        </w:rPr>
        <w:t>Andre kilders oplysninger</w:t>
      </w:r>
      <w:bookmarkEnd w:id="66"/>
    </w:p>
    <w:p w:rsidR="00F86904" w:rsidRPr="00F86904" w:rsidRDefault="00F86904" w:rsidP="00F86904"/>
    <w:p w:rsidR="004D29E9" w:rsidRPr="005B4D36" w:rsidRDefault="004D29E9" w:rsidP="004D29E9">
      <w:pPr>
        <w:rPr>
          <w:rFonts w:eastAsia="Times New Roman"/>
          <w:szCs w:val="20"/>
          <w:lang w:eastAsia="da-DK"/>
        </w:rPr>
      </w:pPr>
      <w:r w:rsidRPr="005B4D36">
        <w:rPr>
          <w:rFonts w:eastAsia="Times New Roman"/>
          <w:szCs w:val="20"/>
          <w:lang w:eastAsia="da-DK"/>
        </w:rPr>
        <w:t xml:space="preserve">Psykiatrifonden skønner, at cirka 0,5 procent af befolkningen </w:t>
      </w:r>
      <w:r w:rsidRPr="005B4D36">
        <w:rPr>
          <w:szCs w:val="20"/>
        </w:rPr>
        <w:t xml:space="preserve">på et givent tidspunkt </w:t>
      </w:r>
      <w:r w:rsidRPr="005B4D36">
        <w:rPr>
          <w:rFonts w:eastAsia="Times New Roman"/>
          <w:szCs w:val="20"/>
          <w:lang w:eastAsia="da-DK"/>
        </w:rPr>
        <w:t>lider af skizofreni</w:t>
      </w:r>
      <w:r w:rsidRPr="005B4D36">
        <w:rPr>
          <w:rFonts w:eastAsia="Times New Roman"/>
          <w:b/>
          <w:szCs w:val="20"/>
          <w:vertAlign w:val="superscript"/>
          <w:lang w:eastAsia="da-DK"/>
        </w:rPr>
        <w:t>2</w:t>
      </w:r>
      <w:r w:rsidRPr="005B4D36">
        <w:rPr>
          <w:rFonts w:eastAsia="Times New Roman"/>
          <w:szCs w:val="20"/>
          <w:lang w:eastAsia="da-DK"/>
        </w:rPr>
        <w:t xml:space="preserve">.  Ved en befolkning på 5,6 millioner (DK 2013) svarer det til cirka 28.000 personer. </w:t>
      </w:r>
      <w:r w:rsidRPr="005B4D36">
        <w:rPr>
          <w:szCs w:val="20"/>
        </w:rPr>
        <w:t>Cirka 1 procent af befolkningen udvikler symptomer på skizofreni i løbet af livet</w:t>
      </w:r>
      <w:bookmarkStart w:id="67" w:name="_Ref390892796"/>
      <w:r w:rsidRPr="005B4D36">
        <w:rPr>
          <w:rStyle w:val="Slutnotehenvisning"/>
          <w:szCs w:val="20"/>
        </w:rPr>
        <w:endnoteReference w:id="25"/>
      </w:r>
      <w:bookmarkEnd w:id="67"/>
      <w:r w:rsidRPr="005B4D36">
        <w:rPr>
          <w:szCs w:val="20"/>
          <w:vertAlign w:val="superscript"/>
        </w:rPr>
        <w:t>,</w:t>
      </w:r>
      <w:bookmarkStart w:id="68" w:name="_Ref390892856"/>
      <w:r w:rsidR="00EC572E">
        <w:rPr>
          <w:szCs w:val="20"/>
          <w:vertAlign w:val="superscript"/>
        </w:rPr>
        <w:t xml:space="preserve"> </w:t>
      </w:r>
      <w:r w:rsidRPr="005B4D36">
        <w:rPr>
          <w:rStyle w:val="Slutnotehenvisning"/>
          <w:szCs w:val="20"/>
        </w:rPr>
        <w:endnoteReference w:id="26"/>
      </w:r>
      <w:bookmarkEnd w:id="68"/>
      <w:r w:rsidRPr="005B4D36">
        <w:rPr>
          <w:szCs w:val="20"/>
        </w:rPr>
        <w:t>.</w:t>
      </w:r>
    </w:p>
    <w:p w:rsidR="004D29E9" w:rsidRPr="005B4D36" w:rsidRDefault="004D29E9" w:rsidP="004D29E9">
      <w:pPr>
        <w:rPr>
          <w:b/>
          <w:szCs w:val="20"/>
        </w:rPr>
      </w:pPr>
    </w:p>
    <w:p w:rsidR="004D29E9" w:rsidRPr="005B4D36" w:rsidRDefault="004D29E9" w:rsidP="004D29E9">
      <w:pPr>
        <w:rPr>
          <w:rFonts w:eastAsia="Times New Roman"/>
          <w:szCs w:val="20"/>
          <w:lang w:eastAsia="da-DK"/>
        </w:rPr>
      </w:pPr>
      <w:r w:rsidRPr="005B4D36">
        <w:rPr>
          <w:szCs w:val="20"/>
        </w:rPr>
        <w:t xml:space="preserve">Sygdommen er omtrent lige hyppig blandt kvinder og mænd, dog rammes </w:t>
      </w:r>
      <w:r w:rsidRPr="005B4D36">
        <w:rPr>
          <w:rFonts w:eastAsia="Times New Roman"/>
          <w:szCs w:val="20"/>
          <w:lang w:eastAsia="da-DK"/>
        </w:rPr>
        <w:t xml:space="preserve">lidt flere mænd end kvinder af </w:t>
      </w:r>
      <w:r w:rsidRPr="00EC572E">
        <w:rPr>
          <w:rFonts w:eastAsia="Times New Roman"/>
          <w:szCs w:val="20"/>
          <w:lang w:eastAsia="da-DK"/>
        </w:rPr>
        <w:t>sygdommen</w:t>
      </w:r>
      <w:r w:rsidR="000B37EA" w:rsidRPr="00EC572E">
        <w:rPr>
          <w:szCs w:val="20"/>
          <w:vertAlign w:val="superscript"/>
        </w:rPr>
        <w:t xml:space="preserve"> </w:t>
      </w:r>
      <w:r w:rsidR="000B37EA" w:rsidRPr="00EC572E">
        <w:rPr>
          <w:szCs w:val="20"/>
          <w:vertAlign w:val="superscript"/>
        </w:rPr>
        <w:fldChar w:fldCharType="begin"/>
      </w:r>
      <w:r w:rsidR="000B37EA" w:rsidRPr="00EC572E">
        <w:rPr>
          <w:szCs w:val="20"/>
          <w:vertAlign w:val="superscript"/>
        </w:rPr>
        <w:instrText xml:space="preserve"> NOTEREF _Ref390892796 \h </w:instrText>
      </w:r>
      <w:r w:rsidR="005B4D36" w:rsidRPr="00EC572E">
        <w:rPr>
          <w:szCs w:val="20"/>
          <w:vertAlign w:val="superscript"/>
        </w:rPr>
        <w:instrText xml:space="preserve"> \* MERGEFORMAT </w:instrText>
      </w:r>
      <w:r w:rsidR="000B37EA" w:rsidRPr="00EC572E">
        <w:rPr>
          <w:szCs w:val="20"/>
          <w:vertAlign w:val="superscript"/>
        </w:rPr>
      </w:r>
      <w:r w:rsidR="000B37EA" w:rsidRPr="00EC572E">
        <w:rPr>
          <w:szCs w:val="20"/>
          <w:vertAlign w:val="superscript"/>
        </w:rPr>
        <w:fldChar w:fldCharType="separate"/>
      </w:r>
      <w:r w:rsidR="00581054">
        <w:rPr>
          <w:szCs w:val="20"/>
          <w:vertAlign w:val="superscript"/>
        </w:rPr>
        <w:t>25</w:t>
      </w:r>
      <w:r w:rsidR="000B37EA" w:rsidRPr="00EC572E">
        <w:rPr>
          <w:szCs w:val="20"/>
          <w:vertAlign w:val="superscript"/>
        </w:rPr>
        <w:fldChar w:fldCharType="end"/>
      </w:r>
      <w:r w:rsidR="000B37EA" w:rsidRPr="00EC572E">
        <w:rPr>
          <w:szCs w:val="20"/>
          <w:vertAlign w:val="superscript"/>
        </w:rPr>
        <w:t>,</w:t>
      </w:r>
      <w:r w:rsidR="00EC572E" w:rsidRPr="00EC572E">
        <w:rPr>
          <w:szCs w:val="20"/>
          <w:vertAlign w:val="superscript"/>
        </w:rPr>
        <w:t xml:space="preserve"> </w:t>
      </w:r>
      <w:r w:rsidR="000B37EA" w:rsidRPr="00EC572E">
        <w:rPr>
          <w:szCs w:val="20"/>
          <w:vertAlign w:val="superscript"/>
        </w:rPr>
        <w:fldChar w:fldCharType="begin"/>
      </w:r>
      <w:r w:rsidR="000B37EA" w:rsidRPr="00EC572E">
        <w:rPr>
          <w:szCs w:val="20"/>
          <w:vertAlign w:val="superscript"/>
        </w:rPr>
        <w:instrText xml:space="preserve"> NOTEREF _Ref390892856 \h </w:instrText>
      </w:r>
      <w:r w:rsidR="005B4D36" w:rsidRPr="00EC572E">
        <w:rPr>
          <w:szCs w:val="20"/>
          <w:vertAlign w:val="superscript"/>
        </w:rPr>
        <w:instrText xml:space="preserve"> \* MERGEFORMAT </w:instrText>
      </w:r>
      <w:r w:rsidR="000B37EA" w:rsidRPr="00EC572E">
        <w:rPr>
          <w:szCs w:val="20"/>
          <w:vertAlign w:val="superscript"/>
        </w:rPr>
      </w:r>
      <w:r w:rsidR="000B37EA" w:rsidRPr="00EC572E">
        <w:rPr>
          <w:szCs w:val="20"/>
          <w:vertAlign w:val="superscript"/>
        </w:rPr>
        <w:fldChar w:fldCharType="separate"/>
      </w:r>
      <w:r w:rsidR="00581054">
        <w:rPr>
          <w:szCs w:val="20"/>
          <w:vertAlign w:val="superscript"/>
        </w:rPr>
        <w:t>26</w:t>
      </w:r>
      <w:r w:rsidR="000B37EA" w:rsidRPr="00EC572E">
        <w:rPr>
          <w:szCs w:val="20"/>
          <w:vertAlign w:val="superscript"/>
        </w:rPr>
        <w:fldChar w:fldCharType="end"/>
      </w:r>
      <w:r w:rsidRPr="005B4D36">
        <w:rPr>
          <w:szCs w:val="20"/>
        </w:rPr>
        <w:t>. De fleste får konstateret skizofreni, når de er mellem 20-25 år (debutalder er fra 14 til 60 år, medianalder 22 år)</w:t>
      </w:r>
      <w:r w:rsidR="000B37EA" w:rsidRPr="005B4D36">
        <w:rPr>
          <w:b/>
          <w:szCs w:val="20"/>
          <w:vertAlign w:val="superscript"/>
        </w:rPr>
        <w:t xml:space="preserve"> </w:t>
      </w:r>
      <w:r w:rsidR="000B37EA" w:rsidRPr="005B4D36">
        <w:rPr>
          <w:szCs w:val="20"/>
          <w:vertAlign w:val="superscript"/>
        </w:rPr>
        <w:fldChar w:fldCharType="begin"/>
      </w:r>
      <w:r w:rsidR="000B37EA" w:rsidRPr="005B4D36">
        <w:rPr>
          <w:szCs w:val="20"/>
          <w:vertAlign w:val="superscript"/>
        </w:rPr>
        <w:instrText xml:space="preserve"> NOTEREF _Ref390892796 \h </w:instrText>
      </w:r>
      <w:r w:rsidR="00FD2DDD" w:rsidRPr="005B4D36">
        <w:rPr>
          <w:szCs w:val="20"/>
          <w:vertAlign w:val="superscript"/>
        </w:rPr>
        <w:instrText xml:space="preserve"> \* MERGEFORMAT </w:instrText>
      </w:r>
      <w:r w:rsidR="000B37EA" w:rsidRPr="005B4D36">
        <w:rPr>
          <w:szCs w:val="20"/>
          <w:vertAlign w:val="superscript"/>
        </w:rPr>
      </w:r>
      <w:r w:rsidR="000B37EA" w:rsidRPr="005B4D36">
        <w:rPr>
          <w:szCs w:val="20"/>
          <w:vertAlign w:val="superscript"/>
        </w:rPr>
        <w:fldChar w:fldCharType="separate"/>
      </w:r>
      <w:r w:rsidR="00581054">
        <w:rPr>
          <w:szCs w:val="20"/>
          <w:vertAlign w:val="superscript"/>
        </w:rPr>
        <w:t>25</w:t>
      </w:r>
      <w:r w:rsidR="000B37EA" w:rsidRPr="005B4D36">
        <w:rPr>
          <w:szCs w:val="20"/>
          <w:vertAlign w:val="superscript"/>
        </w:rPr>
        <w:fldChar w:fldCharType="end"/>
      </w:r>
      <w:r w:rsidR="000B37EA" w:rsidRPr="005B4D36">
        <w:rPr>
          <w:szCs w:val="20"/>
          <w:vertAlign w:val="superscript"/>
        </w:rPr>
        <w:t>,</w:t>
      </w:r>
      <w:bookmarkStart w:id="69" w:name="_Ref390892942"/>
      <w:r w:rsidR="00EC572E">
        <w:rPr>
          <w:szCs w:val="20"/>
          <w:vertAlign w:val="superscript"/>
        </w:rPr>
        <w:t xml:space="preserve"> </w:t>
      </w:r>
      <w:r w:rsidR="000B37EA" w:rsidRPr="005B4D36">
        <w:rPr>
          <w:rStyle w:val="Slutnotehenvisning"/>
          <w:szCs w:val="20"/>
        </w:rPr>
        <w:endnoteReference w:id="27"/>
      </w:r>
      <w:bookmarkEnd w:id="69"/>
      <w:r w:rsidRPr="005B4D36">
        <w:rPr>
          <w:szCs w:val="20"/>
        </w:rPr>
        <w:t>. Blandt de yngste er der klart flest mænd, der får diagnosen skizofreni</w:t>
      </w:r>
      <w:r w:rsidR="000B37EA" w:rsidRPr="005B4D36">
        <w:rPr>
          <w:b/>
          <w:szCs w:val="20"/>
          <w:vertAlign w:val="superscript"/>
        </w:rPr>
        <w:fldChar w:fldCharType="begin"/>
      </w:r>
      <w:r w:rsidR="000B37EA" w:rsidRPr="005B4D36">
        <w:rPr>
          <w:szCs w:val="20"/>
          <w:vertAlign w:val="superscript"/>
        </w:rPr>
        <w:instrText xml:space="preserve"> NOTEREF _Ref390892942 \h </w:instrText>
      </w:r>
      <w:r w:rsidR="000B37EA" w:rsidRPr="005B4D36">
        <w:rPr>
          <w:b/>
          <w:szCs w:val="20"/>
          <w:vertAlign w:val="superscript"/>
        </w:rPr>
        <w:instrText xml:space="preserve"> \* MERGEFORMAT </w:instrText>
      </w:r>
      <w:r w:rsidR="000B37EA" w:rsidRPr="005B4D36">
        <w:rPr>
          <w:b/>
          <w:szCs w:val="20"/>
          <w:vertAlign w:val="superscript"/>
        </w:rPr>
      </w:r>
      <w:r w:rsidR="000B37EA" w:rsidRPr="005B4D36">
        <w:rPr>
          <w:b/>
          <w:szCs w:val="20"/>
          <w:vertAlign w:val="superscript"/>
        </w:rPr>
        <w:fldChar w:fldCharType="separate"/>
      </w:r>
      <w:r w:rsidR="00581054">
        <w:rPr>
          <w:szCs w:val="20"/>
          <w:vertAlign w:val="superscript"/>
        </w:rPr>
        <w:t>27</w:t>
      </w:r>
      <w:r w:rsidR="000B37EA" w:rsidRPr="005B4D36">
        <w:rPr>
          <w:b/>
          <w:szCs w:val="20"/>
          <w:vertAlign w:val="superscript"/>
        </w:rPr>
        <w:fldChar w:fldCharType="end"/>
      </w:r>
      <w:r w:rsidRPr="005B4D36">
        <w:rPr>
          <w:szCs w:val="20"/>
        </w:rPr>
        <w:t xml:space="preserve">. </w:t>
      </w:r>
      <w:r w:rsidRPr="005B4D36">
        <w:rPr>
          <w:rFonts w:eastAsia="Times New Roman"/>
          <w:szCs w:val="20"/>
          <w:lang w:eastAsia="da-DK"/>
        </w:rPr>
        <w:t>Kvinder debuterer typisk lidt senere end mænd og har et lidt mildere forløb</w:t>
      </w:r>
      <w:r w:rsidR="000B37EA" w:rsidRPr="005B4D36">
        <w:rPr>
          <w:rFonts w:eastAsia="Times New Roman"/>
          <w:b/>
          <w:szCs w:val="20"/>
          <w:vertAlign w:val="superscript"/>
          <w:lang w:eastAsia="da-DK"/>
        </w:rPr>
        <w:fldChar w:fldCharType="begin"/>
      </w:r>
      <w:r w:rsidR="000B37EA" w:rsidRPr="005B4D36">
        <w:rPr>
          <w:rFonts w:eastAsia="Times New Roman"/>
          <w:szCs w:val="20"/>
          <w:vertAlign w:val="superscript"/>
          <w:lang w:eastAsia="da-DK"/>
        </w:rPr>
        <w:instrText xml:space="preserve"> NOTEREF _Ref390892856 \h </w:instrText>
      </w:r>
      <w:r w:rsidR="000B37EA" w:rsidRPr="005B4D36">
        <w:rPr>
          <w:rFonts w:eastAsia="Times New Roman"/>
          <w:b/>
          <w:szCs w:val="20"/>
          <w:vertAlign w:val="superscript"/>
          <w:lang w:eastAsia="da-DK"/>
        </w:rPr>
        <w:instrText xml:space="preserve"> \* MERGEFORMAT </w:instrText>
      </w:r>
      <w:r w:rsidR="000B37EA" w:rsidRPr="005B4D36">
        <w:rPr>
          <w:rFonts w:eastAsia="Times New Roman"/>
          <w:b/>
          <w:szCs w:val="20"/>
          <w:vertAlign w:val="superscript"/>
          <w:lang w:eastAsia="da-DK"/>
        </w:rPr>
      </w:r>
      <w:r w:rsidR="000B37EA" w:rsidRPr="005B4D36">
        <w:rPr>
          <w:rFonts w:eastAsia="Times New Roman"/>
          <w:b/>
          <w:szCs w:val="20"/>
          <w:vertAlign w:val="superscript"/>
          <w:lang w:eastAsia="da-DK"/>
        </w:rPr>
        <w:fldChar w:fldCharType="separate"/>
      </w:r>
      <w:r w:rsidR="00581054">
        <w:rPr>
          <w:rFonts w:eastAsia="Times New Roman"/>
          <w:szCs w:val="20"/>
          <w:vertAlign w:val="superscript"/>
          <w:lang w:eastAsia="da-DK"/>
        </w:rPr>
        <w:t>26</w:t>
      </w:r>
      <w:r w:rsidR="000B37EA" w:rsidRPr="005B4D36">
        <w:rPr>
          <w:rFonts w:eastAsia="Times New Roman"/>
          <w:b/>
          <w:szCs w:val="20"/>
          <w:vertAlign w:val="superscript"/>
          <w:lang w:eastAsia="da-DK"/>
        </w:rPr>
        <w:fldChar w:fldCharType="end"/>
      </w:r>
      <w:r w:rsidR="000B37EA" w:rsidRPr="005B4D36">
        <w:rPr>
          <w:rFonts w:eastAsia="Times New Roman"/>
          <w:b/>
          <w:szCs w:val="20"/>
          <w:vertAlign w:val="superscript"/>
          <w:lang w:eastAsia="da-DK"/>
        </w:rPr>
        <w:t>,</w:t>
      </w:r>
      <w:r w:rsidR="000B37EA" w:rsidRPr="005B4D36">
        <w:rPr>
          <w:rFonts w:eastAsia="Times New Roman"/>
          <w:szCs w:val="20"/>
          <w:vertAlign w:val="superscript"/>
          <w:lang w:eastAsia="da-DK"/>
        </w:rPr>
        <w:fldChar w:fldCharType="begin"/>
      </w:r>
      <w:r w:rsidR="000B37EA" w:rsidRPr="005B4D36">
        <w:rPr>
          <w:rFonts w:eastAsia="Times New Roman"/>
          <w:szCs w:val="20"/>
          <w:vertAlign w:val="superscript"/>
          <w:lang w:eastAsia="da-DK"/>
        </w:rPr>
        <w:instrText xml:space="preserve"> NOTEREF _Ref390892942 \h </w:instrText>
      </w:r>
      <w:r w:rsidR="00FD2DDD" w:rsidRPr="005B4D36">
        <w:rPr>
          <w:rFonts w:eastAsia="Times New Roman"/>
          <w:szCs w:val="20"/>
          <w:vertAlign w:val="superscript"/>
          <w:lang w:eastAsia="da-DK"/>
        </w:rPr>
        <w:instrText xml:space="preserve"> \* MERGEFORMAT </w:instrText>
      </w:r>
      <w:r w:rsidR="000B37EA" w:rsidRPr="005B4D36">
        <w:rPr>
          <w:rFonts w:eastAsia="Times New Roman"/>
          <w:szCs w:val="20"/>
          <w:vertAlign w:val="superscript"/>
          <w:lang w:eastAsia="da-DK"/>
        </w:rPr>
      </w:r>
      <w:r w:rsidR="000B37EA" w:rsidRPr="005B4D36">
        <w:rPr>
          <w:rFonts w:eastAsia="Times New Roman"/>
          <w:szCs w:val="20"/>
          <w:vertAlign w:val="superscript"/>
          <w:lang w:eastAsia="da-DK"/>
        </w:rPr>
        <w:fldChar w:fldCharType="separate"/>
      </w:r>
      <w:r w:rsidR="00581054">
        <w:rPr>
          <w:rFonts w:eastAsia="Times New Roman"/>
          <w:szCs w:val="20"/>
          <w:vertAlign w:val="superscript"/>
          <w:lang w:eastAsia="da-DK"/>
        </w:rPr>
        <w:t>27</w:t>
      </w:r>
      <w:r w:rsidR="000B37EA" w:rsidRPr="005B4D36">
        <w:rPr>
          <w:rFonts w:eastAsia="Times New Roman"/>
          <w:szCs w:val="20"/>
          <w:vertAlign w:val="superscript"/>
          <w:lang w:eastAsia="da-DK"/>
        </w:rPr>
        <w:fldChar w:fldCharType="end"/>
      </w:r>
      <w:r w:rsidRPr="005B4D36">
        <w:rPr>
          <w:rFonts w:eastAsia="Times New Roman"/>
          <w:szCs w:val="20"/>
          <w:lang w:eastAsia="da-DK"/>
        </w:rPr>
        <w:t xml:space="preserve">. </w:t>
      </w:r>
    </w:p>
    <w:p w:rsidR="004D29E9" w:rsidRPr="005B4D36" w:rsidRDefault="004D29E9" w:rsidP="004D29E9">
      <w:pPr>
        <w:rPr>
          <w:szCs w:val="20"/>
        </w:rPr>
      </w:pPr>
    </w:p>
    <w:p w:rsidR="00AE3837" w:rsidRDefault="004D29E9" w:rsidP="00AE3837">
      <w:pPr>
        <w:rPr>
          <w:szCs w:val="20"/>
        </w:rPr>
      </w:pPr>
      <w:r w:rsidRPr="005B4D36">
        <w:rPr>
          <w:szCs w:val="20"/>
        </w:rPr>
        <w:t>Skizofreni er en neuropsykisk lidelse som i langt de fleste tilfælde kræver årelang og ofte livslang medicinsk behandling. Sygdomsbillede og forløb udviser dog store individuelle forskelle</w:t>
      </w:r>
      <w:r w:rsidR="000B37EA" w:rsidRPr="005B4D36">
        <w:rPr>
          <w:szCs w:val="20"/>
          <w:vertAlign w:val="superscript"/>
        </w:rPr>
        <w:fldChar w:fldCharType="begin"/>
      </w:r>
      <w:r w:rsidR="000B37EA" w:rsidRPr="005B4D36">
        <w:rPr>
          <w:szCs w:val="20"/>
          <w:vertAlign w:val="superscript"/>
        </w:rPr>
        <w:instrText xml:space="preserve"> NOTEREF _Ref390892856 \h  \* MERGEFORMAT </w:instrText>
      </w:r>
      <w:r w:rsidR="000B37EA" w:rsidRPr="005B4D36">
        <w:rPr>
          <w:szCs w:val="20"/>
          <w:vertAlign w:val="superscript"/>
        </w:rPr>
      </w:r>
      <w:r w:rsidR="000B37EA" w:rsidRPr="005B4D36">
        <w:rPr>
          <w:szCs w:val="20"/>
          <w:vertAlign w:val="superscript"/>
        </w:rPr>
        <w:fldChar w:fldCharType="separate"/>
      </w:r>
      <w:r w:rsidR="00581054">
        <w:rPr>
          <w:szCs w:val="20"/>
          <w:vertAlign w:val="superscript"/>
        </w:rPr>
        <w:t>26</w:t>
      </w:r>
      <w:r w:rsidR="000B37EA" w:rsidRPr="005B4D36">
        <w:rPr>
          <w:szCs w:val="20"/>
          <w:vertAlign w:val="superscript"/>
        </w:rPr>
        <w:fldChar w:fldCharType="end"/>
      </w:r>
      <w:r w:rsidR="00FD2DDD" w:rsidRPr="005B4D36">
        <w:rPr>
          <w:b/>
          <w:szCs w:val="20"/>
          <w:vertAlign w:val="superscript"/>
        </w:rPr>
        <w:t>,</w:t>
      </w:r>
      <w:r w:rsidR="00EC572E">
        <w:rPr>
          <w:b/>
          <w:szCs w:val="20"/>
          <w:vertAlign w:val="superscript"/>
        </w:rPr>
        <w:t xml:space="preserve"> </w:t>
      </w:r>
      <w:r w:rsidR="00FD2DDD" w:rsidRPr="005B4D36">
        <w:rPr>
          <w:szCs w:val="20"/>
          <w:vertAlign w:val="superscript"/>
        </w:rPr>
        <w:fldChar w:fldCharType="begin"/>
      </w:r>
      <w:r w:rsidR="00FD2DDD" w:rsidRPr="005B4D36">
        <w:rPr>
          <w:szCs w:val="20"/>
          <w:vertAlign w:val="superscript"/>
        </w:rPr>
        <w:instrText xml:space="preserve"> NOTEREF _Ref390892942 \h  \* MERGEFORMAT </w:instrText>
      </w:r>
      <w:r w:rsidR="00FD2DDD" w:rsidRPr="005B4D36">
        <w:rPr>
          <w:szCs w:val="20"/>
          <w:vertAlign w:val="superscript"/>
        </w:rPr>
      </w:r>
      <w:r w:rsidR="00FD2DDD" w:rsidRPr="005B4D36">
        <w:rPr>
          <w:szCs w:val="20"/>
          <w:vertAlign w:val="superscript"/>
        </w:rPr>
        <w:fldChar w:fldCharType="separate"/>
      </w:r>
      <w:r w:rsidR="00581054">
        <w:rPr>
          <w:szCs w:val="20"/>
          <w:vertAlign w:val="superscript"/>
        </w:rPr>
        <w:t>27</w:t>
      </w:r>
      <w:r w:rsidR="00FD2DDD" w:rsidRPr="005B4D36">
        <w:rPr>
          <w:szCs w:val="20"/>
          <w:vertAlign w:val="superscript"/>
        </w:rPr>
        <w:fldChar w:fldCharType="end"/>
      </w:r>
      <w:r w:rsidRPr="005B4D36">
        <w:rPr>
          <w:szCs w:val="20"/>
        </w:rPr>
        <w:t>. Blandt de patienter med skizofreni, der modtager behandling, bliver ca. 20 procent helbredt, mens sygdommen for andre 20 procent, der er behandlingsresistente, bliver kronisk. De resterende 60 procent oplever et episodisk forløb, dvs. et forløb med perioder uden sygdomssymptomer og perioder med sygdomssymptomer</w:t>
      </w:r>
      <w:r w:rsidR="000B37EA" w:rsidRPr="005B4D36">
        <w:rPr>
          <w:b/>
          <w:szCs w:val="20"/>
          <w:vertAlign w:val="superscript"/>
        </w:rPr>
        <w:fldChar w:fldCharType="begin"/>
      </w:r>
      <w:r w:rsidR="000B37EA" w:rsidRPr="005B4D36">
        <w:rPr>
          <w:szCs w:val="20"/>
          <w:vertAlign w:val="superscript"/>
        </w:rPr>
        <w:instrText xml:space="preserve"> NOTEREF _Ref390892942 \h </w:instrText>
      </w:r>
      <w:r w:rsidR="00FD2DDD" w:rsidRPr="005B4D36">
        <w:rPr>
          <w:b/>
          <w:szCs w:val="20"/>
          <w:vertAlign w:val="superscript"/>
        </w:rPr>
        <w:instrText xml:space="preserve"> \* MERGEFORMAT </w:instrText>
      </w:r>
      <w:r w:rsidR="000B37EA" w:rsidRPr="005B4D36">
        <w:rPr>
          <w:b/>
          <w:szCs w:val="20"/>
          <w:vertAlign w:val="superscript"/>
        </w:rPr>
      </w:r>
      <w:r w:rsidR="000B37EA" w:rsidRPr="005B4D36">
        <w:rPr>
          <w:b/>
          <w:szCs w:val="20"/>
          <w:vertAlign w:val="superscript"/>
        </w:rPr>
        <w:fldChar w:fldCharType="separate"/>
      </w:r>
      <w:r w:rsidR="00581054">
        <w:rPr>
          <w:szCs w:val="20"/>
          <w:vertAlign w:val="superscript"/>
        </w:rPr>
        <w:t>27</w:t>
      </w:r>
      <w:r w:rsidR="000B37EA" w:rsidRPr="005B4D36">
        <w:rPr>
          <w:b/>
          <w:szCs w:val="20"/>
          <w:vertAlign w:val="superscript"/>
        </w:rPr>
        <w:fldChar w:fldCharType="end"/>
      </w:r>
      <w:r w:rsidRPr="005B4D36">
        <w:rPr>
          <w:szCs w:val="20"/>
        </w:rPr>
        <w:t>. Prog</w:t>
      </w:r>
      <w:r w:rsidR="00F00091">
        <w:rPr>
          <w:szCs w:val="20"/>
        </w:rPr>
        <w:t>nosen er altså meget forskellig og sygdommen er ikke kronisk for alle personer.</w:t>
      </w:r>
      <w:r w:rsidRPr="005B4D36">
        <w:rPr>
          <w:szCs w:val="20"/>
        </w:rPr>
        <w:t xml:space="preserve">  </w:t>
      </w:r>
    </w:p>
    <w:p w:rsidR="00AE3837" w:rsidRDefault="00AE3837" w:rsidP="00AE3837">
      <w:pPr>
        <w:rPr>
          <w:szCs w:val="20"/>
        </w:rPr>
      </w:pPr>
    </w:p>
    <w:p w:rsidR="00AE3837" w:rsidRDefault="00AE3837" w:rsidP="00AE3837">
      <w:pPr>
        <w:rPr>
          <w:szCs w:val="20"/>
        </w:rPr>
      </w:pPr>
    </w:p>
    <w:p w:rsidR="00AE3837" w:rsidRDefault="00AE3837" w:rsidP="00AE3837">
      <w:pPr>
        <w:rPr>
          <w:szCs w:val="20"/>
        </w:rPr>
      </w:pPr>
    </w:p>
    <w:p w:rsidR="004D29E9" w:rsidRDefault="004D29E9" w:rsidP="00AE3837">
      <w:pPr>
        <w:rPr>
          <w:b/>
          <w:szCs w:val="20"/>
        </w:rPr>
      </w:pPr>
      <w:r w:rsidRPr="005B4D36">
        <w:rPr>
          <w:b/>
          <w:szCs w:val="20"/>
        </w:rPr>
        <w:t>Forbehold ved udvælgelsen</w:t>
      </w:r>
    </w:p>
    <w:p w:rsidR="00F86904" w:rsidRPr="005B4D36" w:rsidRDefault="00F86904" w:rsidP="00AE3837">
      <w:pPr>
        <w:rPr>
          <w:b/>
          <w:szCs w:val="20"/>
        </w:rPr>
      </w:pPr>
    </w:p>
    <w:p w:rsidR="004D29E9" w:rsidRPr="005B4D36" w:rsidRDefault="004D29E9" w:rsidP="004D29E9">
      <w:pPr>
        <w:rPr>
          <w:szCs w:val="20"/>
        </w:rPr>
      </w:pPr>
      <w:r w:rsidRPr="005B4D36">
        <w:rPr>
          <w:szCs w:val="20"/>
        </w:rPr>
        <w:t>Udvælgelsen er sket på baggrund af en udtræksalgoritme fra registre. Udtræksalgoritmen er ikke valideret. Validering vil kræve journalgennemgang af journaler på sygehuse.</w:t>
      </w:r>
    </w:p>
    <w:p w:rsidR="004D29E9" w:rsidRPr="005B4D36" w:rsidRDefault="004D29E9" w:rsidP="004D29E9">
      <w:pPr>
        <w:rPr>
          <w:szCs w:val="20"/>
        </w:rPr>
      </w:pPr>
    </w:p>
    <w:p w:rsidR="004D29E9" w:rsidRPr="005B4D36" w:rsidRDefault="004D29E9" w:rsidP="004D29E9">
      <w:pPr>
        <w:rPr>
          <w:szCs w:val="20"/>
        </w:rPr>
      </w:pPr>
      <w:r w:rsidRPr="005B4D36">
        <w:rPr>
          <w:szCs w:val="20"/>
        </w:rPr>
        <w:t>I udvælgelsen af skizofrenipatienter er det vægtet højere, at de udvalgte personer med stor sandsynlighed har den pågældende sygdom frem for at få alle med. Prævalens fundet ved denne udvælgelse kan derfor være underestimeret i forhold til en prævalens fundet ved andre metoder.</w:t>
      </w:r>
    </w:p>
    <w:p w:rsidR="004D29E9" w:rsidRPr="005B4D36" w:rsidRDefault="004D29E9" w:rsidP="004D29E9">
      <w:pPr>
        <w:rPr>
          <w:szCs w:val="20"/>
        </w:rPr>
      </w:pPr>
    </w:p>
    <w:p w:rsidR="004D29E9" w:rsidRPr="005B4D36" w:rsidRDefault="004D29E9" w:rsidP="004D29E9">
      <w:pPr>
        <w:rPr>
          <w:szCs w:val="20"/>
        </w:rPr>
      </w:pPr>
      <w:r w:rsidRPr="005B4D36">
        <w:rPr>
          <w:szCs w:val="20"/>
        </w:rPr>
        <w:t xml:space="preserve">Data indeholder personer med minimum én aktions- eller biadiagnose for skizofreni i LPR, PSYK eller Minipas. </w:t>
      </w:r>
      <w:r w:rsidRPr="005B4D36">
        <w:rPr>
          <w:rStyle w:val="articletext1"/>
          <w:rFonts w:ascii="Arial" w:hAnsi="Arial" w:cs="Arial"/>
          <w:sz w:val="20"/>
          <w:szCs w:val="20"/>
        </w:rPr>
        <w:t xml:space="preserve">Skizofreni er som regel en langvarig eller livsvarig sygdom, men </w:t>
      </w:r>
      <w:r w:rsidRPr="005B4D36">
        <w:rPr>
          <w:szCs w:val="20"/>
        </w:rPr>
        <w:t xml:space="preserve">sygdomsbillede og forløb udviser dog store individuelle forskelle. </w:t>
      </w:r>
      <w:r w:rsidRPr="005B4D36">
        <w:rPr>
          <w:rFonts w:asciiTheme="majorHAnsi" w:hAnsiTheme="majorHAnsi" w:cstheme="majorHAnsi"/>
          <w:szCs w:val="20"/>
        </w:rPr>
        <w:t xml:space="preserve">Skizofrenipopulationen indeholder derfor ikke </w:t>
      </w:r>
      <w:r w:rsidRPr="005B4D36">
        <w:rPr>
          <w:szCs w:val="20"/>
        </w:rPr>
        <w:t xml:space="preserve">personer, der ikke har haft en kontakt </w:t>
      </w:r>
      <w:r w:rsidR="00FA6918" w:rsidRPr="005B4D36">
        <w:rPr>
          <w:szCs w:val="20"/>
        </w:rPr>
        <w:t>inden for</w:t>
      </w:r>
      <w:r w:rsidRPr="005B4D36">
        <w:rPr>
          <w:szCs w:val="20"/>
        </w:rPr>
        <w:t xml:space="preserve"> de sidste fem år fra opgørelsestidspunktet. 5-års grænsen vælges for ikke at medtage personer, som ikke aktuelt/læng</w:t>
      </w:r>
      <w:r w:rsidR="005D6015">
        <w:rPr>
          <w:szCs w:val="20"/>
        </w:rPr>
        <w:t>ere kan beregnes som syge. Det kan overvejes om</w:t>
      </w:r>
      <w:r w:rsidRPr="005B4D36">
        <w:rPr>
          <w:szCs w:val="20"/>
        </w:rPr>
        <w:t xml:space="preserve"> denne grænse skal være en anden, eks</w:t>
      </w:r>
      <w:r w:rsidR="005D6015">
        <w:rPr>
          <w:szCs w:val="20"/>
        </w:rPr>
        <w:t>empelvis 2 år.</w:t>
      </w:r>
      <w:r w:rsidR="008931C2">
        <w:rPr>
          <w:szCs w:val="20"/>
        </w:rPr>
        <w:t xml:space="preserve"> </w:t>
      </w:r>
    </w:p>
    <w:p w:rsidR="004D29E9" w:rsidRPr="005B4D36" w:rsidRDefault="004D29E9" w:rsidP="004D29E9">
      <w:pPr>
        <w:rPr>
          <w:szCs w:val="20"/>
        </w:rPr>
      </w:pPr>
    </w:p>
    <w:p w:rsidR="004D29E9" w:rsidRPr="005B4D36" w:rsidRDefault="004D29E9" w:rsidP="004D29E9">
      <w:pPr>
        <w:rPr>
          <w:szCs w:val="20"/>
        </w:rPr>
      </w:pPr>
      <w:r w:rsidRPr="005B4D36">
        <w:rPr>
          <w:szCs w:val="20"/>
        </w:rPr>
        <w:t xml:space="preserve">Data indeholder både aktions- og bidiagnoser. </w:t>
      </w:r>
      <w:r w:rsidR="00C15DC9">
        <w:rPr>
          <w:szCs w:val="20"/>
        </w:rPr>
        <w:t xml:space="preserve">Det kan også overvejes om, der skal kræves mere end én aktions- eller bidiagnose for at indgå i populationen, eller at </w:t>
      </w:r>
      <w:r w:rsidRPr="005B4D36">
        <w:rPr>
          <w:szCs w:val="20"/>
        </w:rPr>
        <w:t>kun aktions-diagnoser indgå</w:t>
      </w:r>
      <w:r w:rsidR="00C15DC9">
        <w:rPr>
          <w:szCs w:val="20"/>
        </w:rPr>
        <w:t>r.</w:t>
      </w:r>
      <w:r w:rsidRPr="005B4D36">
        <w:rPr>
          <w:szCs w:val="20"/>
        </w:rPr>
        <w:t xml:space="preserve"> </w:t>
      </w:r>
    </w:p>
    <w:p w:rsidR="004D29E9" w:rsidRPr="005B4D36" w:rsidRDefault="004D29E9" w:rsidP="004D29E9">
      <w:pPr>
        <w:rPr>
          <w:szCs w:val="20"/>
        </w:rPr>
      </w:pPr>
    </w:p>
    <w:p w:rsidR="004D29E9" w:rsidRPr="005B4D36" w:rsidRDefault="004D29E9" w:rsidP="004D29E9">
      <w:pPr>
        <w:rPr>
          <w:szCs w:val="20"/>
        </w:rPr>
      </w:pPr>
      <w:r w:rsidRPr="005B4D36">
        <w:rPr>
          <w:szCs w:val="20"/>
        </w:rPr>
        <w:t>Det vurderes, at langt de fleste med skizofreni vil have kontakt med sygehusvæsenet på et tidspunkt i deres sygdomsforløb</w:t>
      </w:r>
      <w:r w:rsidR="008931C2">
        <w:rPr>
          <w:szCs w:val="20"/>
        </w:rPr>
        <w:t>,</w:t>
      </w:r>
      <w:r w:rsidRPr="005B4D36">
        <w:rPr>
          <w:szCs w:val="20"/>
        </w:rPr>
        <w:t xml:space="preserve"> og derfor bliver inkluderet via en kontakt i LPR</w:t>
      </w:r>
      <w:r w:rsidR="008931C2">
        <w:rPr>
          <w:szCs w:val="20"/>
        </w:rPr>
        <w:t>,</w:t>
      </w:r>
      <w:r w:rsidRPr="005B4D36">
        <w:rPr>
          <w:szCs w:val="20"/>
        </w:rPr>
        <w:t xml:space="preserve"> og at der derfor ikke vil blive inkluderet flere ved at </w:t>
      </w:r>
      <w:r w:rsidR="008931C2">
        <w:rPr>
          <w:szCs w:val="20"/>
        </w:rPr>
        <w:t>inddrage data fra LSR. D</w:t>
      </w:r>
      <w:r w:rsidR="00B316D4">
        <w:rPr>
          <w:szCs w:val="20"/>
        </w:rPr>
        <w:t>et kan overvejes om</w:t>
      </w:r>
      <w:r w:rsidR="008931C2">
        <w:rPr>
          <w:szCs w:val="20"/>
        </w:rPr>
        <w:t xml:space="preserve"> indløsning af recept af en</w:t>
      </w:r>
      <w:r w:rsidRPr="005B4D36">
        <w:rPr>
          <w:szCs w:val="20"/>
        </w:rPr>
        <w:t xml:space="preserve"> depotfo</w:t>
      </w:r>
      <w:r w:rsidR="008931C2">
        <w:rPr>
          <w:szCs w:val="20"/>
        </w:rPr>
        <w:t>rmuleringer af antipsykotika i L</w:t>
      </w:r>
      <w:r w:rsidRPr="005B4D36">
        <w:rPr>
          <w:szCs w:val="20"/>
        </w:rPr>
        <w:t>ægemiddels</w:t>
      </w:r>
      <w:r w:rsidR="008931C2">
        <w:rPr>
          <w:szCs w:val="20"/>
        </w:rPr>
        <w:t>tatistikregistret indgå</w:t>
      </w:r>
      <w:r w:rsidR="00B316D4">
        <w:rPr>
          <w:szCs w:val="20"/>
        </w:rPr>
        <w:t xml:space="preserve"> som inklusionskriterie.</w:t>
      </w:r>
    </w:p>
    <w:p w:rsidR="004D29E9" w:rsidRPr="005B4D36" w:rsidRDefault="004D29E9" w:rsidP="004D29E9">
      <w:pPr>
        <w:rPr>
          <w:szCs w:val="20"/>
        </w:rPr>
      </w:pPr>
    </w:p>
    <w:p w:rsidR="004D29E9" w:rsidRDefault="004D29E9" w:rsidP="004D29E9">
      <w:pPr>
        <w:rPr>
          <w:szCs w:val="20"/>
        </w:rPr>
      </w:pPr>
      <w:r w:rsidRPr="005B4D36">
        <w:rPr>
          <w:szCs w:val="20"/>
        </w:rPr>
        <w:t>I data er der ikke taget hensyn til hvilket speciale (sygehusklassifikationens koder for lægelig/sundhedsfaglig specialer), der har stillet diagnosen, idet skizofrenidiagnoser fra både indlæggelser, ambulant behandling og skadestuek</w:t>
      </w:r>
      <w:r w:rsidR="0067050A">
        <w:rPr>
          <w:szCs w:val="20"/>
        </w:rPr>
        <w:t>ontakter er medtaget. D</w:t>
      </w:r>
      <w:r w:rsidR="00B316D4">
        <w:rPr>
          <w:szCs w:val="20"/>
        </w:rPr>
        <w:t xml:space="preserve">et kunne overvejes om </w:t>
      </w:r>
      <w:r w:rsidRPr="005B4D36">
        <w:rPr>
          <w:szCs w:val="20"/>
        </w:rPr>
        <w:t xml:space="preserve">skizofrenidiagnoser fra skadestuebesøg </w:t>
      </w:r>
      <w:r w:rsidR="0067050A">
        <w:rPr>
          <w:szCs w:val="20"/>
        </w:rPr>
        <w:t>skal</w:t>
      </w:r>
      <w:r w:rsidR="00B316D4">
        <w:rPr>
          <w:szCs w:val="20"/>
        </w:rPr>
        <w:t xml:space="preserve"> udelades.</w:t>
      </w:r>
    </w:p>
    <w:p w:rsidR="00AE3837" w:rsidRPr="005B4D36" w:rsidRDefault="00AE3837" w:rsidP="004D29E9">
      <w:pPr>
        <w:rPr>
          <w:b/>
          <w:szCs w:val="20"/>
        </w:rPr>
      </w:pPr>
    </w:p>
    <w:p w:rsidR="004D29E9" w:rsidRDefault="004D29E9" w:rsidP="004D29E9">
      <w:pPr>
        <w:pStyle w:val="Overskrift2"/>
        <w:rPr>
          <w:b/>
          <w:sz w:val="20"/>
          <w:szCs w:val="20"/>
        </w:rPr>
      </w:pPr>
      <w:bookmarkStart w:id="70" w:name="_Toc391624701"/>
      <w:r w:rsidRPr="005B4D36">
        <w:rPr>
          <w:b/>
          <w:sz w:val="20"/>
          <w:szCs w:val="20"/>
        </w:rPr>
        <w:t>Fremtidig udbygning</w:t>
      </w:r>
      <w:bookmarkEnd w:id="70"/>
    </w:p>
    <w:p w:rsidR="00F86904" w:rsidRPr="00F86904" w:rsidRDefault="00F86904" w:rsidP="00F86904"/>
    <w:p w:rsidR="004D29E9" w:rsidRDefault="004D29E9" w:rsidP="004D29E9">
      <w:pPr>
        <w:rPr>
          <w:szCs w:val="20"/>
        </w:rPr>
      </w:pPr>
      <w:r w:rsidRPr="005B4D36">
        <w:rPr>
          <w:szCs w:val="20"/>
        </w:rPr>
        <w:t>Sygdomsalgoritmen kan udbygges med lægemidler, hvis specifikke indikationskoder for skizofreni anvendes i større omfang. I dag er det oftest de sygdomsuspecifikke koder, der er tilknyttet lægemidlerne, der anvendes.</w:t>
      </w:r>
    </w:p>
    <w:p w:rsidR="00AE3837" w:rsidRDefault="00AE3837" w:rsidP="004D29E9">
      <w:pPr>
        <w:rPr>
          <w:szCs w:val="20"/>
        </w:rPr>
      </w:pPr>
    </w:p>
    <w:p w:rsidR="00AE3837" w:rsidRDefault="00AE3837" w:rsidP="004D29E9">
      <w:pPr>
        <w:rPr>
          <w:szCs w:val="20"/>
        </w:rPr>
      </w:pPr>
    </w:p>
    <w:p w:rsidR="00AE3837" w:rsidRDefault="00AE3837" w:rsidP="004D29E9">
      <w:pPr>
        <w:rPr>
          <w:szCs w:val="20"/>
        </w:rPr>
      </w:pPr>
    </w:p>
    <w:p w:rsidR="00AE3837" w:rsidRDefault="00AE3837" w:rsidP="004D29E9">
      <w:pPr>
        <w:rPr>
          <w:szCs w:val="20"/>
        </w:rPr>
      </w:pPr>
    </w:p>
    <w:p w:rsidR="00AE3837" w:rsidRDefault="00AE3837" w:rsidP="004D29E9">
      <w:pPr>
        <w:rPr>
          <w:szCs w:val="20"/>
        </w:rPr>
      </w:pPr>
    </w:p>
    <w:p w:rsidR="00AE3837" w:rsidRPr="005B4D36" w:rsidRDefault="00AE3837" w:rsidP="004D29E9">
      <w:pPr>
        <w:rPr>
          <w:szCs w:val="20"/>
        </w:rPr>
      </w:pPr>
    </w:p>
    <w:p w:rsidR="00885C88" w:rsidRPr="005B4D36" w:rsidRDefault="00885C88" w:rsidP="00885C88">
      <w:pPr>
        <w:spacing w:line="360" w:lineRule="auto"/>
        <w:rPr>
          <w:szCs w:val="20"/>
        </w:rPr>
      </w:pPr>
    </w:p>
    <w:p w:rsidR="00CD5F29" w:rsidRDefault="002F6BF8" w:rsidP="00DD700D">
      <w:pPr>
        <w:pStyle w:val="Overskrift1"/>
        <w:rPr>
          <w:sz w:val="24"/>
          <w:szCs w:val="24"/>
        </w:rPr>
      </w:pPr>
      <w:bookmarkStart w:id="71" w:name="_Toc391624702"/>
      <w:r>
        <w:t xml:space="preserve">7. </w:t>
      </w:r>
      <w:r w:rsidR="00CD5F29">
        <w:t>Demens i RUKS</w:t>
      </w:r>
      <w:bookmarkEnd w:id="71"/>
    </w:p>
    <w:p w:rsidR="00CD5F29" w:rsidRDefault="00CD5F29" w:rsidP="00CD5F29">
      <w:pPr>
        <w:rPr>
          <w:sz w:val="24"/>
          <w:szCs w:val="24"/>
        </w:rPr>
      </w:pPr>
    </w:p>
    <w:p w:rsidR="00CD5F29" w:rsidRPr="0026102B" w:rsidRDefault="00CD5F29" w:rsidP="00DD700D">
      <w:pPr>
        <w:pStyle w:val="Overskrift2"/>
        <w:rPr>
          <w:b/>
          <w:sz w:val="20"/>
          <w:szCs w:val="20"/>
        </w:rPr>
      </w:pPr>
      <w:bookmarkStart w:id="72" w:name="_Toc391624703"/>
      <w:r w:rsidRPr="0026102B">
        <w:rPr>
          <w:b/>
          <w:sz w:val="20"/>
          <w:szCs w:val="20"/>
        </w:rPr>
        <w:t>Årsag til udvælgelse</w:t>
      </w:r>
      <w:bookmarkEnd w:id="72"/>
    </w:p>
    <w:p w:rsidR="00CD5F29" w:rsidRPr="0026102B" w:rsidRDefault="00CD5F29" w:rsidP="00CD5F29">
      <w:pPr>
        <w:rPr>
          <w:szCs w:val="20"/>
        </w:rPr>
      </w:pPr>
      <w:r w:rsidRPr="0026102B">
        <w:rPr>
          <w:szCs w:val="20"/>
        </w:rPr>
        <w:t>Sygdom valgt i Sundhedsstyrelsens tidligere kronikermonitorering.</w:t>
      </w:r>
    </w:p>
    <w:p w:rsidR="00CD5F29" w:rsidRPr="0026102B" w:rsidRDefault="00CD5F29" w:rsidP="00CD5F29">
      <w:pPr>
        <w:rPr>
          <w:szCs w:val="20"/>
        </w:rPr>
      </w:pPr>
    </w:p>
    <w:p w:rsidR="00CD5F29" w:rsidRPr="0026102B" w:rsidRDefault="00CD5F29" w:rsidP="00DD700D">
      <w:pPr>
        <w:pStyle w:val="Overskrift2"/>
        <w:rPr>
          <w:b/>
          <w:sz w:val="20"/>
          <w:szCs w:val="20"/>
        </w:rPr>
      </w:pPr>
      <w:bookmarkStart w:id="73" w:name="_Toc391624704"/>
      <w:r w:rsidRPr="0026102B">
        <w:rPr>
          <w:b/>
          <w:sz w:val="20"/>
          <w:szCs w:val="20"/>
        </w:rPr>
        <w:t>Rationale for udvælgelsesmetode og registre</w:t>
      </w:r>
      <w:bookmarkEnd w:id="73"/>
    </w:p>
    <w:p w:rsidR="00CD5F29" w:rsidRPr="0026102B" w:rsidRDefault="00CD5F29" w:rsidP="00CD5F29">
      <w:pPr>
        <w:rPr>
          <w:szCs w:val="20"/>
        </w:rPr>
      </w:pPr>
      <w:r w:rsidRPr="0026102B">
        <w:rPr>
          <w:szCs w:val="20"/>
        </w:rPr>
        <w:t xml:space="preserve">Sygdomsgruppen omfatter alle demensformer, og der trækkes både oplysninger fra Landspatientregisteret (LPR) og Lægemiddelstatistikregisteret (LSR), da man ikke kan fange alle demente ved kun at trække på det ene af registrene. Der kan være personer, der ikke kommer i forbindelse med sygehus i forbindelse med deres demenssygdom, derudover kan der være demente, der ikke bliver behandlet med demensmedicin. </w:t>
      </w:r>
    </w:p>
    <w:p w:rsidR="00CD5F29" w:rsidRPr="0026102B" w:rsidRDefault="00CD5F29" w:rsidP="00CD5F29">
      <w:pPr>
        <w:rPr>
          <w:szCs w:val="20"/>
        </w:rPr>
      </w:pPr>
    </w:p>
    <w:p w:rsidR="00CD5F29" w:rsidRPr="0026102B" w:rsidRDefault="00CD5F29" w:rsidP="00CD5F29">
      <w:pPr>
        <w:rPr>
          <w:szCs w:val="20"/>
        </w:rPr>
      </w:pPr>
      <w:r w:rsidRPr="0026102B">
        <w:rPr>
          <w:szCs w:val="20"/>
        </w:rPr>
        <w:t>Fra Landspatientregisteret trækkes både koderne i DF-intervallet vedrørende Alzheimers demens, vaskulær demens, demens i forbindelse med andre sygdomme (</w:t>
      </w:r>
      <w:r w:rsidR="000147A5" w:rsidRPr="0026102B">
        <w:rPr>
          <w:szCs w:val="20"/>
        </w:rPr>
        <w:t>fx</w:t>
      </w:r>
      <w:r w:rsidRPr="0026102B">
        <w:rPr>
          <w:szCs w:val="20"/>
        </w:rPr>
        <w:t xml:space="preserve"> parkinsonisme), uspecificeret demens, delir ved demens, samt en kode i DG-intervallet til den strukturelle skade i hjernen, der er årsag til Alzheimers, se ICD-10 koderne i tabellen herunder. </w:t>
      </w:r>
    </w:p>
    <w:p w:rsidR="00CD5F29" w:rsidRPr="0026102B" w:rsidRDefault="00CD5F29" w:rsidP="00CD5F29">
      <w:pPr>
        <w:rPr>
          <w:szCs w:val="20"/>
        </w:rPr>
      </w:pPr>
      <w:r w:rsidRPr="0026102B">
        <w:rPr>
          <w:szCs w:val="20"/>
        </w:rPr>
        <w:t>Hvis personen udelukkende har skadestuekontakt med relevant diagnosekode og ikke optræder i LPR i øvrigt med nogen af de relevante diagnosekoder som aktions- eller bidiagnose, tages personen ikke med, da vi formoder, at der kan være større usikkerhed på demensdiagnoserne fra skadestuebesøg.</w:t>
      </w:r>
    </w:p>
    <w:p w:rsidR="00CD5F29" w:rsidRPr="0026102B" w:rsidRDefault="00CD5F29" w:rsidP="00CD5F29">
      <w:pPr>
        <w:rPr>
          <w:szCs w:val="20"/>
        </w:rPr>
      </w:pPr>
    </w:p>
    <w:p w:rsidR="00CD5F29" w:rsidRPr="0026102B" w:rsidRDefault="00CD5F29" w:rsidP="00CD5F29">
      <w:pPr>
        <w:rPr>
          <w:szCs w:val="20"/>
        </w:rPr>
      </w:pPr>
      <w:r w:rsidRPr="0026102B">
        <w:rPr>
          <w:szCs w:val="20"/>
        </w:rPr>
        <w:t xml:space="preserve">Fra Lægemiddelstatistikregisteret trækkes køb af demensmedicin (ATC-gruppe N06D). Demente kan også behandles med anden medicin, </w:t>
      </w:r>
      <w:r w:rsidR="000147A5" w:rsidRPr="0026102B">
        <w:rPr>
          <w:szCs w:val="20"/>
        </w:rPr>
        <w:t>fx</w:t>
      </w:r>
      <w:r w:rsidRPr="0026102B">
        <w:rPr>
          <w:szCs w:val="20"/>
        </w:rPr>
        <w:t xml:space="preserve"> vil personer med vaskulær demens ikke blive behandlet med disse demensmidler, men vil i stedet blive behandlet forebyggende mod de vaskulære risikofaktorer, det kunne </w:t>
      </w:r>
      <w:r w:rsidR="000147A5" w:rsidRPr="0026102B">
        <w:rPr>
          <w:szCs w:val="20"/>
        </w:rPr>
        <w:t>fx</w:t>
      </w:r>
      <w:r w:rsidRPr="0026102B">
        <w:rPr>
          <w:szCs w:val="20"/>
        </w:rPr>
        <w:t xml:space="preserve"> være blodtryksmedicin, blodfortyndende eller andet afhængigt af den enkelte persons risikofaktorer. Da disse lægemidler også anvendes til mange andre patienter uden demens, tages de ikke med her.</w:t>
      </w:r>
    </w:p>
    <w:p w:rsidR="00CD5F29" w:rsidRPr="0026102B" w:rsidRDefault="00CD5F29" w:rsidP="00CD5F29">
      <w:pPr>
        <w:rPr>
          <w:szCs w:val="20"/>
        </w:rPr>
      </w:pPr>
      <w:r w:rsidRPr="0026102B">
        <w:rPr>
          <w:szCs w:val="20"/>
        </w:rPr>
        <w:t>Demensmidlerne er derimod kun godkendt til behandling af forskellige former for demens, og der er derfor en vis sandsynlighed for, at en person behandlet med disse midler har demens. For at kunne få bevilget tilskud til lægemidlerne kræver Sundhedsstyrelsen i øvrigt, at patienten er grundig udredt af specialist inden. For at imødegå eventuelle fejl og misklassifikationer kræves</w:t>
      </w:r>
      <w:r w:rsidR="00EE5C3F">
        <w:rPr>
          <w:szCs w:val="20"/>
        </w:rPr>
        <w:t xml:space="preserve"> det</w:t>
      </w:r>
      <w:r w:rsidRPr="0026102B">
        <w:rPr>
          <w:szCs w:val="20"/>
        </w:rPr>
        <w:t>, at personen skal have købt demensmedicin mindst to gange for at blive inkluderet. Med mindre personen også optræder i LPR med en af de relevante diagnosekoder.</w:t>
      </w:r>
    </w:p>
    <w:p w:rsidR="00CD5F29" w:rsidRPr="0026102B" w:rsidRDefault="00CD5F29" w:rsidP="00CD5F29">
      <w:pPr>
        <w:rPr>
          <w:szCs w:val="20"/>
        </w:rPr>
      </w:pPr>
      <w:r w:rsidRPr="0026102B">
        <w:rPr>
          <w:szCs w:val="20"/>
        </w:rPr>
        <w:t>De første demensmidler blev markedsført i september 1997, og data fra Lægemiddelstatistikregisteret indgår derfor først fra 1997.</w:t>
      </w:r>
    </w:p>
    <w:p w:rsidR="00CD5F29" w:rsidRPr="0026102B" w:rsidRDefault="00CD5F29" w:rsidP="00CD5F29">
      <w:pPr>
        <w:rPr>
          <w:b/>
          <w:szCs w:val="20"/>
        </w:rPr>
      </w:pPr>
      <w:r w:rsidRPr="0026102B">
        <w:rPr>
          <w:b/>
          <w:szCs w:val="20"/>
        </w:rPr>
        <w:br w:type="page"/>
      </w:r>
    </w:p>
    <w:p w:rsidR="00CD5F29" w:rsidRPr="0026102B" w:rsidRDefault="00CD5F29" w:rsidP="00DD700D">
      <w:pPr>
        <w:pStyle w:val="Overskrift2"/>
        <w:rPr>
          <w:b/>
          <w:sz w:val="20"/>
          <w:szCs w:val="20"/>
        </w:rPr>
      </w:pPr>
      <w:bookmarkStart w:id="74" w:name="_Toc391624705"/>
      <w:r w:rsidRPr="0026102B">
        <w:rPr>
          <w:b/>
          <w:sz w:val="20"/>
          <w:szCs w:val="20"/>
        </w:rPr>
        <w:t>Inklusion og eksklusionskoder fra registre</w:t>
      </w:r>
      <w:bookmarkEnd w:id="74"/>
    </w:p>
    <w:p w:rsidR="00CD5F29" w:rsidRPr="0026102B" w:rsidRDefault="00CD5F29" w:rsidP="00CD5F29">
      <w:pPr>
        <w:rPr>
          <w:szCs w:val="20"/>
        </w:rPr>
      </w:pPr>
    </w:p>
    <w:p w:rsidR="00CD5F29" w:rsidRPr="0026102B" w:rsidRDefault="00CD5F29" w:rsidP="00CD5F29">
      <w:pPr>
        <w:rPr>
          <w:szCs w:val="20"/>
        </w:rPr>
      </w:pPr>
      <w:r w:rsidRPr="0026102B">
        <w:rPr>
          <w:szCs w:val="20"/>
        </w:rPr>
        <w:t>Inklusion:</w:t>
      </w:r>
    </w:p>
    <w:p w:rsidR="00CD5F29" w:rsidRPr="0026102B" w:rsidRDefault="00CD5F29" w:rsidP="00CD5F29">
      <w:pPr>
        <w:pStyle w:val="Listeafsnit"/>
        <w:numPr>
          <w:ilvl w:val="0"/>
          <w:numId w:val="31"/>
        </w:numPr>
        <w:rPr>
          <w:szCs w:val="20"/>
        </w:rPr>
      </w:pPr>
      <w:r w:rsidRPr="0026102B">
        <w:rPr>
          <w:szCs w:val="20"/>
        </w:rPr>
        <w:t>Personer registreret med mindst én indlæggelse eller ambulant kontakt i Landspatientregisteret med relevant diagnosekoder som aktions- eller bidiagnose.</w:t>
      </w:r>
    </w:p>
    <w:p w:rsidR="00CD5F29" w:rsidRPr="00320438" w:rsidRDefault="00CD5F29" w:rsidP="00CD5F29">
      <w:pPr>
        <w:pStyle w:val="Listeafsnit"/>
        <w:numPr>
          <w:ilvl w:val="0"/>
          <w:numId w:val="31"/>
        </w:numPr>
        <w:rPr>
          <w:sz w:val="22"/>
        </w:rPr>
      </w:pPr>
      <w:r w:rsidRPr="0026102B">
        <w:rPr>
          <w:szCs w:val="20"/>
        </w:rPr>
        <w:t>eller personer med mindst to køb af demenslægemidler i Lægemiddelstatistikregisteret</w:t>
      </w:r>
      <w:r>
        <w:rPr>
          <w:sz w:val="22"/>
        </w:rPr>
        <w:t>.</w:t>
      </w:r>
    </w:p>
    <w:p w:rsidR="00CD5F29" w:rsidRDefault="00CD5F29" w:rsidP="00CD5F29">
      <w:pPr>
        <w:rPr>
          <w:b/>
          <w:sz w:val="22"/>
        </w:rPr>
      </w:pPr>
    </w:p>
    <w:tbl>
      <w:tblPr>
        <w:tblStyle w:val="Tabel-Gitter"/>
        <w:tblW w:w="0" w:type="auto"/>
        <w:tblLook w:val="04A0" w:firstRow="1" w:lastRow="0" w:firstColumn="1" w:lastColumn="0" w:noHBand="0" w:noVBand="1"/>
      </w:tblPr>
      <w:tblGrid>
        <w:gridCol w:w="4789"/>
        <w:gridCol w:w="4839"/>
      </w:tblGrid>
      <w:tr w:rsidR="00CD5F29" w:rsidRPr="00FF23EA" w:rsidTr="00264164">
        <w:tc>
          <w:tcPr>
            <w:tcW w:w="4873" w:type="dxa"/>
          </w:tcPr>
          <w:p w:rsidR="00CD5F29" w:rsidRPr="00FF23EA" w:rsidRDefault="00CD5F29" w:rsidP="00264164">
            <w:pPr>
              <w:rPr>
                <w:b/>
                <w:szCs w:val="20"/>
              </w:rPr>
            </w:pPr>
            <w:r w:rsidRPr="00FF23EA">
              <w:rPr>
                <w:b/>
                <w:szCs w:val="20"/>
              </w:rPr>
              <w:t>LPR</w:t>
            </w:r>
          </w:p>
        </w:tc>
        <w:tc>
          <w:tcPr>
            <w:tcW w:w="4874" w:type="dxa"/>
          </w:tcPr>
          <w:p w:rsidR="00CD5F29" w:rsidRPr="00FF23EA" w:rsidRDefault="00CD5F29" w:rsidP="00264164">
            <w:pPr>
              <w:rPr>
                <w:b/>
                <w:szCs w:val="20"/>
              </w:rPr>
            </w:pPr>
            <w:r w:rsidRPr="00FF23EA">
              <w:rPr>
                <w:b/>
                <w:szCs w:val="20"/>
              </w:rPr>
              <w:t>LSR</w:t>
            </w:r>
          </w:p>
        </w:tc>
      </w:tr>
      <w:tr w:rsidR="00CD5F29" w:rsidRPr="00FF23EA" w:rsidTr="00264164">
        <w:tc>
          <w:tcPr>
            <w:tcW w:w="4873" w:type="dxa"/>
          </w:tcPr>
          <w:p w:rsidR="00CD5F29" w:rsidRPr="00FF23EA" w:rsidRDefault="00CD5F29" w:rsidP="00264164">
            <w:pPr>
              <w:rPr>
                <w:szCs w:val="20"/>
              </w:rPr>
            </w:pPr>
          </w:p>
          <w:p w:rsidR="00CD5F29" w:rsidRPr="00FF23EA" w:rsidRDefault="00CD5F29" w:rsidP="00264164">
            <w:pPr>
              <w:rPr>
                <w:szCs w:val="20"/>
              </w:rPr>
            </w:pPr>
            <w:r w:rsidRPr="00FF23EA">
              <w:rPr>
                <w:szCs w:val="20"/>
              </w:rPr>
              <w:t>ICD-10 koder, inkl. undergrupper, som A eller B diagnose:</w:t>
            </w:r>
          </w:p>
          <w:p w:rsidR="00CD5F29" w:rsidRPr="00FF23EA" w:rsidRDefault="00CD5F29" w:rsidP="00264164">
            <w:pPr>
              <w:rPr>
                <w:szCs w:val="20"/>
              </w:rPr>
            </w:pPr>
            <w:r w:rsidRPr="00FF23EA">
              <w:rPr>
                <w:szCs w:val="20"/>
              </w:rPr>
              <w:t xml:space="preserve"> </w:t>
            </w:r>
          </w:p>
          <w:p w:rsidR="00CD5F29" w:rsidRPr="001654D5" w:rsidRDefault="00CD5F29" w:rsidP="00264164">
            <w:pPr>
              <w:rPr>
                <w:szCs w:val="20"/>
              </w:rPr>
            </w:pPr>
            <w:r w:rsidRPr="001654D5">
              <w:rPr>
                <w:szCs w:val="20"/>
              </w:rPr>
              <w:t>DF00 (Demens ved Alzheimers sygdom)</w:t>
            </w:r>
          </w:p>
          <w:p w:rsidR="00CD5F29" w:rsidRPr="001654D5" w:rsidRDefault="00CD5F29" w:rsidP="00264164">
            <w:pPr>
              <w:rPr>
                <w:szCs w:val="20"/>
              </w:rPr>
            </w:pPr>
            <w:r w:rsidRPr="001654D5">
              <w:rPr>
                <w:szCs w:val="20"/>
              </w:rPr>
              <w:t>DF01 (Vaskulær demens)</w:t>
            </w:r>
          </w:p>
          <w:p w:rsidR="00CD5F29" w:rsidRPr="001654D5" w:rsidRDefault="00CD5F29" w:rsidP="00264164">
            <w:pPr>
              <w:rPr>
                <w:szCs w:val="20"/>
              </w:rPr>
            </w:pPr>
            <w:r w:rsidRPr="001654D5">
              <w:rPr>
                <w:szCs w:val="20"/>
              </w:rPr>
              <w:t>DF02 (Demens ved andre sygdomme klassificeret andetsteds)</w:t>
            </w:r>
          </w:p>
          <w:p w:rsidR="00CD5F29" w:rsidRPr="001654D5" w:rsidRDefault="00CD5F29" w:rsidP="00264164">
            <w:pPr>
              <w:rPr>
                <w:szCs w:val="20"/>
              </w:rPr>
            </w:pPr>
            <w:r w:rsidRPr="001654D5">
              <w:rPr>
                <w:szCs w:val="20"/>
              </w:rPr>
              <w:t>DF03 (Ikke specificeret demens)</w:t>
            </w:r>
          </w:p>
          <w:p w:rsidR="00CD5F29" w:rsidRPr="001654D5" w:rsidRDefault="00CD5F29" w:rsidP="00264164">
            <w:pPr>
              <w:rPr>
                <w:szCs w:val="20"/>
              </w:rPr>
            </w:pPr>
            <w:r w:rsidRPr="001654D5">
              <w:rPr>
                <w:szCs w:val="20"/>
              </w:rPr>
              <w:t>DF051 (Delir ved demens)</w:t>
            </w:r>
          </w:p>
          <w:p w:rsidR="00CD5F29" w:rsidRPr="001654D5" w:rsidRDefault="00CD5F29" w:rsidP="00264164">
            <w:pPr>
              <w:rPr>
                <w:szCs w:val="20"/>
              </w:rPr>
            </w:pPr>
            <w:r w:rsidRPr="001654D5">
              <w:rPr>
                <w:szCs w:val="20"/>
              </w:rPr>
              <w:t xml:space="preserve">DG30 (Alzheimers sygdom, </w:t>
            </w:r>
            <w:r w:rsidRPr="001654D5">
              <w:rPr>
                <w:i/>
                <w:szCs w:val="20"/>
              </w:rPr>
              <w:t>under sygdomme i nervesystemet</w:t>
            </w:r>
            <w:r w:rsidRPr="001654D5">
              <w:rPr>
                <w:szCs w:val="20"/>
              </w:rPr>
              <w:t>)</w:t>
            </w:r>
          </w:p>
          <w:p w:rsidR="00CD5F29" w:rsidRPr="00FF23EA" w:rsidRDefault="00CD5F29" w:rsidP="00264164">
            <w:pPr>
              <w:rPr>
                <w:szCs w:val="20"/>
              </w:rPr>
            </w:pPr>
          </w:p>
        </w:tc>
        <w:tc>
          <w:tcPr>
            <w:tcW w:w="4874" w:type="dxa"/>
          </w:tcPr>
          <w:p w:rsidR="00CD5F29" w:rsidRPr="00FF23EA" w:rsidRDefault="00CD5F29" w:rsidP="00264164">
            <w:pPr>
              <w:rPr>
                <w:szCs w:val="20"/>
              </w:rPr>
            </w:pPr>
          </w:p>
          <w:p w:rsidR="00CD5F29" w:rsidRPr="00FF23EA" w:rsidRDefault="00CD5F29" w:rsidP="00264164">
            <w:pPr>
              <w:rPr>
                <w:szCs w:val="20"/>
              </w:rPr>
            </w:pPr>
            <w:r w:rsidRPr="00FF23EA">
              <w:rPr>
                <w:szCs w:val="20"/>
              </w:rPr>
              <w:t>Lægemiddelgruppe, kun godkendt til demens:</w:t>
            </w:r>
          </w:p>
          <w:p w:rsidR="00CD5F29" w:rsidRPr="00FF23EA" w:rsidRDefault="00CD5F29" w:rsidP="00264164">
            <w:pPr>
              <w:rPr>
                <w:szCs w:val="20"/>
              </w:rPr>
            </w:pPr>
          </w:p>
          <w:p w:rsidR="00CD5F29" w:rsidRPr="00FF23EA" w:rsidRDefault="00CD5F29" w:rsidP="00CD5F29">
            <w:pPr>
              <w:pStyle w:val="Listeafsnit"/>
              <w:numPr>
                <w:ilvl w:val="0"/>
                <w:numId w:val="33"/>
              </w:numPr>
              <w:rPr>
                <w:szCs w:val="20"/>
              </w:rPr>
            </w:pPr>
            <w:r w:rsidRPr="00FF23EA">
              <w:rPr>
                <w:szCs w:val="20"/>
              </w:rPr>
              <w:t>N06D, der omfatter donepezil, rivastigmin og galantamin (kolinesterasehæmmere) samt memantin (glutamatreceptorantagonist)</w:t>
            </w:r>
          </w:p>
        </w:tc>
      </w:tr>
    </w:tbl>
    <w:p w:rsidR="00CD5F29" w:rsidRDefault="00CD5F29" w:rsidP="00CD5F29">
      <w:pPr>
        <w:rPr>
          <w:b/>
          <w:sz w:val="22"/>
        </w:rPr>
      </w:pPr>
    </w:p>
    <w:p w:rsidR="00CD5F29" w:rsidRPr="0026102B" w:rsidRDefault="00CD5F29" w:rsidP="00CD5F29">
      <w:pPr>
        <w:rPr>
          <w:szCs w:val="20"/>
        </w:rPr>
      </w:pPr>
      <w:r w:rsidRPr="0026102B">
        <w:rPr>
          <w:szCs w:val="20"/>
        </w:rPr>
        <w:t>Eksklusion:</w:t>
      </w:r>
    </w:p>
    <w:p w:rsidR="00CD5F29" w:rsidRPr="0026102B" w:rsidRDefault="00CD5F29" w:rsidP="00CD5F29">
      <w:pPr>
        <w:pStyle w:val="Listeafsnit"/>
        <w:numPr>
          <w:ilvl w:val="0"/>
          <w:numId w:val="32"/>
        </w:numPr>
        <w:rPr>
          <w:szCs w:val="20"/>
        </w:rPr>
      </w:pPr>
      <w:r w:rsidRPr="0026102B">
        <w:rPr>
          <w:szCs w:val="20"/>
        </w:rPr>
        <w:t xml:space="preserve">Personer, der udelukkende har haft skadestuekontakt med relevant diagnosekode uden at optræde i LPR med relevante diagnosekoder i anden sammenhæng eller have købt demensmedicin ekskluderes. </w:t>
      </w:r>
    </w:p>
    <w:p w:rsidR="00CD5F29" w:rsidRPr="0026102B" w:rsidRDefault="00CD5F29" w:rsidP="00CD5F29">
      <w:pPr>
        <w:rPr>
          <w:b/>
          <w:szCs w:val="20"/>
        </w:rPr>
      </w:pPr>
    </w:p>
    <w:p w:rsidR="00CD5F29" w:rsidRDefault="00CD5F29" w:rsidP="00CD5F29">
      <w:pPr>
        <w:rPr>
          <w:b/>
          <w:sz w:val="22"/>
        </w:rPr>
      </w:pPr>
      <w:r>
        <w:rPr>
          <w:b/>
          <w:sz w:val="22"/>
        </w:rPr>
        <w:br w:type="page"/>
      </w:r>
    </w:p>
    <w:p w:rsidR="00A0144A" w:rsidRDefault="00CD5F29" w:rsidP="00F76304">
      <w:pPr>
        <w:pStyle w:val="Overskrift2"/>
        <w:rPr>
          <w:b/>
          <w:sz w:val="20"/>
          <w:szCs w:val="20"/>
        </w:rPr>
      </w:pPr>
      <w:bookmarkStart w:id="75" w:name="_Ref382387900"/>
      <w:bookmarkStart w:id="76" w:name="_Toc391624706"/>
      <w:r w:rsidRPr="0026102B">
        <w:rPr>
          <w:b/>
          <w:sz w:val="20"/>
          <w:szCs w:val="20"/>
        </w:rPr>
        <w:t xml:space="preserve">Flowdiagram for dannelse af </w:t>
      </w:r>
      <w:r w:rsidR="002B44AF">
        <w:rPr>
          <w:b/>
          <w:sz w:val="20"/>
          <w:szCs w:val="20"/>
        </w:rPr>
        <w:t xml:space="preserve">demens </w:t>
      </w:r>
      <w:r w:rsidRPr="0026102B">
        <w:rPr>
          <w:b/>
          <w:sz w:val="20"/>
          <w:szCs w:val="20"/>
        </w:rPr>
        <w:t>population pr. 1. januar 2013</w:t>
      </w:r>
      <w:bookmarkEnd w:id="75"/>
      <w:bookmarkEnd w:id="76"/>
    </w:p>
    <w:p w:rsidR="00F76304" w:rsidRPr="00F76304" w:rsidRDefault="00F76304" w:rsidP="00F76304"/>
    <w:p w:rsidR="00D114FB" w:rsidRPr="00D114FB" w:rsidRDefault="00F76304" w:rsidP="008D453D">
      <w:r>
        <w:rPr>
          <w:noProof/>
          <w:lang w:eastAsia="da-DK"/>
        </w:rPr>
        <w:drawing>
          <wp:inline distT="0" distB="0" distL="0" distR="0">
            <wp:extent cx="5772150" cy="7171169"/>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mens_2.png"/>
                    <pic:cNvPicPr/>
                  </pic:nvPicPr>
                  <pic:blipFill>
                    <a:blip r:embed="rId33">
                      <a:extLst>
                        <a:ext uri="{28A0092B-C50C-407E-A947-70E740481C1C}">
                          <a14:useLocalDpi xmlns:a14="http://schemas.microsoft.com/office/drawing/2010/main" val="0"/>
                        </a:ext>
                      </a:extLst>
                    </a:blip>
                    <a:stretch>
                      <a:fillRect/>
                    </a:stretch>
                  </pic:blipFill>
                  <pic:spPr>
                    <a:xfrm>
                      <a:off x="0" y="0"/>
                      <a:ext cx="5776448" cy="7176509"/>
                    </a:xfrm>
                    <a:prstGeom prst="rect">
                      <a:avLst/>
                    </a:prstGeom>
                  </pic:spPr>
                </pic:pic>
              </a:graphicData>
            </a:graphic>
          </wp:inline>
        </w:drawing>
      </w:r>
    </w:p>
    <w:p w:rsidR="00D114FB" w:rsidRDefault="00D114FB" w:rsidP="008D453D">
      <w:pPr>
        <w:rPr>
          <w:b/>
          <w:szCs w:val="20"/>
        </w:rPr>
      </w:pPr>
    </w:p>
    <w:p w:rsidR="00CD5F29" w:rsidRPr="0026102B" w:rsidRDefault="00CD5F29" w:rsidP="00DD700D">
      <w:pPr>
        <w:pStyle w:val="Overskrift2"/>
        <w:rPr>
          <w:b/>
          <w:sz w:val="20"/>
          <w:szCs w:val="20"/>
        </w:rPr>
      </w:pPr>
      <w:bookmarkStart w:id="77" w:name="_Toc391624707"/>
      <w:r w:rsidRPr="0026102B">
        <w:rPr>
          <w:b/>
          <w:sz w:val="20"/>
          <w:szCs w:val="20"/>
        </w:rPr>
        <w:t>Beskrivelse af den fundne population</w:t>
      </w:r>
      <w:bookmarkEnd w:id="77"/>
    </w:p>
    <w:p w:rsidR="00CD5F29" w:rsidRPr="0026102B" w:rsidRDefault="00CD5F29" w:rsidP="00CD5F29">
      <w:pPr>
        <w:rPr>
          <w:b/>
          <w:szCs w:val="20"/>
        </w:rPr>
      </w:pPr>
    </w:p>
    <w:p w:rsidR="00CD5F29" w:rsidRPr="0026102B" w:rsidRDefault="00CD5F29" w:rsidP="00CD5F29">
      <w:pPr>
        <w:rPr>
          <w:szCs w:val="20"/>
        </w:rPr>
      </w:pPr>
      <w:r w:rsidRPr="0026102B">
        <w:rPr>
          <w:szCs w:val="20"/>
        </w:rPr>
        <w:t xml:space="preserve">Debutalderen for henholdsvis kvinder og mænd, der optræder i RUKS med demens pr. 1. januar 2013 er vist i figur </w:t>
      </w:r>
      <w:r w:rsidR="00C01325">
        <w:rPr>
          <w:szCs w:val="20"/>
        </w:rPr>
        <w:t>7</w:t>
      </w:r>
      <w:r w:rsidR="00B2578B" w:rsidRPr="0026102B">
        <w:rPr>
          <w:szCs w:val="20"/>
        </w:rPr>
        <w:t>.</w:t>
      </w:r>
      <w:r w:rsidR="00C01325">
        <w:rPr>
          <w:szCs w:val="20"/>
        </w:rPr>
        <w:t>1</w:t>
      </w:r>
      <w:r w:rsidRPr="0026102B">
        <w:rPr>
          <w:szCs w:val="20"/>
        </w:rPr>
        <w:t>. Debutalder er beregnet som alder ved personens første kontakt i LPR eller første køb af demensmidler.</w:t>
      </w:r>
    </w:p>
    <w:p w:rsidR="00CD5F29" w:rsidRPr="0026102B" w:rsidRDefault="00CD5F29" w:rsidP="00CD5F29">
      <w:pPr>
        <w:rPr>
          <w:szCs w:val="20"/>
        </w:rPr>
      </w:pPr>
    </w:p>
    <w:p w:rsidR="00CD5F29" w:rsidRPr="0026102B" w:rsidRDefault="00CD5F29" w:rsidP="00CD5F29">
      <w:pPr>
        <w:rPr>
          <w:szCs w:val="20"/>
        </w:rPr>
      </w:pPr>
    </w:p>
    <w:p w:rsidR="00CD5F29" w:rsidRPr="0026102B" w:rsidRDefault="00CD5F29" w:rsidP="00CD5F29">
      <w:pPr>
        <w:pStyle w:val="Billedtekst"/>
        <w:keepNext/>
        <w:rPr>
          <w:b w:val="0"/>
          <w:sz w:val="20"/>
          <w:szCs w:val="20"/>
        </w:rPr>
      </w:pPr>
      <w:r w:rsidRPr="0026102B">
        <w:rPr>
          <w:b w:val="0"/>
          <w:sz w:val="20"/>
          <w:szCs w:val="20"/>
        </w:rPr>
        <w:t xml:space="preserve">Figur </w:t>
      </w:r>
      <w:r w:rsidR="00C01325">
        <w:rPr>
          <w:b w:val="0"/>
          <w:sz w:val="20"/>
          <w:szCs w:val="20"/>
        </w:rPr>
        <w:t>7</w:t>
      </w:r>
      <w:r w:rsidR="00B2578B" w:rsidRPr="0026102B">
        <w:rPr>
          <w:b w:val="0"/>
          <w:sz w:val="20"/>
          <w:szCs w:val="20"/>
        </w:rPr>
        <w:t>.</w:t>
      </w:r>
      <w:r w:rsidRPr="0026102B">
        <w:rPr>
          <w:b w:val="0"/>
          <w:sz w:val="20"/>
          <w:szCs w:val="20"/>
        </w:rPr>
        <w:fldChar w:fldCharType="begin"/>
      </w:r>
      <w:r w:rsidRPr="0026102B">
        <w:rPr>
          <w:b w:val="0"/>
          <w:sz w:val="20"/>
          <w:szCs w:val="20"/>
        </w:rPr>
        <w:instrText xml:space="preserve"> SEQ Figur \* ARABIC </w:instrText>
      </w:r>
      <w:r w:rsidRPr="0026102B">
        <w:rPr>
          <w:b w:val="0"/>
          <w:sz w:val="20"/>
          <w:szCs w:val="20"/>
        </w:rPr>
        <w:fldChar w:fldCharType="separate"/>
      </w:r>
      <w:r w:rsidR="00581054">
        <w:rPr>
          <w:b w:val="0"/>
          <w:noProof/>
          <w:sz w:val="20"/>
          <w:szCs w:val="20"/>
        </w:rPr>
        <w:t>1</w:t>
      </w:r>
      <w:r w:rsidRPr="0026102B">
        <w:rPr>
          <w:b w:val="0"/>
          <w:sz w:val="20"/>
          <w:szCs w:val="20"/>
        </w:rPr>
        <w:fldChar w:fldCharType="end"/>
      </w:r>
      <w:r w:rsidRPr="0026102B">
        <w:rPr>
          <w:b w:val="0"/>
          <w:sz w:val="20"/>
          <w:szCs w:val="20"/>
        </w:rPr>
        <w:t>. Debutalder for demente danskere i RUKS pr. 1. januar 2013</w:t>
      </w:r>
    </w:p>
    <w:p w:rsidR="00CD5F29" w:rsidRDefault="00F074DE" w:rsidP="00CD5F29">
      <w:pPr>
        <w:rPr>
          <w:sz w:val="22"/>
        </w:rPr>
      </w:pPr>
      <w:r>
        <w:rPr>
          <w:noProof/>
          <w:sz w:val="22"/>
          <w:lang w:eastAsia="da-DK"/>
        </w:rPr>
        <w:drawing>
          <wp:inline distT="0" distB="0" distL="0" distR="0" wp14:anchorId="700FC311" wp14:editId="4D885C96">
            <wp:extent cx="6139180" cy="3383280"/>
            <wp:effectExtent l="0" t="0" r="0" b="7620"/>
            <wp:docPr id="207" name="Billed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39180" cy="3383280"/>
                    </a:xfrm>
                    <a:prstGeom prst="rect">
                      <a:avLst/>
                    </a:prstGeom>
                    <a:noFill/>
                  </pic:spPr>
                </pic:pic>
              </a:graphicData>
            </a:graphic>
          </wp:inline>
        </w:drawing>
      </w:r>
    </w:p>
    <w:p w:rsidR="00CD5F29" w:rsidRDefault="00CD5F29" w:rsidP="00CD5F29">
      <w:pPr>
        <w:rPr>
          <w:sz w:val="22"/>
        </w:rPr>
      </w:pPr>
    </w:p>
    <w:p w:rsidR="00CD5F29" w:rsidRPr="0026102B" w:rsidRDefault="00CD5F29" w:rsidP="00CD5F29">
      <w:pPr>
        <w:rPr>
          <w:szCs w:val="20"/>
        </w:rPr>
      </w:pPr>
      <w:r w:rsidRPr="0026102B">
        <w:rPr>
          <w:szCs w:val="20"/>
        </w:rPr>
        <w:t>Medianalderen for første kontakt/lægemiddelkøb er 78 år (70-84</w:t>
      </w:r>
      <w:bookmarkStart w:id="78" w:name="_Ref382380050"/>
      <w:r w:rsidRPr="0026102B">
        <w:rPr>
          <w:rStyle w:val="Fodnotehenvisning"/>
          <w:szCs w:val="20"/>
        </w:rPr>
        <w:footnoteReference w:id="11"/>
      </w:r>
      <w:bookmarkEnd w:id="78"/>
      <w:r w:rsidRPr="0026102B">
        <w:rPr>
          <w:szCs w:val="20"/>
        </w:rPr>
        <w:t>) for hele populationen. For mænd er medianalderen for debut 75 år (66-82</w:t>
      </w:r>
      <w:r w:rsidRPr="0026102B">
        <w:rPr>
          <w:szCs w:val="20"/>
        </w:rPr>
        <w:fldChar w:fldCharType="begin"/>
      </w:r>
      <w:r w:rsidRPr="0026102B">
        <w:rPr>
          <w:szCs w:val="20"/>
        </w:rPr>
        <w:instrText xml:space="preserve"> NOTEREF _Ref382380050 \h  \* MERGEFORMAT </w:instrText>
      </w:r>
      <w:r w:rsidRPr="0026102B">
        <w:rPr>
          <w:szCs w:val="20"/>
        </w:rPr>
      </w:r>
      <w:r w:rsidRPr="0026102B">
        <w:rPr>
          <w:szCs w:val="20"/>
        </w:rPr>
        <w:fldChar w:fldCharType="separate"/>
      </w:r>
      <w:r w:rsidR="00581054">
        <w:rPr>
          <w:szCs w:val="20"/>
        </w:rPr>
        <w:t>k</w:t>
      </w:r>
      <w:r w:rsidRPr="0026102B">
        <w:rPr>
          <w:szCs w:val="20"/>
        </w:rPr>
        <w:fldChar w:fldCharType="end"/>
      </w:r>
      <w:r w:rsidRPr="0026102B">
        <w:rPr>
          <w:szCs w:val="20"/>
        </w:rPr>
        <w:t>), mens den er højere for kvinder med en medianalder for debut på 80 år (73-85</w:t>
      </w:r>
      <w:r w:rsidRPr="0026102B">
        <w:rPr>
          <w:szCs w:val="20"/>
        </w:rPr>
        <w:fldChar w:fldCharType="begin"/>
      </w:r>
      <w:r w:rsidRPr="0026102B">
        <w:rPr>
          <w:szCs w:val="20"/>
        </w:rPr>
        <w:instrText xml:space="preserve"> NOTEREF _Ref382380050 \h  \* MERGEFORMAT </w:instrText>
      </w:r>
      <w:r w:rsidRPr="0026102B">
        <w:rPr>
          <w:szCs w:val="20"/>
        </w:rPr>
      </w:r>
      <w:r w:rsidRPr="0026102B">
        <w:rPr>
          <w:szCs w:val="20"/>
        </w:rPr>
        <w:fldChar w:fldCharType="separate"/>
      </w:r>
      <w:r w:rsidR="00581054">
        <w:rPr>
          <w:szCs w:val="20"/>
        </w:rPr>
        <w:t>k</w:t>
      </w:r>
      <w:r w:rsidRPr="0026102B">
        <w:rPr>
          <w:szCs w:val="20"/>
        </w:rPr>
        <w:fldChar w:fldCharType="end"/>
      </w:r>
      <w:r w:rsidRPr="0026102B">
        <w:rPr>
          <w:szCs w:val="20"/>
        </w:rPr>
        <w:t>)</w:t>
      </w:r>
      <w:r w:rsidRPr="0026102B">
        <w:rPr>
          <w:rStyle w:val="Fodnotehenvisning"/>
          <w:szCs w:val="20"/>
        </w:rPr>
        <w:footnoteReference w:id="12"/>
      </w:r>
      <w:r w:rsidRPr="0026102B">
        <w:rPr>
          <w:szCs w:val="20"/>
        </w:rPr>
        <w:t xml:space="preserve">. </w:t>
      </w:r>
    </w:p>
    <w:p w:rsidR="00CD5F29" w:rsidRPr="0026102B" w:rsidRDefault="00CD5F29" w:rsidP="00CD5F29">
      <w:pPr>
        <w:rPr>
          <w:szCs w:val="20"/>
        </w:rPr>
      </w:pPr>
    </w:p>
    <w:p w:rsidR="00CD5F29" w:rsidRPr="0026102B" w:rsidRDefault="00CD5F29" w:rsidP="00CD5F29">
      <w:pPr>
        <w:rPr>
          <w:szCs w:val="20"/>
        </w:rPr>
      </w:pPr>
      <w:r w:rsidRPr="0026102B">
        <w:rPr>
          <w:szCs w:val="20"/>
        </w:rPr>
        <w:t xml:space="preserve">Af flowdiagrammet fremgår det, at mere end 2/3-del af de personer, der har optrådt i LPR siden 1995 med diagnosekoder for demens, ikke har købt demensmedicin. Selvom det ikke er alle typer demens, der behandles med demensmedicin, virker det som en noget høj andel. De første demensmidler blev dog først markedsført i september 1997 og hvis man nøjes med at se på de personer, der er i populationen fra 2007 og frem (jf. figur </w:t>
      </w:r>
      <w:r w:rsidR="00C01325">
        <w:rPr>
          <w:szCs w:val="20"/>
        </w:rPr>
        <w:t>7</w:t>
      </w:r>
      <w:r w:rsidR="00B2578B" w:rsidRPr="0026102B">
        <w:rPr>
          <w:szCs w:val="20"/>
        </w:rPr>
        <w:t>.</w:t>
      </w:r>
      <w:r w:rsidR="00C01325">
        <w:rPr>
          <w:szCs w:val="20"/>
        </w:rPr>
        <w:t>2</w:t>
      </w:r>
      <w:r w:rsidRPr="0026102B">
        <w:rPr>
          <w:szCs w:val="20"/>
        </w:rPr>
        <w:t>), er det en noget højere andel, der har</w:t>
      </w:r>
      <w:r>
        <w:rPr>
          <w:sz w:val="22"/>
        </w:rPr>
        <w:t xml:space="preserve"> </w:t>
      </w:r>
      <w:r w:rsidRPr="0026102B">
        <w:rPr>
          <w:szCs w:val="20"/>
        </w:rPr>
        <w:t>købt demensmedicin end når man ser på hele populationen siden 1995. For dem, der har været i live de sidste 5 år, har mere end halvdelen af dem, der optrådte i LPR, også købt demensmedicin på et eller andet tidspunkt i perioden 1997-2013.</w:t>
      </w:r>
    </w:p>
    <w:p w:rsidR="00CD5F29" w:rsidRPr="0026102B" w:rsidRDefault="00CD5F29" w:rsidP="00CD5F29">
      <w:pPr>
        <w:rPr>
          <w:szCs w:val="20"/>
        </w:rPr>
      </w:pPr>
    </w:p>
    <w:p w:rsidR="00CD5F29" w:rsidRPr="0026102B" w:rsidRDefault="00CD5F29" w:rsidP="00CD5F29">
      <w:pPr>
        <w:pStyle w:val="Billedtekst"/>
        <w:keepNext/>
        <w:rPr>
          <w:b w:val="0"/>
          <w:sz w:val="20"/>
          <w:szCs w:val="20"/>
        </w:rPr>
      </w:pPr>
      <w:r w:rsidRPr="0026102B">
        <w:rPr>
          <w:b w:val="0"/>
          <w:sz w:val="20"/>
          <w:szCs w:val="20"/>
        </w:rPr>
        <w:t xml:space="preserve">Figur </w:t>
      </w:r>
      <w:r w:rsidR="00C01325">
        <w:rPr>
          <w:b w:val="0"/>
          <w:sz w:val="20"/>
          <w:szCs w:val="20"/>
        </w:rPr>
        <w:t>7</w:t>
      </w:r>
      <w:r w:rsidR="00B2578B" w:rsidRPr="0026102B">
        <w:rPr>
          <w:b w:val="0"/>
          <w:sz w:val="20"/>
          <w:szCs w:val="20"/>
        </w:rPr>
        <w:t>.</w:t>
      </w:r>
      <w:r w:rsidRPr="0026102B">
        <w:rPr>
          <w:b w:val="0"/>
          <w:sz w:val="20"/>
          <w:szCs w:val="20"/>
        </w:rPr>
        <w:fldChar w:fldCharType="begin"/>
      </w:r>
      <w:r w:rsidRPr="0026102B">
        <w:rPr>
          <w:b w:val="0"/>
          <w:sz w:val="20"/>
          <w:szCs w:val="20"/>
        </w:rPr>
        <w:instrText xml:space="preserve"> SEQ Figur \* ARABIC </w:instrText>
      </w:r>
      <w:r w:rsidRPr="0026102B">
        <w:rPr>
          <w:b w:val="0"/>
          <w:sz w:val="20"/>
          <w:szCs w:val="20"/>
        </w:rPr>
        <w:fldChar w:fldCharType="separate"/>
      </w:r>
      <w:r w:rsidR="00581054">
        <w:rPr>
          <w:b w:val="0"/>
          <w:noProof/>
          <w:sz w:val="20"/>
          <w:szCs w:val="20"/>
        </w:rPr>
        <w:t>2</w:t>
      </w:r>
      <w:r w:rsidRPr="0026102B">
        <w:rPr>
          <w:b w:val="0"/>
          <w:sz w:val="20"/>
          <w:szCs w:val="20"/>
        </w:rPr>
        <w:fldChar w:fldCharType="end"/>
      </w:r>
      <w:r w:rsidRPr="0026102B">
        <w:rPr>
          <w:b w:val="0"/>
          <w:sz w:val="20"/>
          <w:szCs w:val="20"/>
        </w:rPr>
        <w:t>. Hvilke registre optræder personerne i - opgjort for populationen pr. 1. januar de enkelte år fra 2007 til 2014</w:t>
      </w:r>
    </w:p>
    <w:p w:rsidR="00CD5F29" w:rsidRPr="00E47011" w:rsidRDefault="00663921" w:rsidP="00CD5F29">
      <w:r>
        <w:rPr>
          <w:noProof/>
          <w:lang w:eastAsia="da-DK"/>
        </w:rPr>
        <w:drawing>
          <wp:inline distT="0" distB="0" distL="0" distR="0" wp14:anchorId="67CE265D" wp14:editId="296D8C59">
            <wp:extent cx="5993130" cy="2755900"/>
            <wp:effectExtent l="0" t="0" r="7620" b="6350"/>
            <wp:docPr id="208" name="Billed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93130" cy="2755900"/>
                    </a:xfrm>
                    <a:prstGeom prst="rect">
                      <a:avLst/>
                    </a:prstGeom>
                    <a:noFill/>
                  </pic:spPr>
                </pic:pic>
              </a:graphicData>
            </a:graphic>
          </wp:inline>
        </w:drawing>
      </w:r>
    </w:p>
    <w:p w:rsidR="00CD5F29" w:rsidRDefault="00CD5F29" w:rsidP="00CD5F29">
      <w:pPr>
        <w:rPr>
          <w:sz w:val="22"/>
        </w:rPr>
      </w:pPr>
    </w:p>
    <w:p w:rsidR="00CD5F29" w:rsidRPr="0026102B" w:rsidRDefault="00CD5F29" w:rsidP="00CD5F29">
      <w:pPr>
        <w:rPr>
          <w:szCs w:val="20"/>
        </w:rPr>
      </w:pPr>
    </w:p>
    <w:p w:rsidR="00CD5F29" w:rsidRPr="0026102B" w:rsidRDefault="00CD5F29" w:rsidP="00DD700D">
      <w:pPr>
        <w:pStyle w:val="Overskrift2"/>
        <w:rPr>
          <w:b/>
          <w:sz w:val="20"/>
          <w:szCs w:val="20"/>
        </w:rPr>
      </w:pPr>
      <w:bookmarkStart w:id="79" w:name="_Toc391624708"/>
      <w:r w:rsidRPr="0026102B">
        <w:rPr>
          <w:b/>
          <w:sz w:val="20"/>
          <w:szCs w:val="20"/>
        </w:rPr>
        <w:t>Antal personer med demens år 2007-2013</w:t>
      </w:r>
      <w:bookmarkEnd w:id="79"/>
    </w:p>
    <w:p w:rsidR="00CD5F29" w:rsidRPr="0026102B" w:rsidRDefault="00CD5F29" w:rsidP="00CD5F29">
      <w:pPr>
        <w:rPr>
          <w:szCs w:val="20"/>
        </w:rPr>
      </w:pPr>
    </w:p>
    <w:p w:rsidR="00CD5F29" w:rsidRPr="0026102B" w:rsidRDefault="00CD5F29" w:rsidP="00CD5F29">
      <w:pPr>
        <w:rPr>
          <w:szCs w:val="20"/>
        </w:rPr>
      </w:pPr>
      <w:r w:rsidRPr="0026102B">
        <w:rPr>
          <w:szCs w:val="20"/>
        </w:rPr>
        <w:t>Ved at bruge den valgte algoritme til udvælgelse af populationen af demente i RUKS, fås disse tal for antal demente danskere pr. 1. januar de enkelte år:</w:t>
      </w:r>
    </w:p>
    <w:p w:rsidR="00CD5F29" w:rsidRPr="0026102B" w:rsidRDefault="00CD5F29" w:rsidP="00CD5F29">
      <w:pPr>
        <w:rPr>
          <w:b/>
          <w:szCs w:val="20"/>
        </w:rPr>
      </w:pPr>
    </w:p>
    <w:p w:rsidR="00CD5F29" w:rsidRPr="0026102B" w:rsidRDefault="00CD5F29" w:rsidP="00CD5F29">
      <w:pPr>
        <w:pStyle w:val="Billedtekst"/>
        <w:keepNext/>
        <w:rPr>
          <w:b w:val="0"/>
          <w:sz w:val="20"/>
          <w:szCs w:val="20"/>
        </w:rPr>
      </w:pPr>
      <w:r w:rsidRPr="0026102B">
        <w:rPr>
          <w:b w:val="0"/>
          <w:sz w:val="20"/>
          <w:szCs w:val="20"/>
        </w:rPr>
        <w:t xml:space="preserve">Tabel </w:t>
      </w:r>
      <w:r w:rsidR="00C01325">
        <w:rPr>
          <w:b w:val="0"/>
          <w:sz w:val="20"/>
          <w:szCs w:val="20"/>
        </w:rPr>
        <w:t>7</w:t>
      </w:r>
      <w:r w:rsidR="00B2578B" w:rsidRPr="0026102B">
        <w:rPr>
          <w:b w:val="0"/>
          <w:sz w:val="20"/>
          <w:szCs w:val="20"/>
        </w:rPr>
        <w:t>.</w:t>
      </w:r>
      <w:r w:rsidR="00AB0E0A">
        <w:rPr>
          <w:b w:val="0"/>
          <w:sz w:val="20"/>
          <w:szCs w:val="20"/>
        </w:rPr>
        <w:t>1</w:t>
      </w:r>
      <w:r w:rsidRPr="0026102B">
        <w:rPr>
          <w:b w:val="0"/>
          <w:sz w:val="20"/>
          <w:szCs w:val="20"/>
        </w:rPr>
        <w:t>. Antal danske borgere i RUKS med demens pr. 1. januar 2007-2013</w:t>
      </w:r>
    </w:p>
    <w:tbl>
      <w:tblPr>
        <w:tblStyle w:val="Tabel-Gitter"/>
        <w:tblW w:w="0" w:type="auto"/>
        <w:tblLook w:val="04A0" w:firstRow="1" w:lastRow="0" w:firstColumn="1" w:lastColumn="0" w:noHBand="0" w:noVBand="1"/>
      </w:tblPr>
      <w:tblGrid>
        <w:gridCol w:w="1374"/>
        <w:gridCol w:w="1375"/>
        <w:gridCol w:w="1375"/>
        <w:gridCol w:w="1376"/>
        <w:gridCol w:w="1376"/>
        <w:gridCol w:w="1376"/>
        <w:gridCol w:w="1376"/>
      </w:tblGrid>
      <w:tr w:rsidR="00CD5F29" w:rsidRPr="0026102B" w:rsidTr="00264164">
        <w:tc>
          <w:tcPr>
            <w:tcW w:w="1396" w:type="dxa"/>
          </w:tcPr>
          <w:p w:rsidR="00CD5F29" w:rsidRPr="0026102B" w:rsidRDefault="00CD5F29" w:rsidP="00264164">
            <w:pPr>
              <w:jc w:val="center"/>
              <w:rPr>
                <w:b/>
                <w:szCs w:val="20"/>
              </w:rPr>
            </w:pPr>
            <w:r w:rsidRPr="0026102B">
              <w:rPr>
                <w:b/>
                <w:szCs w:val="20"/>
              </w:rPr>
              <w:t>2007</w:t>
            </w:r>
          </w:p>
        </w:tc>
        <w:tc>
          <w:tcPr>
            <w:tcW w:w="1397" w:type="dxa"/>
          </w:tcPr>
          <w:p w:rsidR="00CD5F29" w:rsidRPr="0026102B" w:rsidRDefault="00CD5F29" w:rsidP="00264164">
            <w:pPr>
              <w:jc w:val="center"/>
              <w:rPr>
                <w:b/>
                <w:szCs w:val="20"/>
              </w:rPr>
            </w:pPr>
            <w:r w:rsidRPr="0026102B">
              <w:rPr>
                <w:b/>
                <w:szCs w:val="20"/>
              </w:rPr>
              <w:t>2008</w:t>
            </w:r>
          </w:p>
        </w:tc>
        <w:tc>
          <w:tcPr>
            <w:tcW w:w="1397" w:type="dxa"/>
          </w:tcPr>
          <w:p w:rsidR="00CD5F29" w:rsidRPr="0026102B" w:rsidRDefault="00CD5F29" w:rsidP="00264164">
            <w:pPr>
              <w:jc w:val="center"/>
              <w:rPr>
                <w:b/>
                <w:szCs w:val="20"/>
              </w:rPr>
            </w:pPr>
            <w:r w:rsidRPr="0026102B">
              <w:rPr>
                <w:b/>
                <w:szCs w:val="20"/>
              </w:rPr>
              <w:t>2009</w:t>
            </w:r>
          </w:p>
        </w:tc>
        <w:tc>
          <w:tcPr>
            <w:tcW w:w="1397" w:type="dxa"/>
          </w:tcPr>
          <w:p w:rsidR="00CD5F29" w:rsidRPr="0026102B" w:rsidRDefault="00CD5F29" w:rsidP="00264164">
            <w:pPr>
              <w:jc w:val="center"/>
              <w:rPr>
                <w:b/>
                <w:szCs w:val="20"/>
              </w:rPr>
            </w:pPr>
            <w:r w:rsidRPr="0026102B">
              <w:rPr>
                <w:b/>
                <w:szCs w:val="20"/>
              </w:rPr>
              <w:t>2010</w:t>
            </w:r>
          </w:p>
        </w:tc>
        <w:tc>
          <w:tcPr>
            <w:tcW w:w="1397" w:type="dxa"/>
          </w:tcPr>
          <w:p w:rsidR="00CD5F29" w:rsidRPr="0026102B" w:rsidRDefault="00CD5F29" w:rsidP="00264164">
            <w:pPr>
              <w:jc w:val="center"/>
              <w:rPr>
                <w:b/>
                <w:szCs w:val="20"/>
              </w:rPr>
            </w:pPr>
            <w:r w:rsidRPr="0026102B">
              <w:rPr>
                <w:b/>
                <w:szCs w:val="20"/>
              </w:rPr>
              <w:t>2011</w:t>
            </w:r>
          </w:p>
        </w:tc>
        <w:tc>
          <w:tcPr>
            <w:tcW w:w="1397" w:type="dxa"/>
          </w:tcPr>
          <w:p w:rsidR="00CD5F29" w:rsidRPr="0026102B" w:rsidRDefault="00CD5F29" w:rsidP="00264164">
            <w:pPr>
              <w:jc w:val="center"/>
              <w:rPr>
                <w:b/>
                <w:szCs w:val="20"/>
              </w:rPr>
            </w:pPr>
            <w:r w:rsidRPr="0026102B">
              <w:rPr>
                <w:b/>
                <w:szCs w:val="20"/>
              </w:rPr>
              <w:t>2012</w:t>
            </w:r>
          </w:p>
        </w:tc>
        <w:tc>
          <w:tcPr>
            <w:tcW w:w="1397" w:type="dxa"/>
          </w:tcPr>
          <w:p w:rsidR="00CD5F29" w:rsidRPr="0026102B" w:rsidRDefault="00CD5F29" w:rsidP="00264164">
            <w:pPr>
              <w:jc w:val="center"/>
              <w:rPr>
                <w:b/>
                <w:szCs w:val="20"/>
              </w:rPr>
            </w:pPr>
            <w:r w:rsidRPr="0026102B">
              <w:rPr>
                <w:b/>
                <w:szCs w:val="20"/>
              </w:rPr>
              <w:t>2013</w:t>
            </w:r>
          </w:p>
        </w:tc>
      </w:tr>
      <w:tr w:rsidR="00CD5F29" w:rsidRPr="0026102B" w:rsidTr="00264164">
        <w:tc>
          <w:tcPr>
            <w:tcW w:w="1396" w:type="dxa"/>
          </w:tcPr>
          <w:p w:rsidR="00CD5F29" w:rsidRPr="0026102B" w:rsidRDefault="00CD5F29" w:rsidP="00264164">
            <w:pPr>
              <w:jc w:val="center"/>
              <w:rPr>
                <w:rFonts w:asciiTheme="majorHAnsi" w:hAnsiTheme="majorHAnsi" w:cstheme="majorHAnsi"/>
                <w:szCs w:val="20"/>
              </w:rPr>
            </w:pPr>
            <w:r w:rsidRPr="0026102B">
              <w:rPr>
                <w:rFonts w:asciiTheme="majorHAnsi" w:hAnsiTheme="majorHAnsi" w:cstheme="majorHAnsi"/>
                <w:szCs w:val="20"/>
              </w:rPr>
              <w:t>35.552</w:t>
            </w:r>
          </w:p>
        </w:tc>
        <w:tc>
          <w:tcPr>
            <w:tcW w:w="1397" w:type="dxa"/>
          </w:tcPr>
          <w:p w:rsidR="00CD5F29" w:rsidRPr="0026102B" w:rsidRDefault="00CD5F29" w:rsidP="00264164">
            <w:pPr>
              <w:jc w:val="center"/>
              <w:rPr>
                <w:rFonts w:asciiTheme="majorHAnsi" w:hAnsiTheme="majorHAnsi" w:cstheme="majorHAnsi"/>
                <w:szCs w:val="20"/>
              </w:rPr>
            </w:pPr>
            <w:r w:rsidRPr="0026102B">
              <w:rPr>
                <w:rFonts w:asciiTheme="majorHAnsi" w:hAnsiTheme="majorHAnsi" w:cstheme="majorHAnsi"/>
                <w:szCs w:val="20"/>
              </w:rPr>
              <w:t>36.461</w:t>
            </w:r>
          </w:p>
        </w:tc>
        <w:tc>
          <w:tcPr>
            <w:tcW w:w="1397" w:type="dxa"/>
          </w:tcPr>
          <w:p w:rsidR="00CD5F29" w:rsidRPr="0026102B" w:rsidRDefault="00CD5F29" w:rsidP="00264164">
            <w:pPr>
              <w:jc w:val="center"/>
              <w:rPr>
                <w:rFonts w:asciiTheme="majorHAnsi" w:hAnsiTheme="majorHAnsi" w:cstheme="majorHAnsi"/>
                <w:szCs w:val="20"/>
              </w:rPr>
            </w:pPr>
            <w:r w:rsidRPr="0026102B">
              <w:rPr>
                <w:rFonts w:asciiTheme="majorHAnsi" w:hAnsiTheme="majorHAnsi" w:cstheme="majorHAnsi"/>
                <w:szCs w:val="20"/>
              </w:rPr>
              <w:t>37.578</w:t>
            </w:r>
          </w:p>
        </w:tc>
        <w:tc>
          <w:tcPr>
            <w:tcW w:w="1397" w:type="dxa"/>
          </w:tcPr>
          <w:p w:rsidR="00CD5F29" w:rsidRPr="0026102B" w:rsidRDefault="00CD5F29" w:rsidP="00264164">
            <w:pPr>
              <w:jc w:val="center"/>
              <w:rPr>
                <w:rFonts w:asciiTheme="majorHAnsi" w:hAnsiTheme="majorHAnsi" w:cstheme="majorHAnsi"/>
                <w:szCs w:val="20"/>
              </w:rPr>
            </w:pPr>
            <w:r w:rsidRPr="0026102B">
              <w:rPr>
                <w:rFonts w:asciiTheme="majorHAnsi" w:hAnsiTheme="majorHAnsi" w:cstheme="majorHAnsi"/>
                <w:szCs w:val="20"/>
              </w:rPr>
              <w:t>38.836</w:t>
            </w:r>
          </w:p>
        </w:tc>
        <w:tc>
          <w:tcPr>
            <w:tcW w:w="1397" w:type="dxa"/>
          </w:tcPr>
          <w:p w:rsidR="00CD5F29" w:rsidRPr="0026102B" w:rsidRDefault="00CD5F29" w:rsidP="00264164">
            <w:pPr>
              <w:jc w:val="center"/>
              <w:rPr>
                <w:rFonts w:asciiTheme="majorHAnsi" w:hAnsiTheme="majorHAnsi" w:cstheme="majorHAnsi"/>
                <w:szCs w:val="20"/>
              </w:rPr>
            </w:pPr>
            <w:r w:rsidRPr="0026102B">
              <w:rPr>
                <w:rFonts w:asciiTheme="majorHAnsi" w:hAnsiTheme="majorHAnsi" w:cstheme="majorHAnsi"/>
                <w:szCs w:val="20"/>
              </w:rPr>
              <w:t>39.632</w:t>
            </w:r>
          </w:p>
        </w:tc>
        <w:tc>
          <w:tcPr>
            <w:tcW w:w="1397" w:type="dxa"/>
          </w:tcPr>
          <w:p w:rsidR="00CD5F29" w:rsidRPr="0026102B" w:rsidRDefault="00CD5F29" w:rsidP="00264164">
            <w:pPr>
              <w:jc w:val="center"/>
              <w:rPr>
                <w:rFonts w:asciiTheme="majorHAnsi" w:hAnsiTheme="majorHAnsi" w:cstheme="majorHAnsi"/>
                <w:szCs w:val="20"/>
              </w:rPr>
            </w:pPr>
            <w:r w:rsidRPr="0026102B">
              <w:rPr>
                <w:rFonts w:asciiTheme="majorHAnsi" w:hAnsiTheme="majorHAnsi" w:cstheme="majorHAnsi"/>
                <w:szCs w:val="20"/>
              </w:rPr>
              <w:t>39.898</w:t>
            </w:r>
          </w:p>
        </w:tc>
        <w:tc>
          <w:tcPr>
            <w:tcW w:w="1397" w:type="dxa"/>
          </w:tcPr>
          <w:p w:rsidR="00CD5F29" w:rsidRPr="0026102B" w:rsidRDefault="00CD5F29" w:rsidP="00264164">
            <w:pPr>
              <w:jc w:val="center"/>
              <w:rPr>
                <w:rFonts w:asciiTheme="majorHAnsi" w:hAnsiTheme="majorHAnsi" w:cstheme="majorHAnsi"/>
                <w:szCs w:val="20"/>
              </w:rPr>
            </w:pPr>
            <w:r w:rsidRPr="0026102B">
              <w:rPr>
                <w:rFonts w:asciiTheme="majorHAnsi" w:hAnsiTheme="majorHAnsi" w:cstheme="majorHAnsi"/>
                <w:szCs w:val="20"/>
              </w:rPr>
              <w:t>39.972</w:t>
            </w:r>
          </w:p>
        </w:tc>
      </w:tr>
    </w:tbl>
    <w:p w:rsidR="00CD5F29" w:rsidRPr="0026102B" w:rsidRDefault="00CD5F29" w:rsidP="00CD5F29">
      <w:pPr>
        <w:rPr>
          <w:szCs w:val="20"/>
        </w:rPr>
      </w:pPr>
    </w:p>
    <w:p w:rsidR="00CD5F29" w:rsidRPr="0026102B" w:rsidRDefault="00CD5F29" w:rsidP="00CD5F29">
      <w:pPr>
        <w:rPr>
          <w:szCs w:val="20"/>
        </w:rPr>
      </w:pPr>
      <w:r w:rsidRPr="0026102B">
        <w:rPr>
          <w:szCs w:val="20"/>
        </w:rPr>
        <w:t>T</w:t>
      </w:r>
      <w:r w:rsidR="00C01325">
        <w:rPr>
          <w:szCs w:val="20"/>
        </w:rPr>
        <w:t>allene er vist grafisk i figur 7</w:t>
      </w:r>
      <w:r w:rsidR="0059394F">
        <w:rPr>
          <w:szCs w:val="20"/>
        </w:rPr>
        <w:t>.3</w:t>
      </w:r>
      <w:r w:rsidRPr="0026102B">
        <w:rPr>
          <w:szCs w:val="20"/>
        </w:rPr>
        <w:t xml:space="preserve"> sammen med antal nye demente hvert år, samt hvor mange af de demente der er døde i løbet af året. </w:t>
      </w:r>
    </w:p>
    <w:p w:rsidR="00CD5F29" w:rsidRPr="0026102B" w:rsidRDefault="00CD5F29" w:rsidP="00CD5F29">
      <w:pPr>
        <w:rPr>
          <w:szCs w:val="20"/>
        </w:rPr>
      </w:pPr>
    </w:p>
    <w:p w:rsidR="00CD5F29" w:rsidRPr="0026102B" w:rsidRDefault="00CD5F29" w:rsidP="00CD5F29">
      <w:pPr>
        <w:pStyle w:val="Billedtekst"/>
        <w:keepNext/>
        <w:rPr>
          <w:b w:val="0"/>
          <w:noProof/>
          <w:sz w:val="20"/>
          <w:szCs w:val="20"/>
        </w:rPr>
      </w:pPr>
      <w:r w:rsidRPr="0026102B">
        <w:rPr>
          <w:b w:val="0"/>
          <w:sz w:val="20"/>
          <w:szCs w:val="20"/>
        </w:rPr>
        <w:t xml:space="preserve">Figur </w:t>
      </w:r>
      <w:r w:rsidR="00C01325">
        <w:rPr>
          <w:b w:val="0"/>
          <w:sz w:val="20"/>
          <w:szCs w:val="20"/>
        </w:rPr>
        <w:t>7</w:t>
      </w:r>
      <w:r w:rsidR="00B2578B" w:rsidRPr="0026102B">
        <w:rPr>
          <w:b w:val="0"/>
          <w:sz w:val="20"/>
          <w:szCs w:val="20"/>
        </w:rPr>
        <w:t>.</w:t>
      </w:r>
      <w:r w:rsidRPr="0026102B">
        <w:rPr>
          <w:b w:val="0"/>
          <w:sz w:val="20"/>
          <w:szCs w:val="20"/>
        </w:rPr>
        <w:fldChar w:fldCharType="begin"/>
      </w:r>
      <w:r w:rsidRPr="0026102B">
        <w:rPr>
          <w:b w:val="0"/>
          <w:sz w:val="20"/>
          <w:szCs w:val="20"/>
        </w:rPr>
        <w:instrText xml:space="preserve"> SEQ Figur \* ARABIC </w:instrText>
      </w:r>
      <w:r w:rsidRPr="0026102B">
        <w:rPr>
          <w:b w:val="0"/>
          <w:sz w:val="20"/>
          <w:szCs w:val="20"/>
        </w:rPr>
        <w:fldChar w:fldCharType="separate"/>
      </w:r>
      <w:r w:rsidR="00581054">
        <w:rPr>
          <w:b w:val="0"/>
          <w:noProof/>
          <w:sz w:val="20"/>
          <w:szCs w:val="20"/>
        </w:rPr>
        <w:t>3</w:t>
      </w:r>
      <w:r w:rsidRPr="0026102B">
        <w:rPr>
          <w:b w:val="0"/>
          <w:sz w:val="20"/>
          <w:szCs w:val="20"/>
        </w:rPr>
        <w:fldChar w:fldCharType="end"/>
      </w:r>
      <w:r w:rsidRPr="0026102B">
        <w:rPr>
          <w:b w:val="0"/>
          <w:sz w:val="20"/>
          <w:szCs w:val="20"/>
        </w:rPr>
        <w:t>. Antal personer med demens (prævalens) pr. 1. januar 2007 - 2014</w:t>
      </w:r>
      <w:r w:rsidRPr="0026102B">
        <w:rPr>
          <w:b w:val="0"/>
          <w:noProof/>
          <w:sz w:val="20"/>
          <w:szCs w:val="20"/>
        </w:rPr>
        <w:t>, samt antal nye demente (incidens) og antal døde demente (mortalitet) i løbet af det forgangne år.</w:t>
      </w:r>
    </w:p>
    <w:p w:rsidR="00CD5F29" w:rsidRDefault="00D83283" w:rsidP="00CD5F29">
      <w:pPr>
        <w:rPr>
          <w:sz w:val="22"/>
        </w:rPr>
      </w:pPr>
      <w:r>
        <w:rPr>
          <w:noProof/>
          <w:sz w:val="22"/>
          <w:lang w:eastAsia="da-DK"/>
        </w:rPr>
        <w:drawing>
          <wp:inline distT="0" distB="0" distL="0" distR="0" wp14:anchorId="13CF654E" wp14:editId="3F85FF8F">
            <wp:extent cx="5895340" cy="2524125"/>
            <wp:effectExtent l="0" t="0" r="0" b="9525"/>
            <wp:docPr id="172" name="Billed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6522" cy="2533194"/>
                    </a:xfrm>
                    <a:prstGeom prst="rect">
                      <a:avLst/>
                    </a:prstGeom>
                    <a:noFill/>
                  </pic:spPr>
                </pic:pic>
              </a:graphicData>
            </a:graphic>
          </wp:inline>
        </w:drawing>
      </w:r>
    </w:p>
    <w:p w:rsidR="00CD5F29" w:rsidRDefault="00CD5F29" w:rsidP="00CD5F29">
      <w:pPr>
        <w:rPr>
          <w:sz w:val="22"/>
        </w:rPr>
      </w:pPr>
    </w:p>
    <w:p w:rsidR="00CD5F29" w:rsidRPr="0026102B" w:rsidRDefault="00CD5F29" w:rsidP="00CD5F29">
      <w:pPr>
        <w:rPr>
          <w:szCs w:val="20"/>
        </w:rPr>
      </w:pPr>
      <w:r w:rsidRPr="0026102B">
        <w:rPr>
          <w:szCs w:val="20"/>
        </w:rPr>
        <w:t xml:space="preserve">I det følgende har vi set på, hvad det betyder for prævalensen at justere algoritmen en smule. Hvis man vælger at inkludere dem, der kun har købt demensmedicin én gang og heller ikke har optrådt i LPR fås 40.197 personer pr. 1. januar 2013, svarende til 0,6 </w:t>
      </w:r>
      <w:r w:rsidR="00B82458">
        <w:rPr>
          <w:szCs w:val="20"/>
        </w:rPr>
        <w:t>%</w:t>
      </w:r>
      <w:r w:rsidRPr="0026102B">
        <w:rPr>
          <w:szCs w:val="20"/>
        </w:rPr>
        <w:t xml:space="preserve"> flere. Hvis man også vælger at inkludere dem, der kun har haft skadestuekontakter i LPR og ikke andet fås 40.506 personer pr. 1. januar 2013, svarende til 1,3 </w:t>
      </w:r>
      <w:r w:rsidR="00B82458">
        <w:rPr>
          <w:szCs w:val="20"/>
        </w:rPr>
        <w:t>%</w:t>
      </w:r>
      <w:r w:rsidRPr="0026102B">
        <w:rPr>
          <w:szCs w:val="20"/>
        </w:rPr>
        <w:t xml:space="preserve"> flere i alt. Det gør derfor ikke den store forskel på populationsstørrelsen om man tager disse personer med eller ej. Men ud fra princippet om, at vi hellere vil være sikre på, at personerne i registeret har den pågældende sygdom end at inkludere for mange, har vi valgt ikke at tage disse personer med.</w:t>
      </w:r>
    </w:p>
    <w:p w:rsidR="00CD5F29" w:rsidRPr="0026102B" w:rsidRDefault="00CD5F29" w:rsidP="00CD5F29">
      <w:pPr>
        <w:rPr>
          <w:szCs w:val="20"/>
        </w:rPr>
      </w:pPr>
      <w:r w:rsidRPr="0026102B">
        <w:rPr>
          <w:szCs w:val="20"/>
        </w:rPr>
        <w:t>Hvis man vælger at være endnu mere forsigtig og kræver, at personerne skal have haft en aktionsdiagnose i LPR og ikke blot en bidiagnose, fås 34.104 personer pr. 1. januar 2013, svarende til 15 procent færre end med den valgte algoritme.</w:t>
      </w:r>
    </w:p>
    <w:p w:rsidR="00CD5F29" w:rsidRPr="0026102B" w:rsidRDefault="00CD5F29" w:rsidP="00CD5F29">
      <w:pPr>
        <w:rPr>
          <w:szCs w:val="20"/>
        </w:rPr>
      </w:pPr>
    </w:p>
    <w:p w:rsidR="00CD5F29" w:rsidRPr="0026102B" w:rsidRDefault="00CD5F29" w:rsidP="00DD700D">
      <w:pPr>
        <w:pStyle w:val="Overskrift2"/>
        <w:rPr>
          <w:b/>
          <w:sz w:val="20"/>
          <w:szCs w:val="20"/>
        </w:rPr>
      </w:pPr>
      <w:bookmarkStart w:id="80" w:name="_Toc391624709"/>
      <w:r w:rsidRPr="0026102B">
        <w:rPr>
          <w:b/>
          <w:sz w:val="20"/>
          <w:szCs w:val="20"/>
        </w:rPr>
        <w:t>Andre kilders oplysninger</w:t>
      </w:r>
      <w:bookmarkEnd w:id="80"/>
    </w:p>
    <w:p w:rsidR="00CD5F29" w:rsidRPr="0026102B" w:rsidRDefault="00CD5F29" w:rsidP="00CD5F29">
      <w:pPr>
        <w:rPr>
          <w:szCs w:val="20"/>
        </w:rPr>
      </w:pPr>
    </w:p>
    <w:p w:rsidR="00CD5F29" w:rsidRPr="0026102B" w:rsidRDefault="00CD5F29" w:rsidP="00CD5F29">
      <w:pPr>
        <w:rPr>
          <w:szCs w:val="20"/>
        </w:rPr>
      </w:pPr>
      <w:r w:rsidRPr="0026102B">
        <w:rPr>
          <w:szCs w:val="20"/>
        </w:rPr>
        <w:t>Ifølge Nationalt Videnscenter for Demens, var der cirka 90.000 demente danskere pr. 1. januar 2014 og knap 87.000 i 2012</w:t>
      </w:r>
      <w:r w:rsidRPr="0026102B">
        <w:rPr>
          <w:rStyle w:val="Slutnotehenvisning"/>
          <w:szCs w:val="20"/>
        </w:rPr>
        <w:endnoteReference w:id="28"/>
      </w:r>
      <w:r w:rsidRPr="0026102B">
        <w:rPr>
          <w:szCs w:val="20"/>
        </w:rPr>
        <w:t>. Tallene er baseret på prævalensrater fra World Alzheimer Report 2009</w:t>
      </w:r>
      <w:r w:rsidRPr="0026102B">
        <w:rPr>
          <w:rStyle w:val="Slutnotehenvisning"/>
          <w:szCs w:val="20"/>
        </w:rPr>
        <w:endnoteReference w:id="29"/>
      </w:r>
      <w:r w:rsidRPr="0026102B">
        <w:rPr>
          <w:szCs w:val="20"/>
        </w:rPr>
        <w:t xml:space="preserve"> og på fremskrevne befolkningstal fra Danmarks Statistik. Prævalensraterne er bestemt ud fra pooling af data fra systematisk udvalgte studier, der har undersøgt forekomsten af demens ved brug af standardiserede diagnostiseringskriterier, dvs. det er ikke baseret på registerstudier. </w:t>
      </w:r>
    </w:p>
    <w:p w:rsidR="00CD5F29" w:rsidRPr="0026102B" w:rsidRDefault="00CD5F29" w:rsidP="00CD5F29">
      <w:pPr>
        <w:rPr>
          <w:szCs w:val="20"/>
        </w:rPr>
      </w:pPr>
      <w:r w:rsidRPr="0026102B">
        <w:rPr>
          <w:szCs w:val="20"/>
        </w:rPr>
        <w:t>I Sundhedsstyrelsens MTV-rapport fra 2008 ’</w:t>
      </w:r>
      <w:r w:rsidRPr="0026102B">
        <w:rPr>
          <w:rFonts w:cstheme="minorHAnsi"/>
          <w:szCs w:val="20"/>
        </w:rPr>
        <w:t xml:space="preserve"> Udredning og behandling af demens – en medicinsk teknologivurdering</w:t>
      </w:r>
      <w:r w:rsidRPr="0026102B">
        <w:rPr>
          <w:szCs w:val="20"/>
        </w:rPr>
        <w:t>’ skønnes at cirka 60-80.000 danskere har demens</w:t>
      </w:r>
      <w:bookmarkStart w:id="83" w:name="_Ref387929781"/>
      <w:r w:rsidRPr="0026102B">
        <w:rPr>
          <w:rStyle w:val="Slutnotehenvisning"/>
          <w:szCs w:val="20"/>
        </w:rPr>
        <w:endnoteReference w:id="30"/>
      </w:r>
      <w:bookmarkEnd w:id="83"/>
      <w:r w:rsidRPr="0026102B">
        <w:rPr>
          <w:szCs w:val="20"/>
        </w:rPr>
        <w:t>. Op mod 80.000 personer, hvis man medtager de milde tilfælde og de yngre befolkningsgrupper og ca. 55.000 i 2007 hvis man kun medtager personer over 65 år og ikke de milde tilfælde. De har ligeledes baseret deres tal på europæiske prævalensrater og på befolkningstal fra Danmarks Statistik, men tallene fra Videnscenter for Demens baserer sig på mere opdaterede og nutidige tal, da MTV rapporten er fra 2008.</w:t>
      </w:r>
    </w:p>
    <w:p w:rsidR="00CD5F29" w:rsidRPr="0026102B" w:rsidRDefault="00CD5F29" w:rsidP="00CD5F29">
      <w:pPr>
        <w:rPr>
          <w:szCs w:val="20"/>
        </w:rPr>
      </w:pPr>
    </w:p>
    <w:p w:rsidR="00CD5F29" w:rsidRPr="0026102B" w:rsidRDefault="00CD5F29" w:rsidP="00CD5F29">
      <w:pPr>
        <w:rPr>
          <w:szCs w:val="20"/>
        </w:rPr>
      </w:pPr>
      <w:r w:rsidRPr="0026102B">
        <w:rPr>
          <w:szCs w:val="20"/>
        </w:rPr>
        <w:t>Ovennævnte tal er noget højere end antal demente danskere, der fås ved at bruge den valgte algoritme til RUKS, også tallene hvor de milde tilfælde er sorteret fra. Prævalensraterne brugt til at udregne tallene fra Videnscenter for Demens og Sundhedsstyrelsens MTV rapport er baseret på studier, hvor man har screenet stikprøver af befolkningen og man vil formentlig altid finde flere personer med demens, når man screener en hel gruppe personer end når man tager de personer, der rent faktisk er blevet undersøgt og behandlet på hospital og eller har købt demensmedicin. Derudover er de ovennævnte tal baseret på europæiske data og ikke blot danske, og tallene er fremskrevet.</w:t>
      </w:r>
    </w:p>
    <w:p w:rsidR="00CD5F29" w:rsidRPr="0026102B" w:rsidRDefault="00CD5F29" w:rsidP="00CD5F29">
      <w:pPr>
        <w:rPr>
          <w:szCs w:val="20"/>
        </w:rPr>
      </w:pPr>
    </w:p>
    <w:p w:rsidR="00CD5F29" w:rsidRPr="0026102B" w:rsidRDefault="00CD5F29" w:rsidP="00CD5F29">
      <w:pPr>
        <w:rPr>
          <w:szCs w:val="20"/>
        </w:rPr>
      </w:pPr>
      <w:r w:rsidRPr="0026102B">
        <w:rPr>
          <w:szCs w:val="20"/>
        </w:rPr>
        <w:t xml:space="preserve">Incidensen er estimeret til at være cirka 15.000 pr. 1. januar 2007 og fremskrevet til mere end 18.000 i 2020 i Sundhedsstyrelsens MTV rapport </w:t>
      </w:r>
      <w:r w:rsidRPr="0026102B">
        <w:rPr>
          <w:szCs w:val="20"/>
          <w:vertAlign w:val="superscript"/>
        </w:rPr>
        <w:fldChar w:fldCharType="begin"/>
      </w:r>
      <w:r w:rsidRPr="0026102B">
        <w:rPr>
          <w:szCs w:val="20"/>
          <w:vertAlign w:val="superscript"/>
        </w:rPr>
        <w:instrText xml:space="preserve"> NOTEREF _Ref387929781 \h </w:instrText>
      </w:r>
      <w:r w:rsidR="0026102B">
        <w:rPr>
          <w:szCs w:val="20"/>
          <w:vertAlign w:val="superscript"/>
        </w:rPr>
        <w:instrText xml:space="preserve"> \* MERGEFORMAT </w:instrText>
      </w:r>
      <w:r w:rsidRPr="0026102B">
        <w:rPr>
          <w:szCs w:val="20"/>
          <w:vertAlign w:val="superscript"/>
        </w:rPr>
      </w:r>
      <w:r w:rsidRPr="0026102B">
        <w:rPr>
          <w:szCs w:val="20"/>
          <w:vertAlign w:val="superscript"/>
        </w:rPr>
        <w:fldChar w:fldCharType="separate"/>
      </w:r>
      <w:r w:rsidR="00581054">
        <w:rPr>
          <w:szCs w:val="20"/>
          <w:vertAlign w:val="superscript"/>
        </w:rPr>
        <w:t>30</w:t>
      </w:r>
      <w:r w:rsidRPr="0026102B">
        <w:rPr>
          <w:szCs w:val="20"/>
          <w:vertAlign w:val="superscript"/>
        </w:rPr>
        <w:fldChar w:fldCharType="end"/>
      </w:r>
      <w:r w:rsidRPr="0026102B">
        <w:rPr>
          <w:szCs w:val="20"/>
        </w:rPr>
        <w:t>. Det er igen nogle lavere tal end for populationen i RUKS, hvor incidensen alle årene ligger under 10.000 personer, og i øvrigt er faldende siden 2010.</w:t>
      </w:r>
    </w:p>
    <w:p w:rsidR="00CD5F29" w:rsidRPr="0026102B" w:rsidRDefault="00CD5F29" w:rsidP="00CD5F29">
      <w:pPr>
        <w:rPr>
          <w:szCs w:val="20"/>
        </w:rPr>
      </w:pPr>
    </w:p>
    <w:p w:rsidR="00CD5F29" w:rsidRPr="0026102B" w:rsidRDefault="00CD5F29" w:rsidP="00CD5F29">
      <w:pPr>
        <w:rPr>
          <w:szCs w:val="20"/>
        </w:rPr>
      </w:pPr>
      <w:r w:rsidRPr="0026102B">
        <w:rPr>
          <w:szCs w:val="20"/>
        </w:rPr>
        <w:t>I Sundhedsstyrelsens MTV rapport har de ikke beregnet en medianalder for debut, men ud fra hvor mange nye personer, de estimerer, der får demens i de forskellige aldersgrupper, kan man se, at medianalderen vil ligge et sted mellem 80 og 84 år (både for 2007 og 2020 tal), hvilket er lidt højere end medianalderen for debut i RUKS (78 år). Det kunne indikere, at det er nogle af de lidt ældre demente vi ikke får med i RUKS, hvis det antages, at de europæiske poolede data kan overføres til danske forhold.</w:t>
      </w:r>
    </w:p>
    <w:p w:rsidR="00CD5F29" w:rsidRPr="0026102B" w:rsidRDefault="00CD5F29" w:rsidP="00CD5F29">
      <w:pPr>
        <w:rPr>
          <w:szCs w:val="20"/>
        </w:rPr>
      </w:pPr>
    </w:p>
    <w:p w:rsidR="00CD5F29" w:rsidRPr="0026102B" w:rsidRDefault="00CD5F29" w:rsidP="00DD700D">
      <w:pPr>
        <w:pStyle w:val="Overskrift2"/>
        <w:rPr>
          <w:b/>
          <w:sz w:val="20"/>
          <w:szCs w:val="20"/>
        </w:rPr>
      </w:pPr>
      <w:bookmarkStart w:id="85" w:name="_Toc391624710"/>
      <w:r w:rsidRPr="0026102B">
        <w:rPr>
          <w:b/>
          <w:sz w:val="20"/>
          <w:szCs w:val="20"/>
        </w:rPr>
        <w:t>Forbehold ved udvælgelsen</w:t>
      </w:r>
      <w:bookmarkEnd w:id="85"/>
    </w:p>
    <w:p w:rsidR="00CD5F29" w:rsidRPr="0026102B" w:rsidRDefault="00CD5F29" w:rsidP="00CD5F29">
      <w:pPr>
        <w:rPr>
          <w:szCs w:val="20"/>
        </w:rPr>
      </w:pPr>
    </w:p>
    <w:p w:rsidR="00CD5F29" w:rsidRPr="0026102B" w:rsidRDefault="00CD5F29" w:rsidP="00CD5F29">
      <w:pPr>
        <w:rPr>
          <w:b/>
          <w:szCs w:val="20"/>
        </w:rPr>
      </w:pPr>
      <w:r w:rsidRPr="0026102B">
        <w:rPr>
          <w:szCs w:val="20"/>
        </w:rPr>
        <w:t>Udvælgelsen er sket på baggrund af en udtræksalgoritme fra registre. Udtræksalgoritmen er ikke valideret. Validering vil kræve journalgennemgang af journaler på sygehuse og hos læger i primærsektoren.</w:t>
      </w:r>
    </w:p>
    <w:p w:rsidR="00CD5F29" w:rsidRPr="0026102B" w:rsidRDefault="00CD5F29" w:rsidP="00CD5F29">
      <w:pPr>
        <w:rPr>
          <w:b/>
          <w:szCs w:val="20"/>
        </w:rPr>
      </w:pPr>
    </w:p>
    <w:p w:rsidR="00CD5F29" w:rsidRPr="0026102B" w:rsidRDefault="00CD5F29" w:rsidP="00CD5F29">
      <w:pPr>
        <w:rPr>
          <w:szCs w:val="20"/>
        </w:rPr>
      </w:pPr>
      <w:r w:rsidRPr="0026102B">
        <w:rPr>
          <w:szCs w:val="20"/>
        </w:rPr>
        <w:t xml:space="preserve">Personer, der hverken har købt demensmedicin eller har været i kontakt med hospital i forbindelse med deres demenssygdom, vil ikke være inkluderet. </w:t>
      </w:r>
    </w:p>
    <w:p w:rsidR="00CD5F29" w:rsidRPr="0026102B" w:rsidRDefault="00CD5F29" w:rsidP="00CD5F29">
      <w:pPr>
        <w:rPr>
          <w:szCs w:val="20"/>
        </w:rPr>
      </w:pPr>
    </w:p>
    <w:p w:rsidR="00CD5F29" w:rsidRPr="0026102B" w:rsidRDefault="00CD5F29" w:rsidP="00CD5F29">
      <w:pPr>
        <w:rPr>
          <w:szCs w:val="20"/>
        </w:rPr>
      </w:pPr>
      <w:r w:rsidRPr="0026102B">
        <w:rPr>
          <w:szCs w:val="20"/>
        </w:rPr>
        <w:t xml:space="preserve">For nogle sygdomme kan det være usikkert at bruge bidiagnoser. Hvis man stiller krav om, at personerne skal have haft mindst én </w:t>
      </w:r>
      <w:r w:rsidRPr="0026102B">
        <w:rPr>
          <w:szCs w:val="20"/>
          <w:u w:val="single"/>
        </w:rPr>
        <w:t>aktions</w:t>
      </w:r>
      <w:r w:rsidRPr="0026102B">
        <w:rPr>
          <w:szCs w:val="20"/>
        </w:rPr>
        <w:t>diagnose med de relevante diagnosekoder for at blive inkluderet, får man et lavere antal personer, knap 6.000 færre pr. 1. januar 2013, mens udviklingen af prævalensen og incidensen over tid følger den samme tendens som for den valgte algoritme.</w:t>
      </w:r>
    </w:p>
    <w:p w:rsidR="00CD5F29" w:rsidRPr="0026102B" w:rsidRDefault="00CD5F29" w:rsidP="00CD5F29">
      <w:pPr>
        <w:rPr>
          <w:szCs w:val="20"/>
        </w:rPr>
      </w:pPr>
    </w:p>
    <w:p w:rsidR="00CD5F29" w:rsidRPr="0026102B" w:rsidRDefault="00CD5F29" w:rsidP="00CD5F29">
      <w:pPr>
        <w:rPr>
          <w:szCs w:val="20"/>
        </w:rPr>
      </w:pPr>
      <w:r w:rsidRPr="0026102B">
        <w:rPr>
          <w:szCs w:val="20"/>
        </w:rPr>
        <w:t>I den nuværende algoritme har vi ikke ekskluderet personer, der hverken har købt demensmedicin eller har optrådt i LPR med en demensdiagnose igennem længere tid. Det formodes, at det både kan være personer, der har været fejldiagnosticeret, men lige så vel personer der blot ikke længere er i behandling med demensmedicin og heller ikke har været i kontakt med sygehusvæsenet med deres demens sygdom. Det kan overvejes om der evt. skal laves en eksklusion, hvis det er meget længe siden personen har optrådt i et af registrene, evt. betinget af på hvor mange registreringer, der var på personen dengang de optrådte i registrene.</w:t>
      </w:r>
    </w:p>
    <w:p w:rsidR="00CD5F29" w:rsidRPr="0026102B" w:rsidRDefault="00CD5F29" w:rsidP="00CD5F29">
      <w:pPr>
        <w:rPr>
          <w:szCs w:val="20"/>
        </w:rPr>
      </w:pPr>
    </w:p>
    <w:p w:rsidR="00CD5F29" w:rsidRPr="0026102B" w:rsidRDefault="00CD5F29" w:rsidP="00DD700D">
      <w:pPr>
        <w:pStyle w:val="Overskrift2"/>
        <w:rPr>
          <w:b/>
          <w:sz w:val="20"/>
          <w:szCs w:val="20"/>
        </w:rPr>
      </w:pPr>
      <w:bookmarkStart w:id="86" w:name="_Toc391624711"/>
      <w:r w:rsidRPr="0026102B">
        <w:rPr>
          <w:b/>
          <w:sz w:val="20"/>
          <w:szCs w:val="20"/>
        </w:rPr>
        <w:t>Fremtidig udbygning</w:t>
      </w:r>
      <w:bookmarkEnd w:id="86"/>
    </w:p>
    <w:p w:rsidR="00CD5F29" w:rsidRPr="0026102B" w:rsidRDefault="00CD5F29" w:rsidP="00CD5F29">
      <w:pPr>
        <w:rPr>
          <w:b/>
          <w:szCs w:val="20"/>
        </w:rPr>
      </w:pPr>
    </w:p>
    <w:p w:rsidR="00722EE8" w:rsidRDefault="00CD5F29" w:rsidP="00F85217">
      <w:pPr>
        <w:rPr>
          <w:szCs w:val="20"/>
        </w:rPr>
      </w:pPr>
      <w:r w:rsidRPr="0026102B">
        <w:rPr>
          <w:szCs w:val="20"/>
        </w:rPr>
        <w:t xml:space="preserve">Populationsudvælgelsen kan formentlig forbedres ved berigelse med data fra DAK-E. </w:t>
      </w:r>
    </w:p>
    <w:p w:rsidR="00741381" w:rsidRDefault="00741381" w:rsidP="00741381">
      <w:pPr>
        <w:pStyle w:val="Overskrift1"/>
      </w:pPr>
      <w:bookmarkStart w:id="87" w:name="_Toc391624712"/>
      <w:r>
        <w:t>8. Hjerteinsufficiens (hjertesvigt)</w:t>
      </w:r>
      <w:bookmarkEnd w:id="87"/>
    </w:p>
    <w:p w:rsidR="00741381" w:rsidRPr="00AB0E0A" w:rsidRDefault="00741381" w:rsidP="00741381">
      <w:pPr>
        <w:rPr>
          <w:sz w:val="18"/>
          <w:szCs w:val="18"/>
        </w:rPr>
      </w:pPr>
    </w:p>
    <w:p w:rsidR="00741381" w:rsidRPr="00E844FB" w:rsidRDefault="00741381" w:rsidP="00741381">
      <w:pPr>
        <w:pStyle w:val="Overskrift2"/>
        <w:rPr>
          <w:b/>
          <w:sz w:val="20"/>
          <w:szCs w:val="20"/>
        </w:rPr>
      </w:pPr>
      <w:bookmarkStart w:id="88" w:name="_Toc391624713"/>
      <w:r w:rsidRPr="00E844FB">
        <w:rPr>
          <w:b/>
          <w:sz w:val="20"/>
          <w:szCs w:val="20"/>
        </w:rPr>
        <w:t>Årsag til udvælgelse</w:t>
      </w:r>
      <w:bookmarkEnd w:id="88"/>
    </w:p>
    <w:p w:rsidR="00741381" w:rsidRPr="00E844FB" w:rsidRDefault="00741381" w:rsidP="00741381">
      <w:pPr>
        <w:rPr>
          <w:szCs w:val="20"/>
        </w:rPr>
      </w:pPr>
      <w:r w:rsidRPr="00E844FB">
        <w:rPr>
          <w:szCs w:val="20"/>
        </w:rPr>
        <w:t xml:space="preserve">Sundhedsstyrelsens tidligere kronikermonitorering indeholdt hjerte- karsygdomme som en samlet gruppe. SSI har fundet hensigtsmæssigt at underopdele population, da hjerte-karsygdomme er en stor heterogen gruppe. Første subpopulation, der er blevet afgrænset, er hjerteinsufficiens. </w:t>
      </w:r>
    </w:p>
    <w:p w:rsidR="00741381" w:rsidRPr="00E844FB" w:rsidRDefault="00741381" w:rsidP="00741381">
      <w:pPr>
        <w:rPr>
          <w:szCs w:val="20"/>
        </w:rPr>
      </w:pPr>
    </w:p>
    <w:p w:rsidR="00741381" w:rsidRPr="00E844FB" w:rsidRDefault="00741381" w:rsidP="00741381">
      <w:pPr>
        <w:pStyle w:val="Overskrift2"/>
        <w:rPr>
          <w:b/>
          <w:sz w:val="20"/>
          <w:szCs w:val="20"/>
        </w:rPr>
      </w:pPr>
      <w:bookmarkStart w:id="89" w:name="_Toc391624714"/>
      <w:r w:rsidRPr="00E844FB">
        <w:rPr>
          <w:b/>
          <w:sz w:val="20"/>
          <w:szCs w:val="20"/>
        </w:rPr>
        <w:t>Rationale for udvælgelsesmetode og registre</w:t>
      </w:r>
      <w:bookmarkEnd w:id="89"/>
    </w:p>
    <w:p w:rsidR="00741381" w:rsidRPr="00E844FB" w:rsidRDefault="00741381" w:rsidP="00741381">
      <w:pPr>
        <w:rPr>
          <w:szCs w:val="20"/>
          <w:highlight w:val="yellow"/>
        </w:rPr>
      </w:pPr>
      <w:r w:rsidRPr="00E844FB">
        <w:rPr>
          <w:szCs w:val="20"/>
        </w:rPr>
        <w:t xml:space="preserve">I Landspatientregisteret (LPR) er patienter med hjerteinsufficiens (hjertesvigt) identificeret ved ICD-10 koden DI50 (inklusiv undergrupper). Diagnosen stilles på baggrund af patientens sygehistorie evt. suppleret med røntgenbilleder, der kan vise hvorvidt hjertet er forstørret, eller hvorvidt der er øget væske omkring lungerne, eller udvidede i blodkar heri. Ekkokardiografi kan bruges til undersøgelse af hjertets pumpefunktion tilsvarende andre billeddiagnostiske metoder (CT-skanning, MR-skanning eller isotopskanning), og man kan også stille diagnosen via trykmåling i hjertet.  At få stillet diagnosen hjerteinsufficiens bør derfor være forudgået af en eller flere kontakter med sundhedsvæsnet i form af enten ambulante kontakter eller heldøgnsindlæggelser. </w:t>
      </w:r>
    </w:p>
    <w:p w:rsidR="00741381" w:rsidRPr="00E844FB" w:rsidRDefault="00741381" w:rsidP="00741381">
      <w:pPr>
        <w:rPr>
          <w:szCs w:val="20"/>
        </w:rPr>
      </w:pPr>
    </w:p>
    <w:p w:rsidR="00741381" w:rsidRPr="00E844FB" w:rsidRDefault="00741381" w:rsidP="00741381">
      <w:pPr>
        <w:rPr>
          <w:szCs w:val="20"/>
        </w:rPr>
      </w:pPr>
      <w:r w:rsidRPr="00E844FB">
        <w:rPr>
          <w:szCs w:val="20"/>
        </w:rPr>
        <w:t xml:space="preserve">Såfremt den udløsende årsag til hjertesvigtet ikke findes og kureres, vil hjertesvigtet som oftest langsomt progrediere. En ubehandlet hjerteinsufficiens kan medføre død. En effektiv medicinsk behandling vil dog kunne bremse sygdommen betydeligt og forbedre patientens livskvalitet. </w:t>
      </w:r>
    </w:p>
    <w:p w:rsidR="00741381" w:rsidRPr="00E844FB" w:rsidRDefault="00741381" w:rsidP="00741381">
      <w:pPr>
        <w:rPr>
          <w:szCs w:val="20"/>
        </w:rPr>
      </w:pPr>
    </w:p>
    <w:p w:rsidR="00741381" w:rsidRPr="00E844FB" w:rsidRDefault="00741381" w:rsidP="00741381">
      <w:pPr>
        <w:rPr>
          <w:szCs w:val="20"/>
        </w:rPr>
      </w:pPr>
      <w:r w:rsidRPr="00E844FB">
        <w:rPr>
          <w:szCs w:val="20"/>
        </w:rPr>
        <w:t xml:space="preserve">Patienter, diagnosticeret med hjerteinsufficiens, hvor den udløsende årsag ikke kan elimineres ved behandling, må forventes at indløse recepter på medicinsk behandling herfor resten af deres liv. </w:t>
      </w:r>
    </w:p>
    <w:p w:rsidR="00741381" w:rsidRPr="00E844FB" w:rsidRDefault="00741381" w:rsidP="00741381">
      <w:pPr>
        <w:rPr>
          <w:szCs w:val="20"/>
        </w:rPr>
      </w:pPr>
    </w:p>
    <w:p w:rsidR="00741381" w:rsidRPr="00E844FB" w:rsidRDefault="00741381" w:rsidP="00741381">
      <w:pPr>
        <w:rPr>
          <w:szCs w:val="20"/>
        </w:rPr>
      </w:pPr>
      <w:r w:rsidRPr="00E844FB">
        <w:rPr>
          <w:szCs w:val="20"/>
        </w:rPr>
        <w:t xml:space="preserve">For at indgå i populationen med kronisk hjerteinsufficiens kræves derfor efterfølgende kontinuerlig medicinsk behandling efter indlæggelsen. </w:t>
      </w:r>
    </w:p>
    <w:p w:rsidR="00741381" w:rsidRPr="00E844FB" w:rsidRDefault="00741381" w:rsidP="00741381">
      <w:pPr>
        <w:rPr>
          <w:szCs w:val="20"/>
        </w:rPr>
      </w:pPr>
    </w:p>
    <w:p w:rsidR="00741381" w:rsidRPr="00E844FB" w:rsidRDefault="00741381" w:rsidP="00741381">
      <w:pPr>
        <w:pStyle w:val="Overskrift2"/>
        <w:rPr>
          <w:sz w:val="20"/>
          <w:szCs w:val="20"/>
        </w:rPr>
      </w:pPr>
      <w:bookmarkStart w:id="90" w:name="_Toc391624715"/>
      <w:r w:rsidRPr="00E844FB">
        <w:rPr>
          <w:rFonts w:cstheme="majorHAnsi"/>
          <w:b/>
          <w:sz w:val="20"/>
          <w:szCs w:val="20"/>
        </w:rPr>
        <w:t>Inklusion og eksklusionskoder fra registre</w:t>
      </w:r>
      <w:bookmarkEnd w:id="90"/>
    </w:p>
    <w:p w:rsidR="00741381" w:rsidRPr="00E844FB" w:rsidRDefault="00741381" w:rsidP="00741381">
      <w:pPr>
        <w:rPr>
          <w:szCs w:val="20"/>
        </w:rPr>
      </w:pPr>
      <w:r w:rsidRPr="00E844FB">
        <w:rPr>
          <w:szCs w:val="20"/>
        </w:rPr>
        <w:t xml:space="preserve">Inklusionskriterier: </w:t>
      </w:r>
    </w:p>
    <w:p w:rsidR="00741381" w:rsidRPr="00E844FB" w:rsidRDefault="00741381" w:rsidP="00741381">
      <w:pPr>
        <w:pStyle w:val="Listeafsnit"/>
        <w:keepNext/>
        <w:numPr>
          <w:ilvl w:val="0"/>
          <w:numId w:val="35"/>
        </w:numPr>
        <w:rPr>
          <w:szCs w:val="20"/>
        </w:rPr>
      </w:pPr>
      <w:r w:rsidRPr="00E844FB">
        <w:rPr>
          <w:szCs w:val="20"/>
        </w:rPr>
        <w:t xml:space="preserve">ICD-10 kode DI50 i LPR og efterfølgende receptindløsninger i ATC-grupperne C01AA05, C03, C05 eller C09A i LSR. </w:t>
      </w:r>
    </w:p>
    <w:p w:rsidR="00741381" w:rsidRPr="00E844FB" w:rsidRDefault="00741381" w:rsidP="00741381">
      <w:pPr>
        <w:pStyle w:val="Listeafsnit"/>
        <w:keepNext/>
        <w:numPr>
          <w:ilvl w:val="0"/>
          <w:numId w:val="35"/>
        </w:numPr>
        <w:rPr>
          <w:szCs w:val="20"/>
        </w:rPr>
      </w:pPr>
      <w:r w:rsidRPr="00E844FB">
        <w:rPr>
          <w:szCs w:val="20"/>
        </w:rPr>
        <w:t>Receptindløsning i ATC-grupperne C01AA05, C03, C07 eller C09A i LSR med indikation ”Hjerteinsufficiens”.</w:t>
      </w:r>
    </w:p>
    <w:p w:rsidR="00741381" w:rsidRPr="00E844FB" w:rsidRDefault="00741381" w:rsidP="00741381">
      <w:pPr>
        <w:rPr>
          <w:szCs w:val="20"/>
        </w:rPr>
      </w:pPr>
    </w:p>
    <w:p w:rsidR="00741381" w:rsidRDefault="00741381" w:rsidP="00741381">
      <w:pPr>
        <w:pStyle w:val="Listeafsnit"/>
        <w:keepNext/>
      </w:pPr>
    </w:p>
    <w:p w:rsidR="00741381" w:rsidRDefault="00741381" w:rsidP="00741381">
      <w:pPr>
        <w:pStyle w:val="Listeafsnit"/>
        <w:keepNext/>
      </w:pPr>
    </w:p>
    <w:p w:rsidR="00741381" w:rsidRDefault="00741381" w:rsidP="00741381">
      <w:pPr>
        <w:pStyle w:val="Listeafsnit"/>
        <w:keepNext/>
      </w:pPr>
    </w:p>
    <w:p w:rsidR="00741381" w:rsidRDefault="00741381" w:rsidP="00741381">
      <w:pPr>
        <w:pStyle w:val="Listeafsnit"/>
        <w:keepNext/>
      </w:pPr>
    </w:p>
    <w:p w:rsidR="00741381" w:rsidRDefault="00741381" w:rsidP="00741381">
      <w:pPr>
        <w:pStyle w:val="Listeafsnit"/>
        <w:keepNext/>
      </w:pPr>
    </w:p>
    <w:p w:rsidR="00741381" w:rsidRDefault="00741381" w:rsidP="00741381">
      <w:pPr>
        <w:pStyle w:val="Listeafsnit"/>
        <w:keepNext/>
      </w:pPr>
    </w:p>
    <w:p w:rsidR="00741381" w:rsidRDefault="00741381" w:rsidP="00741381">
      <w:pPr>
        <w:pStyle w:val="Listeafsnit"/>
        <w:keepNext/>
      </w:pPr>
    </w:p>
    <w:p w:rsidR="00741381" w:rsidRDefault="00741381" w:rsidP="00741381">
      <w:pPr>
        <w:pStyle w:val="Listeafsnit"/>
        <w:keepNext/>
      </w:pPr>
    </w:p>
    <w:p w:rsidR="00741381" w:rsidRPr="00245136" w:rsidRDefault="00741381" w:rsidP="00741381">
      <w:pPr>
        <w:pStyle w:val="Listeafsnit"/>
        <w:keepNext/>
      </w:pPr>
    </w:p>
    <w:tbl>
      <w:tblPr>
        <w:tblStyle w:val="Tabel-Gitter"/>
        <w:tblW w:w="0" w:type="auto"/>
        <w:jc w:val="center"/>
        <w:tblLook w:val="04A0" w:firstRow="1" w:lastRow="0" w:firstColumn="1" w:lastColumn="0" w:noHBand="0" w:noVBand="1"/>
      </w:tblPr>
      <w:tblGrid>
        <w:gridCol w:w="3114"/>
        <w:gridCol w:w="5812"/>
      </w:tblGrid>
      <w:tr w:rsidR="00741381" w:rsidRPr="00C05311" w:rsidTr="00A7359A">
        <w:trPr>
          <w:jc w:val="center"/>
        </w:trPr>
        <w:tc>
          <w:tcPr>
            <w:tcW w:w="3114" w:type="dxa"/>
          </w:tcPr>
          <w:p w:rsidR="00741381" w:rsidRPr="00C05311" w:rsidRDefault="00741381" w:rsidP="00A7359A">
            <w:pPr>
              <w:rPr>
                <w:b/>
                <w:szCs w:val="20"/>
              </w:rPr>
            </w:pPr>
            <w:r w:rsidRPr="00C05311">
              <w:rPr>
                <w:b/>
                <w:szCs w:val="20"/>
              </w:rPr>
              <w:t>Landspatientregisteret (LPR)</w:t>
            </w:r>
          </w:p>
        </w:tc>
        <w:tc>
          <w:tcPr>
            <w:tcW w:w="5812" w:type="dxa"/>
          </w:tcPr>
          <w:p w:rsidR="00741381" w:rsidRPr="00C05311" w:rsidRDefault="00741381" w:rsidP="00A7359A">
            <w:pPr>
              <w:rPr>
                <w:b/>
                <w:szCs w:val="20"/>
              </w:rPr>
            </w:pPr>
            <w:r w:rsidRPr="00C05311">
              <w:rPr>
                <w:b/>
                <w:szCs w:val="20"/>
              </w:rPr>
              <w:t>Lægemiddelstatistikregisteret (LSR)</w:t>
            </w:r>
          </w:p>
        </w:tc>
      </w:tr>
      <w:tr w:rsidR="00741381" w:rsidRPr="00C05311" w:rsidTr="00A7359A">
        <w:trPr>
          <w:trHeight w:val="2312"/>
          <w:jc w:val="center"/>
        </w:trPr>
        <w:tc>
          <w:tcPr>
            <w:tcW w:w="3114" w:type="dxa"/>
          </w:tcPr>
          <w:p w:rsidR="00741381" w:rsidRPr="00C05311" w:rsidRDefault="00741381" w:rsidP="00A7359A">
            <w:pPr>
              <w:rPr>
                <w:szCs w:val="20"/>
              </w:rPr>
            </w:pPr>
            <w:r w:rsidRPr="00C05311">
              <w:rPr>
                <w:szCs w:val="20"/>
              </w:rPr>
              <w:t>ICD-10 koder:</w:t>
            </w:r>
          </w:p>
          <w:p w:rsidR="00741381" w:rsidRPr="00C05311" w:rsidRDefault="00741381" w:rsidP="00A7359A">
            <w:pPr>
              <w:rPr>
                <w:szCs w:val="20"/>
              </w:rPr>
            </w:pPr>
            <w:r w:rsidRPr="00C05311">
              <w:rPr>
                <w:szCs w:val="20"/>
              </w:rPr>
              <w:t>DI50 (hjertesvigt) inkl. underkoder</w:t>
            </w:r>
          </w:p>
          <w:p w:rsidR="00741381" w:rsidRPr="00C05311" w:rsidRDefault="00741381" w:rsidP="00A7359A">
            <w:pPr>
              <w:rPr>
                <w:b/>
                <w:szCs w:val="20"/>
              </w:rPr>
            </w:pPr>
          </w:p>
        </w:tc>
        <w:tc>
          <w:tcPr>
            <w:tcW w:w="5812" w:type="dxa"/>
          </w:tcPr>
          <w:p w:rsidR="00741381" w:rsidRDefault="00741381" w:rsidP="00A7359A">
            <w:pPr>
              <w:rPr>
                <w:rFonts w:cstheme="minorHAnsi"/>
                <w:szCs w:val="20"/>
              </w:rPr>
            </w:pPr>
            <w:r w:rsidRPr="001B79F5">
              <w:rPr>
                <w:rFonts w:cstheme="minorHAnsi"/>
                <w:szCs w:val="20"/>
              </w:rPr>
              <w:t xml:space="preserve">Indikationskode: </w:t>
            </w:r>
          </w:p>
          <w:p w:rsidR="00741381" w:rsidRDefault="00741381" w:rsidP="00A7359A">
            <w:pPr>
              <w:rPr>
                <w:rFonts w:cstheme="minorHAnsi"/>
                <w:szCs w:val="20"/>
              </w:rPr>
            </w:pPr>
            <w:r w:rsidRPr="001B79F5">
              <w:rPr>
                <w:rFonts w:cstheme="minorHAnsi"/>
                <w:szCs w:val="20"/>
              </w:rPr>
              <w:t>430</w:t>
            </w:r>
            <w:r>
              <w:rPr>
                <w:rFonts w:cstheme="minorHAnsi"/>
                <w:szCs w:val="20"/>
              </w:rPr>
              <w:t xml:space="preserve"> - Hjerteinsufficiens</w:t>
            </w:r>
          </w:p>
          <w:p w:rsidR="00741381" w:rsidRPr="00C05311" w:rsidRDefault="00741381" w:rsidP="00A7359A">
            <w:pPr>
              <w:rPr>
                <w:rFonts w:cstheme="minorHAnsi"/>
                <w:szCs w:val="20"/>
              </w:rPr>
            </w:pPr>
            <w:r w:rsidRPr="00C05311">
              <w:rPr>
                <w:rFonts w:cstheme="minorHAnsi"/>
                <w:szCs w:val="20"/>
              </w:rPr>
              <w:t>NYHA</w:t>
            </w:r>
            <w:r w:rsidRPr="00C05311">
              <w:rPr>
                <w:rStyle w:val="Fodnotehenvisning"/>
                <w:rFonts w:cstheme="minorHAnsi"/>
                <w:szCs w:val="20"/>
              </w:rPr>
              <w:footnoteReference w:id="13"/>
            </w:r>
            <w:r w:rsidRPr="00C05311">
              <w:rPr>
                <w:rFonts w:cstheme="minorHAnsi"/>
                <w:szCs w:val="20"/>
              </w:rPr>
              <w:t xml:space="preserve"> anbefaler behandling af hjerteinsufficiens med følgende lægemidler: </w:t>
            </w:r>
          </w:p>
          <w:p w:rsidR="00741381" w:rsidRPr="00C05311" w:rsidRDefault="00741381" w:rsidP="00741381">
            <w:pPr>
              <w:pStyle w:val="Listeafsnit"/>
              <w:numPr>
                <w:ilvl w:val="0"/>
                <w:numId w:val="36"/>
              </w:numPr>
              <w:rPr>
                <w:rFonts w:cstheme="minorHAnsi"/>
                <w:color w:val="000000"/>
                <w:szCs w:val="20"/>
              </w:rPr>
            </w:pPr>
            <w:r w:rsidRPr="00C05311">
              <w:rPr>
                <w:rFonts w:cstheme="minorHAnsi"/>
                <w:color w:val="000000"/>
                <w:szCs w:val="20"/>
              </w:rPr>
              <w:t>Hjerteterapi (C01AA05)</w:t>
            </w:r>
          </w:p>
          <w:p w:rsidR="00741381" w:rsidRPr="00C05311" w:rsidRDefault="00741381" w:rsidP="00741381">
            <w:pPr>
              <w:pStyle w:val="Listeafsnit"/>
              <w:numPr>
                <w:ilvl w:val="0"/>
                <w:numId w:val="36"/>
              </w:numPr>
              <w:rPr>
                <w:rFonts w:cstheme="minorHAnsi"/>
                <w:color w:val="000000"/>
                <w:szCs w:val="20"/>
              </w:rPr>
            </w:pPr>
            <w:r w:rsidRPr="00C05311">
              <w:rPr>
                <w:rFonts w:cstheme="minorHAnsi"/>
                <w:color w:val="000000"/>
                <w:szCs w:val="20"/>
              </w:rPr>
              <w:t>Vanddrivende midler, diuretika (C03)</w:t>
            </w:r>
          </w:p>
          <w:p w:rsidR="00741381" w:rsidRPr="00C05311" w:rsidRDefault="00741381" w:rsidP="00741381">
            <w:pPr>
              <w:pStyle w:val="Listeafsnit"/>
              <w:numPr>
                <w:ilvl w:val="0"/>
                <w:numId w:val="36"/>
              </w:numPr>
              <w:rPr>
                <w:rFonts w:cstheme="minorHAnsi"/>
                <w:color w:val="000000"/>
                <w:szCs w:val="20"/>
              </w:rPr>
            </w:pPr>
            <w:r w:rsidRPr="00C05311">
              <w:rPr>
                <w:rFonts w:cstheme="minorHAnsi"/>
                <w:color w:val="000000"/>
                <w:szCs w:val="20"/>
              </w:rPr>
              <w:t>Beta-receptorblokerende midler (C07)</w:t>
            </w:r>
          </w:p>
          <w:p w:rsidR="00741381" w:rsidRPr="001B79F5" w:rsidRDefault="00741381" w:rsidP="00741381">
            <w:pPr>
              <w:pStyle w:val="Listeafsnit"/>
              <w:numPr>
                <w:ilvl w:val="0"/>
                <w:numId w:val="36"/>
              </w:numPr>
              <w:rPr>
                <w:rFonts w:ascii="Verdana" w:hAnsi="Verdana"/>
                <w:color w:val="000000"/>
                <w:szCs w:val="20"/>
              </w:rPr>
            </w:pPr>
            <w:r w:rsidRPr="00C05311">
              <w:rPr>
                <w:rFonts w:cstheme="minorHAnsi"/>
                <w:color w:val="000000"/>
                <w:szCs w:val="20"/>
              </w:rPr>
              <w:t>Midler med virkning på renin-angiotensin systemet (C09A)</w:t>
            </w:r>
          </w:p>
          <w:p w:rsidR="00741381" w:rsidRPr="001B79F5" w:rsidRDefault="00741381" w:rsidP="00A7359A">
            <w:pPr>
              <w:rPr>
                <w:rFonts w:ascii="Verdana" w:hAnsi="Verdana"/>
                <w:color w:val="000000"/>
                <w:szCs w:val="20"/>
              </w:rPr>
            </w:pPr>
          </w:p>
        </w:tc>
      </w:tr>
    </w:tbl>
    <w:p w:rsidR="00741381" w:rsidRPr="00C05311" w:rsidRDefault="00741381" w:rsidP="00741381">
      <w:pPr>
        <w:pStyle w:val="Listeafsnit"/>
        <w:rPr>
          <w:szCs w:val="20"/>
        </w:rPr>
      </w:pPr>
    </w:p>
    <w:p w:rsidR="00741381" w:rsidRPr="00C05311" w:rsidRDefault="00741381" w:rsidP="00741381">
      <w:pPr>
        <w:rPr>
          <w:szCs w:val="20"/>
        </w:rPr>
      </w:pPr>
      <w:r w:rsidRPr="00C05311">
        <w:rPr>
          <w:szCs w:val="20"/>
        </w:rPr>
        <w:t>Eksklusionskriterier:</w:t>
      </w:r>
    </w:p>
    <w:p w:rsidR="00741381" w:rsidRDefault="00741381" w:rsidP="00741381">
      <w:pPr>
        <w:pStyle w:val="Listeafsnit"/>
        <w:numPr>
          <w:ilvl w:val="0"/>
          <w:numId w:val="35"/>
        </w:numPr>
        <w:rPr>
          <w:szCs w:val="20"/>
        </w:rPr>
      </w:pPr>
      <w:r w:rsidRPr="00C05311">
        <w:rPr>
          <w:szCs w:val="20"/>
        </w:rPr>
        <w:t xml:space="preserve">ICD-10 kode DI50 i LPR og ingen efterfølgende receptindløsninger indenfor ATC-grupperne C01AA05, C03, C05 eller C09A i LSR, så er personen ikke kronisk syg med hjerteinsufficiens. </w:t>
      </w:r>
    </w:p>
    <w:p w:rsidR="00741381" w:rsidRDefault="00741381" w:rsidP="00741381">
      <w:pPr>
        <w:pStyle w:val="Listeafsnit"/>
        <w:rPr>
          <w:szCs w:val="20"/>
        </w:rPr>
      </w:pPr>
    </w:p>
    <w:p w:rsidR="00741381" w:rsidRDefault="00741381" w:rsidP="00741381">
      <w:pPr>
        <w:pStyle w:val="Listeafsnit"/>
        <w:rPr>
          <w:szCs w:val="20"/>
        </w:rPr>
      </w:pPr>
    </w:p>
    <w:p w:rsidR="00741381" w:rsidRDefault="00741381" w:rsidP="00741381">
      <w:pPr>
        <w:pStyle w:val="Listeafsnit"/>
        <w:rPr>
          <w:szCs w:val="20"/>
        </w:rPr>
      </w:pPr>
    </w:p>
    <w:p w:rsidR="00741381" w:rsidRDefault="00741381" w:rsidP="00741381">
      <w:pPr>
        <w:pStyle w:val="Listeafsnit"/>
        <w:rPr>
          <w:szCs w:val="20"/>
        </w:rPr>
      </w:pPr>
    </w:p>
    <w:p w:rsidR="00741381" w:rsidRDefault="00741381" w:rsidP="00741381">
      <w:pPr>
        <w:pStyle w:val="Listeafsnit"/>
        <w:rPr>
          <w:szCs w:val="20"/>
        </w:rPr>
      </w:pPr>
    </w:p>
    <w:p w:rsidR="00741381" w:rsidRDefault="00741381" w:rsidP="00741381">
      <w:pPr>
        <w:pStyle w:val="Listeafsnit"/>
        <w:rPr>
          <w:szCs w:val="20"/>
        </w:rPr>
      </w:pPr>
    </w:p>
    <w:p w:rsidR="00741381" w:rsidRDefault="00741381" w:rsidP="00741381">
      <w:pPr>
        <w:pStyle w:val="Listeafsnit"/>
        <w:rPr>
          <w:szCs w:val="20"/>
        </w:rPr>
      </w:pPr>
    </w:p>
    <w:p w:rsidR="00741381" w:rsidRDefault="00741381" w:rsidP="00741381">
      <w:pPr>
        <w:pStyle w:val="Listeafsnit"/>
        <w:rPr>
          <w:szCs w:val="20"/>
        </w:rPr>
      </w:pPr>
    </w:p>
    <w:p w:rsidR="00741381" w:rsidRDefault="00741381" w:rsidP="00741381">
      <w:pPr>
        <w:pStyle w:val="Listeafsnit"/>
        <w:rPr>
          <w:szCs w:val="20"/>
        </w:rPr>
      </w:pPr>
    </w:p>
    <w:p w:rsidR="00741381" w:rsidRDefault="00741381" w:rsidP="00741381">
      <w:pPr>
        <w:pStyle w:val="Listeafsnit"/>
        <w:rPr>
          <w:szCs w:val="20"/>
        </w:rPr>
      </w:pPr>
    </w:p>
    <w:p w:rsidR="00741381" w:rsidRDefault="00741381" w:rsidP="00741381">
      <w:pPr>
        <w:pStyle w:val="Listeafsnit"/>
        <w:rPr>
          <w:szCs w:val="20"/>
        </w:rPr>
      </w:pPr>
    </w:p>
    <w:p w:rsidR="00741381" w:rsidRDefault="00741381" w:rsidP="00741381">
      <w:pPr>
        <w:pStyle w:val="Listeafsnit"/>
        <w:rPr>
          <w:szCs w:val="20"/>
        </w:rPr>
      </w:pPr>
    </w:p>
    <w:p w:rsidR="00741381" w:rsidRDefault="00741381" w:rsidP="00741381">
      <w:pPr>
        <w:pStyle w:val="Listeafsnit"/>
        <w:rPr>
          <w:szCs w:val="20"/>
        </w:rPr>
      </w:pPr>
    </w:p>
    <w:p w:rsidR="00741381" w:rsidRDefault="00741381" w:rsidP="00741381">
      <w:pPr>
        <w:pStyle w:val="Listeafsnit"/>
        <w:rPr>
          <w:szCs w:val="20"/>
        </w:rPr>
      </w:pPr>
    </w:p>
    <w:p w:rsidR="00741381" w:rsidRDefault="00741381" w:rsidP="00741381">
      <w:pPr>
        <w:pStyle w:val="Listeafsnit"/>
        <w:rPr>
          <w:szCs w:val="20"/>
        </w:rPr>
      </w:pPr>
    </w:p>
    <w:p w:rsidR="00741381" w:rsidRDefault="00741381" w:rsidP="00741381">
      <w:pPr>
        <w:pStyle w:val="Listeafsnit"/>
        <w:rPr>
          <w:szCs w:val="20"/>
        </w:rPr>
      </w:pPr>
    </w:p>
    <w:p w:rsidR="00741381" w:rsidRDefault="00741381" w:rsidP="00741381">
      <w:pPr>
        <w:pStyle w:val="Listeafsnit"/>
        <w:rPr>
          <w:szCs w:val="20"/>
        </w:rPr>
      </w:pPr>
    </w:p>
    <w:p w:rsidR="00741381" w:rsidRPr="00C05311" w:rsidRDefault="00741381" w:rsidP="00741381">
      <w:pPr>
        <w:pStyle w:val="Listeafsnit"/>
        <w:rPr>
          <w:szCs w:val="20"/>
        </w:rPr>
      </w:pPr>
    </w:p>
    <w:p w:rsidR="00741381" w:rsidRPr="00E844FB" w:rsidRDefault="00741381" w:rsidP="00741381">
      <w:pPr>
        <w:pStyle w:val="Billedtekst"/>
        <w:keepNext/>
        <w:outlineLvl w:val="1"/>
        <w:rPr>
          <w:rFonts w:asciiTheme="majorHAnsi" w:hAnsiTheme="majorHAnsi" w:cstheme="majorHAnsi"/>
          <w:noProof/>
          <w:sz w:val="20"/>
          <w:szCs w:val="20"/>
        </w:rPr>
      </w:pPr>
      <w:bookmarkStart w:id="91" w:name="_Toc391624716"/>
      <w:r w:rsidRPr="00E844FB">
        <w:rPr>
          <w:rFonts w:asciiTheme="majorHAnsi" w:hAnsiTheme="majorHAnsi" w:cstheme="majorHAnsi"/>
          <w:noProof/>
          <w:sz w:val="20"/>
          <w:szCs w:val="20"/>
        </w:rPr>
        <w:t>Flowdiagram for dannelse af hjerteinsufficiens</w:t>
      </w:r>
      <w:r w:rsidR="002B44AF">
        <w:rPr>
          <w:rFonts w:asciiTheme="majorHAnsi" w:hAnsiTheme="majorHAnsi" w:cstheme="majorHAnsi"/>
          <w:noProof/>
          <w:sz w:val="20"/>
          <w:szCs w:val="20"/>
        </w:rPr>
        <w:t xml:space="preserve"> </w:t>
      </w:r>
      <w:r w:rsidRPr="00E844FB">
        <w:rPr>
          <w:rFonts w:asciiTheme="majorHAnsi" w:hAnsiTheme="majorHAnsi" w:cstheme="majorHAnsi"/>
          <w:noProof/>
          <w:sz w:val="20"/>
          <w:szCs w:val="20"/>
        </w:rPr>
        <w:t>population i RUKS pr. 1. januar 2013</w:t>
      </w:r>
      <w:bookmarkEnd w:id="91"/>
    </w:p>
    <w:p w:rsidR="00741381" w:rsidRPr="00141BB0" w:rsidRDefault="00741381" w:rsidP="00741381"/>
    <w:p w:rsidR="00741381" w:rsidRDefault="00741381" w:rsidP="00741381">
      <w:pPr>
        <w:rPr>
          <w:b/>
          <w:sz w:val="22"/>
        </w:rPr>
      </w:pPr>
      <w:r w:rsidRPr="008C297D">
        <w:rPr>
          <w:b/>
          <w:noProof/>
          <w:sz w:val="22"/>
          <w:lang w:eastAsia="da-DK"/>
        </w:rPr>
        <w:drawing>
          <wp:inline distT="0" distB="0" distL="0" distR="0" wp14:anchorId="50C0F84B" wp14:editId="16023EAC">
            <wp:extent cx="6474460" cy="5487035"/>
            <wp:effectExtent l="0" t="0" r="254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74460" cy="5487035"/>
                    </a:xfrm>
                    <a:prstGeom prst="rect">
                      <a:avLst/>
                    </a:prstGeom>
                    <a:noFill/>
                  </pic:spPr>
                </pic:pic>
              </a:graphicData>
            </a:graphic>
          </wp:inline>
        </w:drawing>
      </w:r>
    </w:p>
    <w:p w:rsidR="00741381" w:rsidRDefault="00741381" w:rsidP="00741381">
      <w:pPr>
        <w:jc w:val="center"/>
        <w:rPr>
          <w:b/>
          <w:sz w:val="22"/>
        </w:rPr>
      </w:pPr>
    </w:p>
    <w:p w:rsidR="00741381" w:rsidRDefault="00741381" w:rsidP="00741381">
      <w:pPr>
        <w:rPr>
          <w:b/>
          <w:szCs w:val="20"/>
        </w:rPr>
      </w:pPr>
    </w:p>
    <w:p w:rsidR="00741381" w:rsidRDefault="00741381" w:rsidP="00741381">
      <w:pPr>
        <w:rPr>
          <w:b/>
          <w:szCs w:val="20"/>
        </w:rPr>
      </w:pPr>
    </w:p>
    <w:p w:rsidR="00741381" w:rsidRDefault="00741381" w:rsidP="00741381">
      <w:pPr>
        <w:rPr>
          <w:b/>
          <w:szCs w:val="20"/>
        </w:rPr>
      </w:pPr>
    </w:p>
    <w:p w:rsidR="00741381" w:rsidRDefault="00741381" w:rsidP="00741381">
      <w:pPr>
        <w:rPr>
          <w:b/>
          <w:szCs w:val="20"/>
        </w:rPr>
      </w:pPr>
    </w:p>
    <w:p w:rsidR="00741381" w:rsidRDefault="00741381" w:rsidP="00741381">
      <w:pPr>
        <w:rPr>
          <w:b/>
          <w:szCs w:val="20"/>
        </w:rPr>
      </w:pPr>
    </w:p>
    <w:p w:rsidR="00741381" w:rsidRDefault="00741381" w:rsidP="00741381">
      <w:pPr>
        <w:rPr>
          <w:b/>
          <w:szCs w:val="20"/>
        </w:rPr>
      </w:pPr>
    </w:p>
    <w:p w:rsidR="00741381" w:rsidRDefault="00741381" w:rsidP="00741381">
      <w:pPr>
        <w:rPr>
          <w:b/>
          <w:szCs w:val="20"/>
        </w:rPr>
      </w:pPr>
    </w:p>
    <w:p w:rsidR="00741381" w:rsidRDefault="00741381" w:rsidP="00741381">
      <w:pPr>
        <w:rPr>
          <w:b/>
          <w:szCs w:val="20"/>
        </w:rPr>
      </w:pPr>
    </w:p>
    <w:p w:rsidR="00741381" w:rsidRDefault="00741381" w:rsidP="00741381">
      <w:pPr>
        <w:rPr>
          <w:b/>
          <w:szCs w:val="20"/>
        </w:rPr>
      </w:pPr>
    </w:p>
    <w:p w:rsidR="00741381" w:rsidRDefault="00741381" w:rsidP="00741381">
      <w:pPr>
        <w:rPr>
          <w:b/>
          <w:szCs w:val="20"/>
        </w:rPr>
      </w:pPr>
    </w:p>
    <w:p w:rsidR="00741381" w:rsidRDefault="00741381" w:rsidP="00741381">
      <w:pPr>
        <w:rPr>
          <w:b/>
          <w:szCs w:val="20"/>
        </w:rPr>
      </w:pPr>
    </w:p>
    <w:p w:rsidR="00741381" w:rsidRDefault="00741381" w:rsidP="00741381">
      <w:pPr>
        <w:rPr>
          <w:b/>
          <w:szCs w:val="20"/>
        </w:rPr>
      </w:pPr>
    </w:p>
    <w:p w:rsidR="00741381" w:rsidRPr="00536D13" w:rsidRDefault="00741381" w:rsidP="00741381">
      <w:pPr>
        <w:pStyle w:val="Overskrift2"/>
        <w:rPr>
          <w:rFonts w:cstheme="majorHAnsi"/>
          <w:b/>
          <w:sz w:val="20"/>
          <w:szCs w:val="20"/>
        </w:rPr>
      </w:pPr>
      <w:bookmarkStart w:id="92" w:name="_Toc391624717"/>
      <w:r w:rsidRPr="00536D13">
        <w:rPr>
          <w:rFonts w:cstheme="majorHAnsi"/>
          <w:b/>
          <w:sz w:val="20"/>
          <w:szCs w:val="20"/>
        </w:rPr>
        <w:t>Beskrivelse af den fundne population</w:t>
      </w:r>
      <w:bookmarkEnd w:id="92"/>
    </w:p>
    <w:p w:rsidR="00741381" w:rsidRPr="00536D13" w:rsidRDefault="00741381" w:rsidP="00741381">
      <w:pPr>
        <w:rPr>
          <w:b/>
          <w:szCs w:val="20"/>
        </w:rPr>
      </w:pPr>
    </w:p>
    <w:p w:rsidR="00741381" w:rsidRPr="00536D13" w:rsidRDefault="00741381" w:rsidP="00741381">
      <w:pPr>
        <w:rPr>
          <w:szCs w:val="20"/>
        </w:rPr>
      </w:pPr>
      <w:r w:rsidRPr="00536D13">
        <w:rPr>
          <w:szCs w:val="20"/>
        </w:rPr>
        <w:t xml:space="preserve">I RUKS anslås godt 67.000 danskere at leve med kronisk hjertesvigt pr. 1. januar 2013. </w:t>
      </w:r>
    </w:p>
    <w:p w:rsidR="00741381" w:rsidRPr="00536D13" w:rsidRDefault="00741381" w:rsidP="00741381">
      <w:pPr>
        <w:rPr>
          <w:szCs w:val="20"/>
        </w:rPr>
      </w:pPr>
    </w:p>
    <w:p w:rsidR="00741381" w:rsidRPr="00536D13" w:rsidRDefault="00741381" w:rsidP="00741381">
      <w:pPr>
        <w:rPr>
          <w:szCs w:val="20"/>
        </w:rPr>
      </w:pPr>
      <w:r w:rsidRPr="00536D13">
        <w:rPr>
          <w:szCs w:val="20"/>
        </w:rPr>
        <w:t>I hjertesvigtspopulation i RUKS er mediandebutalderen for mænd 66 år (58 – 74 år</w:t>
      </w:r>
      <w:bookmarkStart w:id="93" w:name="_Ref391300336"/>
      <w:r w:rsidRPr="00536D13">
        <w:rPr>
          <w:rStyle w:val="Fodnotehenvisning"/>
          <w:szCs w:val="20"/>
        </w:rPr>
        <w:footnoteReference w:id="14"/>
      </w:r>
      <w:bookmarkEnd w:id="93"/>
      <w:r w:rsidRPr="00536D13">
        <w:rPr>
          <w:szCs w:val="20"/>
        </w:rPr>
        <w:t>) og for kvinder 73 år (63 – 81 år</w:t>
      </w:r>
      <w:r w:rsidRPr="00536D13">
        <w:rPr>
          <w:szCs w:val="20"/>
          <w:vertAlign w:val="superscript"/>
        </w:rPr>
        <w:fldChar w:fldCharType="begin"/>
      </w:r>
      <w:r w:rsidRPr="00536D13">
        <w:rPr>
          <w:szCs w:val="20"/>
          <w:vertAlign w:val="superscript"/>
        </w:rPr>
        <w:instrText xml:space="preserve"> NOTEREF _Ref391300336 \h  \* MERGEFORMAT </w:instrText>
      </w:r>
      <w:r w:rsidRPr="00536D13">
        <w:rPr>
          <w:szCs w:val="20"/>
          <w:vertAlign w:val="superscript"/>
        </w:rPr>
      </w:r>
      <w:r w:rsidRPr="00536D13">
        <w:rPr>
          <w:szCs w:val="20"/>
          <w:vertAlign w:val="superscript"/>
        </w:rPr>
        <w:fldChar w:fldCharType="separate"/>
      </w:r>
      <w:r w:rsidR="00581054">
        <w:rPr>
          <w:szCs w:val="20"/>
          <w:vertAlign w:val="superscript"/>
        </w:rPr>
        <w:t>n</w:t>
      </w:r>
      <w:r w:rsidRPr="00536D13">
        <w:rPr>
          <w:szCs w:val="20"/>
          <w:vertAlign w:val="superscript"/>
        </w:rPr>
        <w:fldChar w:fldCharType="end"/>
      </w:r>
      <w:r w:rsidRPr="00536D13">
        <w:rPr>
          <w:szCs w:val="20"/>
        </w:rPr>
        <w:t xml:space="preserve">). Aldersfordelingen ved debut i RUKS for personer med kronisk hjerteinsufficient fremgår af figur 8.1.  Det fremgår, at mænds debutalder topper flere år tidligere end for kvinder. Den lille top i forekomsten af hjerteinsufficiens blandt de alleryngste børn repræsenterer de børn, der lider af medfødt hjertesygdom.  </w:t>
      </w:r>
    </w:p>
    <w:p w:rsidR="00741381" w:rsidRPr="00536D13" w:rsidRDefault="00741381" w:rsidP="00741381">
      <w:pPr>
        <w:rPr>
          <w:szCs w:val="20"/>
        </w:rPr>
      </w:pPr>
    </w:p>
    <w:p w:rsidR="00741381" w:rsidRPr="00536D13" w:rsidRDefault="00741381" w:rsidP="00741381">
      <w:pPr>
        <w:pStyle w:val="Billedtekst"/>
        <w:keepNext/>
        <w:rPr>
          <w:b w:val="0"/>
          <w:sz w:val="20"/>
          <w:szCs w:val="20"/>
        </w:rPr>
      </w:pPr>
      <w:r w:rsidRPr="00536D13">
        <w:rPr>
          <w:b w:val="0"/>
          <w:sz w:val="20"/>
          <w:szCs w:val="20"/>
        </w:rPr>
        <w:t xml:space="preserve">Figur 8.1. Debutalder blandt borgere med hjerteinsufficiens </w:t>
      </w:r>
    </w:p>
    <w:p w:rsidR="00741381" w:rsidRDefault="00741381" w:rsidP="00741381">
      <w:pPr>
        <w:jc w:val="center"/>
        <w:rPr>
          <w:sz w:val="22"/>
        </w:rPr>
      </w:pPr>
      <w:r>
        <w:rPr>
          <w:noProof/>
          <w:sz w:val="22"/>
          <w:lang w:eastAsia="da-DK"/>
        </w:rPr>
        <w:drawing>
          <wp:inline distT="0" distB="0" distL="0" distR="0" wp14:anchorId="6F2B15C3" wp14:editId="62EECC67">
            <wp:extent cx="5743575" cy="2496040"/>
            <wp:effectExtent l="0" t="0" r="0" b="0"/>
            <wp:docPr id="119" name="Billed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78926" cy="2511403"/>
                    </a:xfrm>
                    <a:prstGeom prst="rect">
                      <a:avLst/>
                    </a:prstGeom>
                    <a:noFill/>
                  </pic:spPr>
                </pic:pic>
              </a:graphicData>
            </a:graphic>
          </wp:inline>
        </w:drawing>
      </w:r>
    </w:p>
    <w:p w:rsidR="00741381" w:rsidRPr="005F31CE" w:rsidRDefault="00741381" w:rsidP="00741381">
      <w:pPr>
        <w:rPr>
          <w:sz w:val="22"/>
        </w:rPr>
      </w:pPr>
    </w:p>
    <w:p w:rsidR="00741381" w:rsidRPr="00C05311" w:rsidRDefault="00741381" w:rsidP="00741381">
      <w:pPr>
        <w:rPr>
          <w:szCs w:val="20"/>
        </w:rPr>
      </w:pPr>
    </w:p>
    <w:p w:rsidR="00741381" w:rsidRPr="00536D13" w:rsidRDefault="00741381" w:rsidP="00741381">
      <w:pPr>
        <w:pStyle w:val="Overskrift2"/>
        <w:rPr>
          <w:rFonts w:cstheme="majorHAnsi"/>
          <w:b/>
          <w:sz w:val="20"/>
          <w:szCs w:val="20"/>
        </w:rPr>
      </w:pPr>
      <w:bookmarkStart w:id="94" w:name="_Toc391624718"/>
      <w:r w:rsidRPr="00536D13">
        <w:rPr>
          <w:rFonts w:cstheme="majorHAnsi"/>
          <w:b/>
          <w:sz w:val="20"/>
          <w:szCs w:val="20"/>
        </w:rPr>
        <w:t>Antal personer med kronisk hjertesvigt i perioden 2007 til 2013 i RUKS</w:t>
      </w:r>
      <w:bookmarkEnd w:id="94"/>
    </w:p>
    <w:p w:rsidR="00741381" w:rsidRPr="00536D13" w:rsidRDefault="00741381" w:rsidP="00741381">
      <w:pPr>
        <w:rPr>
          <w:b/>
          <w:szCs w:val="20"/>
        </w:rPr>
      </w:pPr>
    </w:p>
    <w:p w:rsidR="00741381" w:rsidRPr="00536D13" w:rsidRDefault="00741381" w:rsidP="00741381">
      <w:pPr>
        <w:rPr>
          <w:szCs w:val="20"/>
        </w:rPr>
      </w:pPr>
      <w:r w:rsidRPr="00536D13">
        <w:rPr>
          <w:szCs w:val="20"/>
        </w:rPr>
        <w:t>Stigningen i prævalensen af patienter med kronisk hjerteinsufficiens skyldes, at der kommer flere personer til kohorten, end der udgår (dør) fra kohorten. Det ser ud til, at der er tendens til forbedret overlevelse hos patienter med hjerteinsufficiens samt en stigning i antallet af nye tilfælde (som i betydeligt omfang forklares ved den stadigt forbedrede overlevelse for patienter med koronarsygdom</w:t>
      </w:r>
      <w:r w:rsidRPr="00536D13">
        <w:rPr>
          <w:rStyle w:val="Slutnotehenvisning"/>
          <w:szCs w:val="20"/>
        </w:rPr>
        <w:endnoteReference w:id="31"/>
      </w:r>
      <w:r w:rsidRPr="00536D13">
        <w:rPr>
          <w:szCs w:val="20"/>
        </w:rPr>
        <w:t xml:space="preserve">), tabel 8.1 samt figur 8.2. </w:t>
      </w:r>
    </w:p>
    <w:p w:rsidR="00741381" w:rsidRPr="00536D13" w:rsidRDefault="00741381" w:rsidP="00741381">
      <w:pPr>
        <w:rPr>
          <w:b/>
          <w:szCs w:val="20"/>
        </w:rPr>
      </w:pPr>
    </w:p>
    <w:p w:rsidR="00741381" w:rsidRPr="00DD41EA" w:rsidRDefault="00741381" w:rsidP="00741381">
      <w:pPr>
        <w:pStyle w:val="Billedtekst"/>
        <w:keepNext/>
        <w:rPr>
          <w:rFonts w:cstheme="minorHAnsi"/>
          <w:b w:val="0"/>
          <w:sz w:val="20"/>
          <w:szCs w:val="20"/>
        </w:rPr>
      </w:pPr>
      <w:r w:rsidRPr="00DD41EA">
        <w:rPr>
          <w:rFonts w:cstheme="minorHAnsi"/>
          <w:b w:val="0"/>
          <w:sz w:val="20"/>
          <w:szCs w:val="20"/>
        </w:rPr>
        <w:t>Tabel 8.1</w:t>
      </w:r>
      <w:r w:rsidRPr="00DD41EA">
        <w:rPr>
          <w:rFonts w:cstheme="minorHAnsi"/>
          <w:b w:val="0"/>
          <w:noProof/>
          <w:sz w:val="20"/>
          <w:szCs w:val="20"/>
        </w:rPr>
        <w:t>.</w:t>
      </w:r>
      <w:r w:rsidRPr="00DD41EA">
        <w:rPr>
          <w:rFonts w:cstheme="minorHAnsi"/>
          <w:b w:val="0"/>
          <w:sz w:val="20"/>
          <w:szCs w:val="20"/>
        </w:rPr>
        <w:t xml:space="preserve"> Prævalens af kronisk hjertesvigt pr. 1. januar det pågældende år</w:t>
      </w:r>
    </w:p>
    <w:tbl>
      <w:tblPr>
        <w:tblStyle w:val="Tabel-Gitter"/>
        <w:tblW w:w="0" w:type="auto"/>
        <w:tblLook w:val="04A0" w:firstRow="1" w:lastRow="0" w:firstColumn="1" w:lastColumn="0" w:noHBand="0" w:noVBand="1"/>
      </w:tblPr>
      <w:tblGrid>
        <w:gridCol w:w="1374"/>
        <w:gridCol w:w="1375"/>
        <w:gridCol w:w="1375"/>
        <w:gridCol w:w="1376"/>
        <w:gridCol w:w="1376"/>
        <w:gridCol w:w="1376"/>
        <w:gridCol w:w="1376"/>
      </w:tblGrid>
      <w:tr w:rsidR="00741381" w:rsidRPr="00DD41EA" w:rsidTr="00A7359A">
        <w:tc>
          <w:tcPr>
            <w:tcW w:w="1396" w:type="dxa"/>
          </w:tcPr>
          <w:p w:rsidR="00741381" w:rsidRPr="00DD41EA" w:rsidRDefault="00741381" w:rsidP="00A7359A">
            <w:pPr>
              <w:jc w:val="center"/>
              <w:rPr>
                <w:rFonts w:cstheme="minorHAnsi"/>
                <w:b/>
                <w:szCs w:val="20"/>
              </w:rPr>
            </w:pPr>
            <w:r w:rsidRPr="00DD41EA">
              <w:rPr>
                <w:rFonts w:cstheme="minorHAnsi"/>
                <w:b/>
                <w:szCs w:val="20"/>
              </w:rPr>
              <w:t>2007</w:t>
            </w:r>
          </w:p>
        </w:tc>
        <w:tc>
          <w:tcPr>
            <w:tcW w:w="1397" w:type="dxa"/>
          </w:tcPr>
          <w:p w:rsidR="00741381" w:rsidRPr="00DD41EA" w:rsidRDefault="00741381" w:rsidP="00A7359A">
            <w:pPr>
              <w:jc w:val="center"/>
              <w:rPr>
                <w:rFonts w:cstheme="minorHAnsi"/>
                <w:b/>
                <w:szCs w:val="20"/>
              </w:rPr>
            </w:pPr>
            <w:r w:rsidRPr="00DD41EA">
              <w:rPr>
                <w:rFonts w:cstheme="minorHAnsi"/>
                <w:b/>
                <w:szCs w:val="20"/>
              </w:rPr>
              <w:t>2008</w:t>
            </w:r>
          </w:p>
        </w:tc>
        <w:tc>
          <w:tcPr>
            <w:tcW w:w="1397" w:type="dxa"/>
          </w:tcPr>
          <w:p w:rsidR="00741381" w:rsidRPr="00DD41EA" w:rsidRDefault="00741381" w:rsidP="00A7359A">
            <w:pPr>
              <w:jc w:val="center"/>
              <w:rPr>
                <w:rFonts w:cstheme="minorHAnsi"/>
                <w:b/>
                <w:szCs w:val="20"/>
              </w:rPr>
            </w:pPr>
            <w:r w:rsidRPr="00DD41EA">
              <w:rPr>
                <w:rFonts w:cstheme="minorHAnsi"/>
                <w:b/>
                <w:szCs w:val="20"/>
              </w:rPr>
              <w:t>2009</w:t>
            </w:r>
          </w:p>
        </w:tc>
        <w:tc>
          <w:tcPr>
            <w:tcW w:w="1397" w:type="dxa"/>
          </w:tcPr>
          <w:p w:rsidR="00741381" w:rsidRPr="00DD41EA" w:rsidRDefault="00741381" w:rsidP="00A7359A">
            <w:pPr>
              <w:jc w:val="center"/>
              <w:rPr>
                <w:rFonts w:cstheme="minorHAnsi"/>
                <w:b/>
                <w:szCs w:val="20"/>
              </w:rPr>
            </w:pPr>
            <w:r w:rsidRPr="00DD41EA">
              <w:rPr>
                <w:rFonts w:cstheme="minorHAnsi"/>
                <w:b/>
                <w:szCs w:val="20"/>
              </w:rPr>
              <w:t>2010</w:t>
            </w:r>
          </w:p>
        </w:tc>
        <w:tc>
          <w:tcPr>
            <w:tcW w:w="1397" w:type="dxa"/>
          </w:tcPr>
          <w:p w:rsidR="00741381" w:rsidRPr="00DD41EA" w:rsidRDefault="00741381" w:rsidP="00A7359A">
            <w:pPr>
              <w:jc w:val="center"/>
              <w:rPr>
                <w:rFonts w:cstheme="minorHAnsi"/>
                <w:b/>
                <w:szCs w:val="20"/>
              </w:rPr>
            </w:pPr>
            <w:r w:rsidRPr="00DD41EA">
              <w:rPr>
                <w:rFonts w:cstheme="minorHAnsi"/>
                <w:b/>
                <w:szCs w:val="20"/>
              </w:rPr>
              <w:t>2011</w:t>
            </w:r>
          </w:p>
        </w:tc>
        <w:tc>
          <w:tcPr>
            <w:tcW w:w="1397" w:type="dxa"/>
          </w:tcPr>
          <w:p w:rsidR="00741381" w:rsidRPr="00DD41EA" w:rsidRDefault="00741381" w:rsidP="00A7359A">
            <w:pPr>
              <w:jc w:val="center"/>
              <w:rPr>
                <w:rFonts w:cstheme="minorHAnsi"/>
                <w:b/>
                <w:szCs w:val="20"/>
              </w:rPr>
            </w:pPr>
            <w:r w:rsidRPr="00DD41EA">
              <w:rPr>
                <w:rFonts w:cstheme="minorHAnsi"/>
                <w:b/>
                <w:szCs w:val="20"/>
              </w:rPr>
              <w:t>2012</w:t>
            </w:r>
          </w:p>
        </w:tc>
        <w:tc>
          <w:tcPr>
            <w:tcW w:w="1397" w:type="dxa"/>
          </w:tcPr>
          <w:p w:rsidR="00741381" w:rsidRPr="00DD41EA" w:rsidRDefault="00741381" w:rsidP="00A7359A">
            <w:pPr>
              <w:jc w:val="center"/>
              <w:rPr>
                <w:rFonts w:cstheme="minorHAnsi"/>
                <w:b/>
                <w:szCs w:val="20"/>
              </w:rPr>
            </w:pPr>
            <w:r w:rsidRPr="00DD41EA">
              <w:rPr>
                <w:rFonts w:cstheme="minorHAnsi"/>
                <w:b/>
                <w:szCs w:val="20"/>
              </w:rPr>
              <w:t>2013</w:t>
            </w:r>
          </w:p>
        </w:tc>
      </w:tr>
      <w:tr w:rsidR="00741381" w:rsidRPr="00DD41EA" w:rsidTr="00A7359A">
        <w:tc>
          <w:tcPr>
            <w:tcW w:w="1396" w:type="dxa"/>
            <w:vAlign w:val="bottom"/>
          </w:tcPr>
          <w:p w:rsidR="00741381" w:rsidRPr="00DD41EA" w:rsidRDefault="00741381" w:rsidP="00A7359A">
            <w:pPr>
              <w:jc w:val="center"/>
              <w:rPr>
                <w:rFonts w:cstheme="minorHAnsi"/>
                <w:szCs w:val="20"/>
              </w:rPr>
            </w:pPr>
            <w:r w:rsidRPr="00DD41EA">
              <w:rPr>
                <w:rFonts w:cstheme="minorHAnsi"/>
                <w:szCs w:val="20"/>
              </w:rPr>
              <w:t>57.765</w:t>
            </w:r>
          </w:p>
        </w:tc>
        <w:tc>
          <w:tcPr>
            <w:tcW w:w="1397" w:type="dxa"/>
            <w:vAlign w:val="bottom"/>
          </w:tcPr>
          <w:p w:rsidR="00741381" w:rsidRPr="00DD41EA" w:rsidRDefault="00741381" w:rsidP="00A7359A">
            <w:pPr>
              <w:jc w:val="center"/>
              <w:rPr>
                <w:rFonts w:cstheme="minorHAnsi"/>
                <w:szCs w:val="20"/>
              </w:rPr>
            </w:pPr>
            <w:r w:rsidRPr="00DD41EA">
              <w:rPr>
                <w:rFonts w:cstheme="minorHAnsi"/>
                <w:szCs w:val="20"/>
              </w:rPr>
              <w:t>59.092</w:t>
            </w:r>
          </w:p>
        </w:tc>
        <w:tc>
          <w:tcPr>
            <w:tcW w:w="1397" w:type="dxa"/>
            <w:vAlign w:val="bottom"/>
          </w:tcPr>
          <w:p w:rsidR="00741381" w:rsidRPr="00DD41EA" w:rsidRDefault="00741381" w:rsidP="00A7359A">
            <w:pPr>
              <w:jc w:val="center"/>
              <w:rPr>
                <w:rFonts w:cstheme="minorHAnsi"/>
                <w:szCs w:val="20"/>
              </w:rPr>
            </w:pPr>
            <w:r w:rsidRPr="00DD41EA">
              <w:rPr>
                <w:rFonts w:cstheme="minorHAnsi"/>
                <w:szCs w:val="20"/>
              </w:rPr>
              <w:t>60.520</w:t>
            </w:r>
          </w:p>
        </w:tc>
        <w:tc>
          <w:tcPr>
            <w:tcW w:w="1397" w:type="dxa"/>
            <w:vAlign w:val="bottom"/>
          </w:tcPr>
          <w:p w:rsidR="00741381" w:rsidRPr="00DD41EA" w:rsidRDefault="00741381" w:rsidP="00A7359A">
            <w:pPr>
              <w:jc w:val="center"/>
              <w:rPr>
                <w:rFonts w:cstheme="minorHAnsi"/>
                <w:szCs w:val="20"/>
              </w:rPr>
            </w:pPr>
            <w:r w:rsidRPr="00DD41EA">
              <w:rPr>
                <w:rFonts w:cstheme="minorHAnsi"/>
                <w:szCs w:val="20"/>
              </w:rPr>
              <w:t>61.845</w:t>
            </w:r>
          </w:p>
        </w:tc>
        <w:tc>
          <w:tcPr>
            <w:tcW w:w="1397" w:type="dxa"/>
            <w:vAlign w:val="bottom"/>
          </w:tcPr>
          <w:p w:rsidR="00741381" w:rsidRPr="00DD41EA" w:rsidRDefault="00741381" w:rsidP="00A7359A">
            <w:pPr>
              <w:jc w:val="center"/>
              <w:rPr>
                <w:rFonts w:cstheme="minorHAnsi"/>
                <w:szCs w:val="20"/>
              </w:rPr>
            </w:pPr>
            <w:r w:rsidRPr="00DD41EA">
              <w:rPr>
                <w:rFonts w:cstheme="minorHAnsi"/>
                <w:szCs w:val="20"/>
              </w:rPr>
              <w:t>63.414</w:t>
            </w:r>
          </w:p>
        </w:tc>
        <w:tc>
          <w:tcPr>
            <w:tcW w:w="1397" w:type="dxa"/>
            <w:vAlign w:val="bottom"/>
          </w:tcPr>
          <w:p w:rsidR="00741381" w:rsidRPr="00DD41EA" w:rsidRDefault="00741381" w:rsidP="00A7359A">
            <w:pPr>
              <w:jc w:val="center"/>
              <w:rPr>
                <w:rFonts w:cstheme="minorHAnsi"/>
                <w:szCs w:val="20"/>
              </w:rPr>
            </w:pPr>
            <w:r w:rsidRPr="00DD41EA">
              <w:rPr>
                <w:rFonts w:cstheme="minorHAnsi"/>
                <w:szCs w:val="20"/>
              </w:rPr>
              <w:t>65.296</w:t>
            </w:r>
          </w:p>
        </w:tc>
        <w:tc>
          <w:tcPr>
            <w:tcW w:w="1397" w:type="dxa"/>
            <w:vAlign w:val="bottom"/>
          </w:tcPr>
          <w:p w:rsidR="00741381" w:rsidRPr="00DD41EA" w:rsidRDefault="00741381" w:rsidP="00A7359A">
            <w:pPr>
              <w:jc w:val="center"/>
              <w:rPr>
                <w:rFonts w:cstheme="minorHAnsi"/>
                <w:szCs w:val="20"/>
              </w:rPr>
            </w:pPr>
            <w:r w:rsidRPr="00DD41EA">
              <w:rPr>
                <w:rFonts w:cstheme="minorHAnsi"/>
                <w:szCs w:val="20"/>
              </w:rPr>
              <w:t>67.298</w:t>
            </w:r>
          </w:p>
        </w:tc>
      </w:tr>
    </w:tbl>
    <w:p w:rsidR="00741381" w:rsidRPr="00DD41EA" w:rsidRDefault="00741381" w:rsidP="00741381">
      <w:pPr>
        <w:pStyle w:val="Billedtekst"/>
        <w:keepNext/>
        <w:rPr>
          <w:rFonts w:cstheme="minorHAnsi"/>
          <w:b w:val="0"/>
          <w:sz w:val="20"/>
          <w:szCs w:val="20"/>
        </w:rPr>
      </w:pPr>
      <w:r w:rsidRPr="00DD41EA">
        <w:rPr>
          <w:rFonts w:cstheme="minorHAnsi"/>
          <w:b w:val="0"/>
          <w:sz w:val="20"/>
          <w:szCs w:val="20"/>
        </w:rPr>
        <w:t>Figur 8.2. Prævalens, incidens og mortalitet af hjertesvigtspopulationen i RUKS</w:t>
      </w:r>
    </w:p>
    <w:p w:rsidR="00741381" w:rsidRDefault="00741381" w:rsidP="00741381">
      <w:pPr>
        <w:jc w:val="center"/>
        <w:rPr>
          <w:sz w:val="22"/>
        </w:rPr>
      </w:pPr>
    </w:p>
    <w:p w:rsidR="00741381" w:rsidRDefault="00741381" w:rsidP="00741381">
      <w:pPr>
        <w:jc w:val="center"/>
        <w:rPr>
          <w:sz w:val="22"/>
        </w:rPr>
      </w:pPr>
      <w:r w:rsidRPr="008C297D">
        <w:rPr>
          <w:noProof/>
          <w:sz w:val="22"/>
          <w:lang w:eastAsia="da-DK"/>
        </w:rPr>
        <w:drawing>
          <wp:inline distT="0" distB="0" distL="0" distR="0" wp14:anchorId="7E248147" wp14:editId="59807647">
            <wp:extent cx="4944110" cy="2495550"/>
            <wp:effectExtent l="0" t="0" r="8890" b="0"/>
            <wp:docPr id="239" name="Billed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44110" cy="2495550"/>
                    </a:xfrm>
                    <a:prstGeom prst="rect">
                      <a:avLst/>
                    </a:prstGeom>
                    <a:noFill/>
                  </pic:spPr>
                </pic:pic>
              </a:graphicData>
            </a:graphic>
          </wp:inline>
        </w:drawing>
      </w:r>
    </w:p>
    <w:p w:rsidR="00741381" w:rsidRDefault="00741381" w:rsidP="00741381">
      <w:pPr>
        <w:rPr>
          <w:szCs w:val="20"/>
        </w:rPr>
      </w:pPr>
    </w:p>
    <w:p w:rsidR="00DD41EA" w:rsidRPr="00DD41EA" w:rsidRDefault="00DD41EA" w:rsidP="00DD41EA">
      <w:pPr>
        <w:rPr>
          <w:rFonts w:cstheme="minorHAnsi"/>
          <w:szCs w:val="20"/>
        </w:rPr>
      </w:pPr>
    </w:p>
    <w:p w:rsidR="00DD41EA" w:rsidRPr="00DD41EA" w:rsidRDefault="00DD41EA" w:rsidP="00DD41EA">
      <w:pPr>
        <w:rPr>
          <w:rFonts w:cstheme="minorHAnsi"/>
          <w:szCs w:val="20"/>
        </w:rPr>
      </w:pPr>
      <w:r w:rsidRPr="00DD41EA">
        <w:rPr>
          <w:rFonts w:cstheme="minorHAnsi"/>
          <w:szCs w:val="20"/>
        </w:rPr>
        <w:t>Figur 8.2 viser endvidere, at der er en svag stigning i incidensen til sidst i perioden. Stigningen skyldes en øget brug af indikationskoden for hjerteinsufficiens ved udskrivning af medicin.</w:t>
      </w:r>
    </w:p>
    <w:p w:rsidR="00DD41EA" w:rsidRDefault="00DD41EA" w:rsidP="00741381">
      <w:pPr>
        <w:rPr>
          <w:szCs w:val="20"/>
        </w:rPr>
      </w:pPr>
    </w:p>
    <w:p w:rsidR="00DD41EA" w:rsidRPr="00DD41EA" w:rsidRDefault="00DD41EA" w:rsidP="00741381">
      <w:pPr>
        <w:rPr>
          <w:szCs w:val="20"/>
        </w:rPr>
      </w:pPr>
    </w:p>
    <w:p w:rsidR="00741381" w:rsidRPr="00DD41EA" w:rsidRDefault="00741381" w:rsidP="00741381">
      <w:pPr>
        <w:pStyle w:val="Overskrift2"/>
        <w:rPr>
          <w:rFonts w:cstheme="majorHAnsi"/>
          <w:b/>
          <w:sz w:val="20"/>
          <w:szCs w:val="20"/>
        </w:rPr>
      </w:pPr>
      <w:bookmarkStart w:id="95" w:name="_Toc391624719"/>
      <w:r w:rsidRPr="00DD41EA">
        <w:rPr>
          <w:rFonts w:cstheme="majorHAnsi"/>
          <w:b/>
          <w:sz w:val="20"/>
          <w:szCs w:val="20"/>
        </w:rPr>
        <w:t>Andre kilders oplysninger</w:t>
      </w:r>
      <w:bookmarkEnd w:id="95"/>
    </w:p>
    <w:p w:rsidR="00741381" w:rsidRPr="00DD41EA" w:rsidRDefault="00741381" w:rsidP="00741381">
      <w:pPr>
        <w:rPr>
          <w:b/>
          <w:szCs w:val="20"/>
        </w:rPr>
      </w:pPr>
    </w:p>
    <w:p w:rsidR="00741381" w:rsidRPr="00DD41EA" w:rsidRDefault="00741381" w:rsidP="00741381">
      <w:pPr>
        <w:rPr>
          <w:szCs w:val="20"/>
        </w:rPr>
      </w:pPr>
      <w:r w:rsidRPr="00DD41EA">
        <w:rPr>
          <w:szCs w:val="20"/>
        </w:rPr>
        <w:t>Institut for Rationel Farmakoterapi anslår at cirka 60.000 personer lider af hjerteinsufficiens i Danmark. I gennemsnit (middelværdi) er personerne 72 år når diagnosen stilles</w:t>
      </w:r>
      <w:r w:rsidRPr="00DD41EA">
        <w:rPr>
          <w:rStyle w:val="Slutnotehenvisning"/>
          <w:szCs w:val="20"/>
        </w:rPr>
        <w:endnoteReference w:id="32"/>
      </w:r>
      <w:r w:rsidRPr="00DD41EA">
        <w:rPr>
          <w:szCs w:val="20"/>
        </w:rPr>
        <w:t xml:space="preserve">. Ca. 20 procent af alle hjertesvigtspatienter dør inden for et år efter diagnosen er stillet. Den mediane restlevetid på diagnosetidspunktet er i gennemsnit 4-5 år, men den afhænger af faktorer, bl.a. funktionsevne, alder og komorbiditet. </w:t>
      </w:r>
    </w:p>
    <w:p w:rsidR="00741381" w:rsidRPr="00DD41EA" w:rsidRDefault="00741381" w:rsidP="00741381">
      <w:pPr>
        <w:rPr>
          <w:rFonts w:ascii="Arial" w:eastAsia="Times New Roman" w:hAnsi="Arial" w:cs="Arial"/>
          <w:b/>
          <w:bCs/>
          <w:color w:val="5A5A5A"/>
          <w:szCs w:val="20"/>
          <w:lang w:eastAsia="da-DK"/>
        </w:rPr>
      </w:pPr>
    </w:p>
    <w:p w:rsidR="00741381" w:rsidRPr="00DD41EA" w:rsidRDefault="00741381" w:rsidP="00741381">
      <w:pPr>
        <w:rPr>
          <w:szCs w:val="20"/>
        </w:rPr>
      </w:pPr>
      <w:r w:rsidRPr="00DD41EA">
        <w:rPr>
          <w:szCs w:val="20"/>
        </w:rPr>
        <w:t>Hjerteforeningen anslår at cirka to procent (svarende til ca. 100.000 personer) af den danske befolkning har eller har haft symptomer på hjertesvigt. Af disse 100.000 personer anslås halvdelen at have alvorligt hjertesvigt med mange symptomer. Det fremgår ikke af Hjerteforeningens hjemmeside, hvordan de definerer alvorligt hjertesvigt, blot at patienter med patienter, der er særligt hårdt ramt, har mange symptomer</w:t>
      </w:r>
      <w:r w:rsidRPr="00DD41EA">
        <w:rPr>
          <w:rStyle w:val="Slutnotehenvisning"/>
          <w:szCs w:val="20"/>
        </w:rPr>
        <w:endnoteReference w:id="33"/>
      </w:r>
      <w:r w:rsidRPr="00DD41EA">
        <w:rPr>
          <w:szCs w:val="20"/>
        </w:rPr>
        <w:t>.  Patienter med let hjerteinsufficiens har en så god prognose og undertiden så lette symptomer, at de i denne sammenhæng ikke skal medtages. De få symptomer kan også skyldes at sygdommen er meget velbehandlet.</w:t>
      </w:r>
    </w:p>
    <w:p w:rsidR="00741381" w:rsidRPr="00DD41EA" w:rsidRDefault="00741381" w:rsidP="00741381">
      <w:pPr>
        <w:rPr>
          <w:szCs w:val="20"/>
        </w:rPr>
      </w:pPr>
    </w:p>
    <w:p w:rsidR="00741381" w:rsidRPr="00DD41EA" w:rsidRDefault="00581054" w:rsidP="00741381">
      <w:pPr>
        <w:rPr>
          <w:szCs w:val="20"/>
        </w:rPr>
      </w:pPr>
      <w:hyperlink r:id="rId40" w:history="1">
        <w:r w:rsidR="00741381" w:rsidRPr="00DD41EA">
          <w:rPr>
            <w:rStyle w:val="Hyperlink"/>
            <w:szCs w:val="20"/>
          </w:rPr>
          <w:t>Www.sundhed.dk</w:t>
        </w:r>
      </w:hyperlink>
      <w:r w:rsidR="00741381" w:rsidRPr="00DD41EA">
        <w:rPr>
          <w:szCs w:val="20"/>
        </w:rPr>
        <w:t xml:space="preserve"> angiver en højere incidens af hjertesvigt (akut og kronisk) blandt mænd end blandt kvinder blandt borgere over 65 år i den danske befolkning. For personer over 65 år er 11/100.000 mænd og 5/100.000 kvinder diagnosticeret med hjertesvigt. Derudover angives prævalensen at stige med alderen</w:t>
      </w:r>
      <w:r w:rsidR="00741381" w:rsidRPr="00DD41EA">
        <w:rPr>
          <w:rStyle w:val="Slutnotehenvisning"/>
          <w:szCs w:val="20"/>
        </w:rPr>
        <w:endnoteReference w:id="34"/>
      </w:r>
      <w:r w:rsidR="00741381" w:rsidRPr="00DD41EA">
        <w:rPr>
          <w:szCs w:val="20"/>
        </w:rPr>
        <w:t xml:space="preserve">. </w:t>
      </w:r>
    </w:p>
    <w:p w:rsidR="00741381" w:rsidRPr="00DD41EA" w:rsidRDefault="00741381" w:rsidP="00741381">
      <w:pPr>
        <w:pStyle w:val="Overskrift2"/>
        <w:rPr>
          <w:rFonts w:asciiTheme="minorHAnsi" w:eastAsiaTheme="minorHAnsi" w:hAnsiTheme="minorHAnsi" w:cstheme="minorBidi"/>
          <w:bCs w:val="0"/>
          <w:sz w:val="20"/>
          <w:szCs w:val="20"/>
        </w:rPr>
      </w:pPr>
    </w:p>
    <w:p w:rsidR="00741381" w:rsidRPr="00DD41EA" w:rsidRDefault="00741381" w:rsidP="00741381">
      <w:pPr>
        <w:pStyle w:val="Overskrift2"/>
        <w:rPr>
          <w:rFonts w:cstheme="majorHAnsi"/>
          <w:b/>
          <w:sz w:val="20"/>
          <w:szCs w:val="20"/>
        </w:rPr>
      </w:pPr>
      <w:bookmarkStart w:id="96" w:name="_Toc391624720"/>
      <w:r w:rsidRPr="00DD41EA">
        <w:rPr>
          <w:rFonts w:cstheme="majorHAnsi"/>
          <w:b/>
          <w:sz w:val="20"/>
          <w:szCs w:val="20"/>
        </w:rPr>
        <w:t>Forbehold ved udvælgelsen</w:t>
      </w:r>
      <w:bookmarkEnd w:id="96"/>
    </w:p>
    <w:p w:rsidR="00741381" w:rsidRPr="00DD41EA" w:rsidRDefault="00741381" w:rsidP="00741381">
      <w:pPr>
        <w:rPr>
          <w:b/>
          <w:szCs w:val="20"/>
        </w:rPr>
      </w:pPr>
    </w:p>
    <w:p w:rsidR="00741381" w:rsidRDefault="00741381" w:rsidP="00741381">
      <w:pPr>
        <w:rPr>
          <w:szCs w:val="20"/>
        </w:rPr>
      </w:pPr>
      <w:r w:rsidRPr="00DD41EA">
        <w:rPr>
          <w:szCs w:val="20"/>
        </w:rPr>
        <w:t xml:space="preserve">I estimeringen af hjerteinsufficienspopulationen har vi forsøgt at tage højde for de personer, der ikke lider af kronisk hjerteinsufficiens. Det er gjort ved at stille krav om, at de mindst skal have indløst en recept på lægemidler mod hjerteinsufficiens. Enkelte lidelser som eksempelvis svær anæmi, blodprop i hjertet samt graviditet kan udløse hjerteinsufficiens, disse lidelser vil relativt hurtigt kunne behandles, og man må formode at hjerteinsufficiensen kureres samtidig med, at den udløsende sygdom/tilstand bedres. Der er forsøgt at skelne mellem personer, der lider af kronisk hjertesvigt og de personer, som lider af det forbigående eller med dødeligt udfald kort tid efter diagnosen stilles, og derfor ikke indløser en recept på lægemidler mod hjerteinsufficiens. Der er i udvælgelsen ikke tjekket for indlæggelser relateret til andre lidelser, der kan forårsage hjerteinsufficiens. I udvælgelsen er heller ikke taget højde for varigheden af indlæggelsen relateret til hjerteinsufficiens. Der er derved risiko for en underrapportering af de sværeste kroniske tilfælde, grundet patienterne befinder sig i sygehussektoren og ikke indløser recepter på lægemidler mod hjerteinsufficient i primærsektoren.  </w:t>
      </w:r>
    </w:p>
    <w:p w:rsidR="00DD41EA" w:rsidRPr="00DD41EA" w:rsidRDefault="00DD41EA" w:rsidP="00741381">
      <w:pPr>
        <w:rPr>
          <w:szCs w:val="20"/>
        </w:rPr>
      </w:pPr>
    </w:p>
    <w:p w:rsidR="00741381" w:rsidRDefault="00741381" w:rsidP="00741381">
      <w:pPr>
        <w:rPr>
          <w:sz w:val="18"/>
          <w:szCs w:val="18"/>
        </w:rPr>
      </w:pPr>
    </w:p>
    <w:p w:rsidR="00DD41EA" w:rsidRDefault="00DD41EA" w:rsidP="00DD41EA">
      <w:pPr>
        <w:pStyle w:val="Overskrift2"/>
        <w:rPr>
          <w:b/>
          <w:sz w:val="20"/>
          <w:szCs w:val="20"/>
        </w:rPr>
      </w:pPr>
      <w:bookmarkStart w:id="97" w:name="_Toc391624721"/>
      <w:r w:rsidRPr="005B4D36">
        <w:rPr>
          <w:b/>
          <w:sz w:val="20"/>
          <w:szCs w:val="20"/>
        </w:rPr>
        <w:t>Fremtidig udbygning</w:t>
      </w:r>
      <w:bookmarkEnd w:id="97"/>
    </w:p>
    <w:p w:rsidR="00DD41EA" w:rsidRPr="00F86904" w:rsidRDefault="00DD41EA" w:rsidP="00DD41EA"/>
    <w:p w:rsidR="00DD41EA" w:rsidRDefault="00DD41EA" w:rsidP="00DD41EA">
      <w:pPr>
        <w:rPr>
          <w:szCs w:val="20"/>
        </w:rPr>
      </w:pPr>
      <w:r>
        <w:rPr>
          <w:szCs w:val="20"/>
        </w:rPr>
        <w:t>Populationsudvælgelsen kan forbedres</w:t>
      </w:r>
      <w:r w:rsidRPr="005B4D36">
        <w:rPr>
          <w:szCs w:val="20"/>
        </w:rPr>
        <w:t>, hvis specifikke</w:t>
      </w:r>
      <w:r>
        <w:rPr>
          <w:szCs w:val="20"/>
        </w:rPr>
        <w:t xml:space="preserve"> indikationskoder for hjerteinsufficiens</w:t>
      </w:r>
      <w:r w:rsidRPr="005B4D36">
        <w:rPr>
          <w:szCs w:val="20"/>
        </w:rPr>
        <w:t xml:space="preserve"> anvendes i større omfang</w:t>
      </w:r>
      <w:r>
        <w:rPr>
          <w:szCs w:val="20"/>
        </w:rPr>
        <w:t>.</w:t>
      </w:r>
    </w:p>
    <w:p w:rsidR="00DD41EA" w:rsidRDefault="00DD41EA" w:rsidP="00DD41EA">
      <w:pPr>
        <w:rPr>
          <w:szCs w:val="20"/>
        </w:rPr>
      </w:pPr>
    </w:p>
    <w:p w:rsidR="00DD41EA" w:rsidRDefault="006B7D75" w:rsidP="00DD41EA">
      <w:pPr>
        <w:rPr>
          <w:szCs w:val="20"/>
        </w:rPr>
      </w:pPr>
      <w:r>
        <w:rPr>
          <w:szCs w:val="20"/>
        </w:rPr>
        <w:t>Vi forventer, at udbygge området med hjertekarsygdomme til flere afgrænsede populationer. Der er blevet arbejdet på afgrænse karlidelser i hjernen. Denne population blev dog ikke færdig</w:t>
      </w:r>
      <w:r w:rsidR="00E604D4">
        <w:rPr>
          <w:szCs w:val="20"/>
        </w:rPr>
        <w:t>afgrænset</w:t>
      </w:r>
      <w:r>
        <w:rPr>
          <w:szCs w:val="20"/>
        </w:rPr>
        <w:t xml:space="preserve"> før udsendelse af høringsmateriale.</w:t>
      </w:r>
    </w:p>
    <w:p w:rsidR="00DD41EA" w:rsidRPr="009A3BBE" w:rsidRDefault="00DD41EA" w:rsidP="00741381">
      <w:pPr>
        <w:rPr>
          <w:sz w:val="18"/>
          <w:szCs w:val="18"/>
        </w:rPr>
      </w:pPr>
    </w:p>
    <w:p w:rsidR="00741381" w:rsidRPr="009A3BBE" w:rsidRDefault="00741381" w:rsidP="00741381">
      <w:pPr>
        <w:pStyle w:val="Kommentartekst"/>
        <w:rPr>
          <w:b/>
          <w:sz w:val="18"/>
          <w:szCs w:val="18"/>
        </w:rPr>
      </w:pPr>
    </w:p>
    <w:p w:rsidR="00741381" w:rsidRPr="009A3BBE" w:rsidRDefault="00741381" w:rsidP="00741381">
      <w:pPr>
        <w:pStyle w:val="Kommentartekst"/>
        <w:rPr>
          <w:b/>
          <w:sz w:val="18"/>
          <w:szCs w:val="18"/>
        </w:rPr>
      </w:pPr>
    </w:p>
    <w:p w:rsidR="00741381" w:rsidRPr="009A3BBE" w:rsidRDefault="00741381" w:rsidP="00741381">
      <w:pPr>
        <w:pStyle w:val="Kommentartekst"/>
        <w:rPr>
          <w:b/>
          <w:sz w:val="18"/>
          <w:szCs w:val="18"/>
        </w:rPr>
      </w:pPr>
    </w:p>
    <w:p w:rsidR="00741381" w:rsidRPr="009A3BBE" w:rsidRDefault="00741381" w:rsidP="00741381">
      <w:pPr>
        <w:pStyle w:val="Kommentartekst"/>
        <w:rPr>
          <w:b/>
          <w:sz w:val="18"/>
          <w:szCs w:val="18"/>
        </w:rPr>
      </w:pPr>
    </w:p>
    <w:p w:rsidR="00741381" w:rsidRPr="009A3BBE" w:rsidRDefault="00741381" w:rsidP="00741381">
      <w:pPr>
        <w:pStyle w:val="Kommentartekst"/>
        <w:rPr>
          <w:b/>
          <w:sz w:val="18"/>
          <w:szCs w:val="18"/>
        </w:rPr>
      </w:pPr>
    </w:p>
    <w:p w:rsidR="00741381" w:rsidRPr="009A3BBE" w:rsidRDefault="00741381" w:rsidP="00741381">
      <w:pPr>
        <w:pStyle w:val="Kommentartekst"/>
        <w:rPr>
          <w:b/>
          <w:sz w:val="18"/>
          <w:szCs w:val="18"/>
        </w:rPr>
      </w:pPr>
    </w:p>
    <w:p w:rsidR="00741381" w:rsidRPr="009A3BBE" w:rsidRDefault="00741381" w:rsidP="00741381">
      <w:pPr>
        <w:pStyle w:val="Kommentartekst"/>
        <w:rPr>
          <w:b/>
          <w:sz w:val="18"/>
          <w:szCs w:val="18"/>
        </w:rPr>
      </w:pPr>
    </w:p>
    <w:p w:rsidR="00741381" w:rsidRPr="009A3BBE" w:rsidRDefault="00741381" w:rsidP="00741381">
      <w:pPr>
        <w:pStyle w:val="Kommentartekst"/>
        <w:rPr>
          <w:b/>
          <w:sz w:val="18"/>
          <w:szCs w:val="18"/>
        </w:rPr>
      </w:pPr>
    </w:p>
    <w:p w:rsidR="00741381" w:rsidRPr="009A3BBE" w:rsidRDefault="00741381" w:rsidP="00741381">
      <w:pPr>
        <w:pStyle w:val="Kommentartekst"/>
        <w:rPr>
          <w:b/>
          <w:sz w:val="18"/>
          <w:szCs w:val="18"/>
        </w:rPr>
      </w:pPr>
    </w:p>
    <w:p w:rsidR="00741381" w:rsidRPr="009A3BBE" w:rsidRDefault="00741381" w:rsidP="00741381">
      <w:pPr>
        <w:pStyle w:val="Kommentartekst"/>
        <w:rPr>
          <w:b/>
          <w:sz w:val="18"/>
          <w:szCs w:val="18"/>
        </w:rPr>
      </w:pPr>
    </w:p>
    <w:p w:rsidR="00741381" w:rsidRPr="009A3BBE" w:rsidRDefault="00741381" w:rsidP="00741381">
      <w:pPr>
        <w:pStyle w:val="Kommentartekst"/>
        <w:rPr>
          <w:b/>
          <w:sz w:val="18"/>
          <w:szCs w:val="18"/>
        </w:rPr>
      </w:pPr>
    </w:p>
    <w:p w:rsidR="00741381" w:rsidRPr="009A3BBE" w:rsidRDefault="00741381" w:rsidP="00741381">
      <w:pPr>
        <w:pStyle w:val="Kommentartekst"/>
        <w:rPr>
          <w:b/>
          <w:sz w:val="18"/>
          <w:szCs w:val="18"/>
        </w:rPr>
      </w:pPr>
    </w:p>
    <w:p w:rsidR="00741381" w:rsidRPr="009A3BBE" w:rsidRDefault="00741381" w:rsidP="00741381">
      <w:pPr>
        <w:pStyle w:val="Kommentartekst"/>
        <w:rPr>
          <w:b/>
          <w:sz w:val="18"/>
          <w:szCs w:val="18"/>
        </w:rPr>
      </w:pPr>
    </w:p>
    <w:p w:rsidR="00741381" w:rsidRPr="009A3BBE" w:rsidRDefault="00741381" w:rsidP="00741381">
      <w:pPr>
        <w:pStyle w:val="Kommentartekst"/>
        <w:rPr>
          <w:b/>
          <w:sz w:val="18"/>
          <w:szCs w:val="18"/>
        </w:rPr>
      </w:pPr>
    </w:p>
    <w:p w:rsidR="00741381" w:rsidRPr="009A3BBE" w:rsidRDefault="00741381" w:rsidP="00741381">
      <w:pPr>
        <w:pStyle w:val="Kommentartekst"/>
        <w:rPr>
          <w:b/>
          <w:sz w:val="18"/>
          <w:szCs w:val="18"/>
        </w:rPr>
      </w:pPr>
    </w:p>
    <w:p w:rsidR="00741381" w:rsidRPr="009A3BBE" w:rsidRDefault="00741381" w:rsidP="00741381">
      <w:pPr>
        <w:pStyle w:val="Kommentartekst"/>
        <w:rPr>
          <w:b/>
          <w:sz w:val="18"/>
          <w:szCs w:val="18"/>
        </w:rPr>
      </w:pPr>
    </w:p>
    <w:p w:rsidR="00741381" w:rsidRPr="009A3BBE" w:rsidRDefault="00741381" w:rsidP="00741381">
      <w:pPr>
        <w:pStyle w:val="Kommentartekst"/>
        <w:rPr>
          <w:b/>
          <w:sz w:val="18"/>
          <w:szCs w:val="18"/>
        </w:rPr>
      </w:pPr>
    </w:p>
    <w:p w:rsidR="00741381" w:rsidRPr="009A3BBE" w:rsidRDefault="00741381" w:rsidP="00741381">
      <w:pPr>
        <w:pStyle w:val="Kommentartekst"/>
        <w:rPr>
          <w:b/>
          <w:sz w:val="18"/>
          <w:szCs w:val="18"/>
        </w:rPr>
      </w:pPr>
    </w:p>
    <w:p w:rsidR="00741381" w:rsidRPr="009A3BBE" w:rsidRDefault="00741381" w:rsidP="00741381">
      <w:pPr>
        <w:pStyle w:val="Kommentartekst"/>
        <w:rPr>
          <w:b/>
          <w:sz w:val="18"/>
          <w:szCs w:val="18"/>
        </w:rPr>
      </w:pPr>
    </w:p>
    <w:p w:rsidR="00741381" w:rsidRPr="009A3BBE" w:rsidRDefault="00741381" w:rsidP="00741381">
      <w:pPr>
        <w:pStyle w:val="Kommentartekst"/>
        <w:rPr>
          <w:b/>
          <w:sz w:val="18"/>
          <w:szCs w:val="18"/>
        </w:rPr>
      </w:pPr>
    </w:p>
    <w:p w:rsidR="00741381" w:rsidRPr="009A3BBE" w:rsidRDefault="00741381" w:rsidP="00741381">
      <w:pPr>
        <w:pStyle w:val="Kommentartekst"/>
        <w:rPr>
          <w:b/>
          <w:sz w:val="18"/>
          <w:szCs w:val="18"/>
        </w:rPr>
      </w:pPr>
    </w:p>
    <w:p w:rsidR="007F3D17" w:rsidRDefault="007F3D17" w:rsidP="00AA7D0C">
      <w:pPr>
        <w:pStyle w:val="Overskrift1"/>
        <w:rPr>
          <w:b/>
          <w:sz w:val="24"/>
          <w:szCs w:val="24"/>
        </w:rPr>
      </w:pPr>
    </w:p>
    <w:p w:rsidR="00722EE8" w:rsidRPr="00DE34C1" w:rsidRDefault="00722EE8" w:rsidP="00AA7D0C">
      <w:pPr>
        <w:pStyle w:val="Overskrift1"/>
        <w:rPr>
          <w:b/>
          <w:sz w:val="24"/>
          <w:szCs w:val="24"/>
        </w:rPr>
      </w:pPr>
      <w:bookmarkStart w:id="98" w:name="_Toc391624722"/>
      <w:r w:rsidRPr="00DE34C1">
        <w:rPr>
          <w:b/>
          <w:sz w:val="24"/>
          <w:szCs w:val="24"/>
        </w:rPr>
        <w:t>Referencer</w:t>
      </w:r>
      <w:bookmarkEnd w:id="98"/>
    </w:p>
    <w:sectPr w:rsidR="00722EE8" w:rsidRPr="00DE34C1" w:rsidSect="00B0008E">
      <w:headerReference w:type="default" r:id="rId41"/>
      <w:footerReference w:type="default" r:id="rId42"/>
      <w:headerReference w:type="first" r:id="rId43"/>
      <w:footerReference w:type="first" r:id="rId44"/>
      <w:footnotePr>
        <w:numFmt w:val="lowerLetter"/>
      </w:footnotePr>
      <w:endnotePr>
        <w:numFmt w:val="decimal"/>
      </w:endnotePr>
      <w:pgSz w:w="11906" w:h="16838" w:code="9"/>
      <w:pgMar w:top="3232" w:right="1134" w:bottom="1588" w:left="1134" w:header="1134" w:footer="7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5849" w:rsidRDefault="00E95849" w:rsidP="00E61547">
      <w:pPr>
        <w:spacing w:line="240" w:lineRule="auto"/>
      </w:pPr>
      <w:r>
        <w:separator/>
      </w:r>
    </w:p>
  </w:endnote>
  <w:endnote w:type="continuationSeparator" w:id="0">
    <w:p w:rsidR="00E95849" w:rsidRDefault="00E95849" w:rsidP="00E61547">
      <w:pPr>
        <w:spacing w:line="240" w:lineRule="auto"/>
      </w:pPr>
      <w:r>
        <w:continuationSeparator/>
      </w:r>
    </w:p>
  </w:endnote>
  <w:endnote w:id="1">
    <w:p w:rsidR="00E95849" w:rsidRPr="0026102B" w:rsidRDefault="00E95849">
      <w:pPr>
        <w:pStyle w:val="Slutnotetekst"/>
        <w:rPr>
          <w:rFonts w:cstheme="minorHAnsi"/>
        </w:rPr>
      </w:pPr>
      <w:r w:rsidRPr="00B2578B">
        <w:rPr>
          <w:rStyle w:val="Slutnotehenvisning"/>
          <w:rFonts w:cstheme="minorHAnsi"/>
          <w:sz w:val="22"/>
          <w:szCs w:val="22"/>
        </w:rPr>
        <w:endnoteRef/>
      </w:r>
      <w:r w:rsidRPr="00B2578B">
        <w:rPr>
          <w:rFonts w:cstheme="minorHAnsi"/>
          <w:sz w:val="22"/>
          <w:szCs w:val="22"/>
        </w:rPr>
        <w:t xml:space="preserve"> </w:t>
      </w:r>
      <w:r w:rsidRPr="0026102B">
        <w:rPr>
          <w:rFonts w:cstheme="minorHAnsi"/>
        </w:rPr>
        <w:t xml:space="preserve">Sundhedsstyrelsen 9. november 2011. Monitorering af kronisk sygdom. Besøgt den 28. april 2014: </w:t>
      </w:r>
      <w:hyperlink r:id="rId1" w:history="1">
        <w:r w:rsidRPr="0026102B">
          <w:rPr>
            <w:rStyle w:val="Hyperlink"/>
            <w:rFonts w:cstheme="minorHAnsi"/>
          </w:rPr>
          <w:t>http://www.ssi.dk/~/media/Indhold/DK%20-%20dansk/Sundhedsdata%20og%20it/NSF/Dataformidling/Sundhedsdata/Kommunale%20sundhedsindikatorer/Monitorering%20af%20kronisk%20sygdom.ashx</w:t>
        </w:r>
      </w:hyperlink>
    </w:p>
    <w:p w:rsidR="00E95849" w:rsidRPr="0026102B" w:rsidRDefault="00E95849">
      <w:pPr>
        <w:pStyle w:val="Slutnotetekst"/>
        <w:rPr>
          <w:rFonts w:cstheme="minorHAnsi"/>
        </w:rPr>
      </w:pPr>
    </w:p>
  </w:endnote>
  <w:endnote w:id="2">
    <w:p w:rsidR="00E95849" w:rsidRPr="0026102B" w:rsidRDefault="00E95849" w:rsidP="00F057C6">
      <w:pPr>
        <w:spacing w:line="360" w:lineRule="auto"/>
        <w:rPr>
          <w:rFonts w:cstheme="minorHAnsi"/>
          <w:szCs w:val="20"/>
        </w:rPr>
      </w:pPr>
      <w:r w:rsidRPr="0026102B">
        <w:rPr>
          <w:rStyle w:val="Slutnotehenvisning"/>
          <w:rFonts w:cstheme="minorHAnsi"/>
          <w:szCs w:val="20"/>
        </w:rPr>
        <w:endnoteRef/>
      </w:r>
      <w:r w:rsidRPr="0026102B">
        <w:rPr>
          <w:rFonts w:cstheme="minorHAnsi"/>
          <w:szCs w:val="20"/>
        </w:rPr>
        <w:t xml:space="preserve"> </w:t>
      </w:r>
      <w:r>
        <w:rPr>
          <w:rFonts w:cstheme="minorHAnsi"/>
          <w:szCs w:val="20"/>
        </w:rPr>
        <w:t xml:space="preserve">Diabetesforeningen. Diabetes i Danmark. Besøgt den 24. juni 2014 </w:t>
      </w:r>
      <w:hyperlink r:id="rId2" w:history="1">
        <w:r w:rsidRPr="0026102B">
          <w:rPr>
            <w:rStyle w:val="Hyperlink"/>
            <w:rFonts w:cstheme="minorHAnsi"/>
            <w:szCs w:val="20"/>
          </w:rPr>
          <w:t>http://www.diabetes.dk/presse/diabetes-i-tal/diabetes-i-danmark.aspx</w:t>
        </w:r>
      </w:hyperlink>
    </w:p>
  </w:endnote>
  <w:endnote w:id="3">
    <w:p w:rsidR="00E95849" w:rsidRPr="0026102B" w:rsidRDefault="00E95849" w:rsidP="00F057C6">
      <w:pPr>
        <w:pStyle w:val="Slutnotetekst"/>
        <w:rPr>
          <w:rStyle w:val="Hyperlink"/>
          <w:rFonts w:cstheme="minorHAnsi"/>
        </w:rPr>
      </w:pPr>
      <w:r w:rsidRPr="0026102B">
        <w:rPr>
          <w:rStyle w:val="Slutnotehenvisning"/>
          <w:rFonts w:cstheme="minorHAnsi"/>
        </w:rPr>
        <w:endnoteRef/>
      </w:r>
      <w:r w:rsidRPr="0026102B">
        <w:rPr>
          <w:rFonts w:cstheme="minorHAnsi"/>
        </w:rPr>
        <w:t xml:space="preserve"> DSAM’s vejledning til type 2-diabetes. Besøgt 16. juni 2014 </w:t>
      </w:r>
      <w:hyperlink r:id="rId3" w:history="1">
        <w:r w:rsidRPr="0026102B">
          <w:rPr>
            <w:rStyle w:val="Hyperlink"/>
            <w:rFonts w:cstheme="minorHAnsi"/>
          </w:rPr>
          <w:t>http://vejledninger.dsam.dk/type2/?mode=visKapitel&amp;cid=532</w:t>
        </w:r>
      </w:hyperlink>
    </w:p>
    <w:p w:rsidR="00E95849" w:rsidRPr="0026102B" w:rsidRDefault="00E95849" w:rsidP="00F057C6">
      <w:pPr>
        <w:pStyle w:val="Slutnotetekst"/>
        <w:rPr>
          <w:rFonts w:cstheme="minorHAnsi"/>
        </w:rPr>
      </w:pPr>
    </w:p>
  </w:endnote>
  <w:endnote w:id="4">
    <w:p w:rsidR="00E95849" w:rsidRPr="0026102B" w:rsidRDefault="00E95849" w:rsidP="00F057C6">
      <w:pPr>
        <w:pStyle w:val="Slutnotetekst"/>
        <w:rPr>
          <w:rStyle w:val="Hyperlink"/>
          <w:rFonts w:cstheme="minorHAnsi"/>
        </w:rPr>
      </w:pPr>
      <w:r w:rsidRPr="0026102B">
        <w:rPr>
          <w:rStyle w:val="Slutnotehenvisning"/>
          <w:rFonts w:cstheme="minorHAnsi"/>
        </w:rPr>
        <w:endnoteRef/>
      </w:r>
      <w:r w:rsidRPr="0026102B">
        <w:rPr>
          <w:rFonts w:cstheme="minorHAnsi"/>
        </w:rPr>
        <w:t xml:space="preserve"> Sundhedsstyrelsen 2014. Danskernes Sundhed, Den Nationale Sundhedsprofil 2013. </w:t>
      </w:r>
      <w:hyperlink r:id="rId4" w:history="1">
        <w:r w:rsidRPr="0026102B">
          <w:rPr>
            <w:rStyle w:val="Hyperlink"/>
            <w:rFonts w:cstheme="minorHAnsi"/>
          </w:rPr>
          <w:t>http://sundhedsstyrelsen.dk/~/media/1529A4BCF9C64905BAC650B6C45B72A5.ashx</w:t>
        </w:r>
      </w:hyperlink>
    </w:p>
    <w:p w:rsidR="00E95849" w:rsidRPr="0026102B" w:rsidRDefault="00E95849" w:rsidP="00F057C6">
      <w:pPr>
        <w:pStyle w:val="Slutnotetekst"/>
        <w:rPr>
          <w:rFonts w:cstheme="minorHAnsi"/>
        </w:rPr>
      </w:pPr>
    </w:p>
  </w:endnote>
  <w:endnote w:id="5">
    <w:p w:rsidR="00E95849" w:rsidRPr="0026102B" w:rsidRDefault="00E95849" w:rsidP="00F057C6">
      <w:pPr>
        <w:pStyle w:val="Slutnotetekst"/>
        <w:rPr>
          <w:rFonts w:cstheme="minorHAnsi"/>
        </w:rPr>
      </w:pPr>
      <w:r w:rsidRPr="0026102B">
        <w:rPr>
          <w:rStyle w:val="Slutnotehenvisning"/>
          <w:rFonts w:cstheme="minorHAnsi"/>
        </w:rPr>
        <w:endnoteRef/>
      </w:r>
      <w:r w:rsidRPr="0026102B">
        <w:rPr>
          <w:rFonts w:cstheme="minorHAnsi"/>
        </w:rPr>
        <w:t xml:space="preserve"> Sundhedsstyrelsen. Sådan dannes Det Nationale Diabetesregister. </w:t>
      </w:r>
      <w:hyperlink r:id="rId5" w:history="1">
        <w:r w:rsidRPr="0026102B">
          <w:rPr>
            <w:rStyle w:val="Hyperlink"/>
            <w:rFonts w:cstheme="minorHAnsi"/>
          </w:rPr>
          <w:t>http://www.ssi.dk/Sundhedsdataogit/Registre/~/media/Indhold/DK%20-%20dansk/Sundhedsdata%20og%20it/NSF/Registre/Diabetesregisteret/S%C3%A5dan%20dannes%20Det%20Nationale%20Diabetesregister.ashx</w:t>
        </w:r>
      </w:hyperlink>
    </w:p>
    <w:p w:rsidR="00E95849" w:rsidRPr="0026102B" w:rsidRDefault="00E95849" w:rsidP="00F057C6">
      <w:pPr>
        <w:pStyle w:val="Slutnotetekst"/>
        <w:rPr>
          <w:rFonts w:cstheme="minorHAnsi"/>
        </w:rPr>
      </w:pPr>
    </w:p>
  </w:endnote>
  <w:endnote w:id="6">
    <w:p w:rsidR="00E95849" w:rsidRDefault="00E95849">
      <w:pPr>
        <w:pStyle w:val="Slutnotetekst"/>
      </w:pPr>
      <w:r>
        <w:rPr>
          <w:rStyle w:val="Slutnotehenvisning"/>
        </w:rPr>
        <w:endnoteRef/>
      </w:r>
      <w:r>
        <w:t xml:space="preserve"> Sundhedsstyrelsen 2014. National klinisk retningslinje for polycystisk ovariesyndrom (PCOS) – diagnostik og risikovurdering. </w:t>
      </w:r>
      <w:hyperlink r:id="rId6" w:history="1">
        <w:r w:rsidRPr="00B12FD3">
          <w:rPr>
            <w:rStyle w:val="Hyperlink"/>
          </w:rPr>
          <w:t>http://sundhedsstyrelsen.dk/da/nyheder/2014/national-klinisk-retningslinje-for-polycystisk-ovarie-syndrom-pcos-diagnostik-og-risikovurdering</w:t>
        </w:r>
      </w:hyperlink>
    </w:p>
    <w:p w:rsidR="00E95849" w:rsidRDefault="00E95849">
      <w:pPr>
        <w:pStyle w:val="Slutnotetekst"/>
      </w:pPr>
    </w:p>
  </w:endnote>
  <w:endnote w:id="7">
    <w:p w:rsidR="00E95849" w:rsidRPr="0026102B" w:rsidRDefault="00E95849" w:rsidP="00E26797">
      <w:pPr>
        <w:pStyle w:val="Slutnotetekst"/>
        <w:rPr>
          <w:rFonts w:cstheme="minorHAnsi"/>
        </w:rPr>
      </w:pPr>
      <w:r w:rsidRPr="0026102B">
        <w:rPr>
          <w:rStyle w:val="Slutnotehenvisning"/>
          <w:rFonts w:cstheme="minorHAnsi"/>
        </w:rPr>
        <w:endnoteRef/>
      </w:r>
      <w:r w:rsidRPr="0026102B">
        <w:rPr>
          <w:rFonts w:cstheme="minorHAnsi"/>
        </w:rPr>
        <w:t xml:space="preserve"> Sundhedsstyrelsen 2014. Nationalt spørgeskema. Besøgt den 15. maj 2014 </w:t>
      </w:r>
      <w:hyperlink r:id="rId7" w:history="1">
        <w:r w:rsidRPr="0026102B">
          <w:rPr>
            <w:rStyle w:val="Hyperlink"/>
            <w:rFonts w:cstheme="minorHAnsi"/>
          </w:rPr>
          <w:t>https://sundhedsstyrelsen.dk/da/sundhed/planlaegning-og-beredskab/kommuner/~/media/278C35C3306C418687FB70FAA147E3B5.ashx?m=.pdf</w:t>
        </w:r>
      </w:hyperlink>
      <w:r w:rsidRPr="0026102B">
        <w:rPr>
          <w:rFonts w:cstheme="minorHAnsi"/>
        </w:rPr>
        <w:t xml:space="preserve"> </w:t>
      </w:r>
    </w:p>
    <w:p w:rsidR="00E95849" w:rsidRPr="0026102B" w:rsidRDefault="00E95849" w:rsidP="00E26797">
      <w:pPr>
        <w:pStyle w:val="Slutnotetekst"/>
        <w:rPr>
          <w:rFonts w:cstheme="minorHAnsi"/>
        </w:rPr>
      </w:pPr>
    </w:p>
  </w:endnote>
  <w:endnote w:id="8">
    <w:p w:rsidR="00E95849" w:rsidRPr="0026102B" w:rsidRDefault="00E95849" w:rsidP="00E26797">
      <w:pPr>
        <w:pStyle w:val="Slutnotetekst"/>
        <w:rPr>
          <w:rFonts w:cstheme="minorHAnsi"/>
        </w:rPr>
      </w:pPr>
      <w:r w:rsidRPr="0026102B">
        <w:rPr>
          <w:rStyle w:val="Slutnotehenvisning"/>
          <w:rFonts w:cstheme="minorHAnsi"/>
        </w:rPr>
        <w:endnoteRef/>
      </w:r>
      <w:r w:rsidRPr="0026102B">
        <w:rPr>
          <w:rFonts w:cstheme="minorHAnsi"/>
        </w:rPr>
        <w:t xml:space="preserve"> Lægehåndbogen, besøgt den 15. maj 2014 på </w:t>
      </w:r>
      <w:hyperlink r:id="rId8" w:history="1">
        <w:r w:rsidRPr="0026102B">
          <w:rPr>
            <w:rStyle w:val="Hyperlink"/>
            <w:rFonts w:cstheme="minorHAnsi"/>
          </w:rPr>
          <w:t>https://www.sundhed.dk/sundhedsfaglig/laegehaandbogen/lunger/tilstande-og-sygdomme/obstruktive-lungesygdomme/kol/</w:t>
        </w:r>
      </w:hyperlink>
      <w:r w:rsidRPr="0026102B">
        <w:rPr>
          <w:rFonts w:cstheme="minorHAnsi"/>
        </w:rPr>
        <w:t xml:space="preserve"> </w:t>
      </w:r>
    </w:p>
    <w:p w:rsidR="00E95849" w:rsidRPr="0026102B" w:rsidRDefault="00E95849" w:rsidP="00E26797">
      <w:pPr>
        <w:pStyle w:val="Slutnotetekst"/>
        <w:rPr>
          <w:rFonts w:cstheme="minorHAnsi"/>
        </w:rPr>
      </w:pPr>
    </w:p>
  </w:endnote>
  <w:endnote w:id="9">
    <w:p w:rsidR="00E95849" w:rsidRPr="0026102B" w:rsidRDefault="00E95849" w:rsidP="00E26797">
      <w:pPr>
        <w:pStyle w:val="Slutnotetekst"/>
        <w:rPr>
          <w:rFonts w:cstheme="minorHAnsi"/>
          <w:lang w:val="en-US"/>
        </w:rPr>
      </w:pPr>
      <w:r w:rsidRPr="0026102B">
        <w:rPr>
          <w:rStyle w:val="Slutnotehenvisning"/>
          <w:rFonts w:cstheme="minorHAnsi"/>
        </w:rPr>
        <w:endnoteRef/>
      </w:r>
      <w:r w:rsidRPr="0026102B">
        <w:rPr>
          <w:rFonts w:cstheme="minorHAnsi"/>
          <w:lang w:val="en-US"/>
        </w:rPr>
        <w:t xml:space="preserve"> Løkke A, Hilberg O, Kjellberg J, Ibsen R, Jennum P. Economic and health Consequences of COPD Patients and Their Spouses in Denmark – 1998-2010, COPD,00, 1-10, 2013</w:t>
      </w:r>
    </w:p>
    <w:p w:rsidR="00E95849" w:rsidRPr="0026102B" w:rsidRDefault="00E95849" w:rsidP="00E26797">
      <w:pPr>
        <w:pStyle w:val="Slutnotetekst"/>
        <w:rPr>
          <w:rFonts w:cstheme="minorHAnsi"/>
          <w:lang w:val="en-US"/>
        </w:rPr>
      </w:pPr>
    </w:p>
  </w:endnote>
  <w:endnote w:id="10">
    <w:p w:rsidR="00E95849" w:rsidRPr="0026102B" w:rsidRDefault="00E95849" w:rsidP="00E26797">
      <w:pPr>
        <w:autoSpaceDE w:val="0"/>
        <w:autoSpaceDN w:val="0"/>
        <w:adjustRightInd w:val="0"/>
        <w:spacing w:line="240" w:lineRule="auto"/>
        <w:rPr>
          <w:rFonts w:cstheme="minorHAnsi"/>
          <w:color w:val="000000"/>
          <w:szCs w:val="20"/>
          <w:lang w:val="en-US"/>
        </w:rPr>
      </w:pPr>
      <w:r w:rsidRPr="0026102B">
        <w:rPr>
          <w:rStyle w:val="Slutnotehenvisning"/>
          <w:rFonts w:cstheme="minorHAnsi"/>
          <w:szCs w:val="20"/>
        </w:rPr>
        <w:endnoteRef/>
      </w:r>
      <w:r w:rsidRPr="0026102B">
        <w:rPr>
          <w:rFonts w:cstheme="minorHAnsi"/>
          <w:szCs w:val="20"/>
        </w:rPr>
        <w:t xml:space="preserve"> </w:t>
      </w:r>
      <w:r w:rsidRPr="0026102B">
        <w:rPr>
          <w:rFonts w:cstheme="minorHAnsi"/>
          <w:color w:val="000000"/>
          <w:szCs w:val="20"/>
        </w:rPr>
        <w:t xml:space="preserve">Løkke A, Hilberg O, Tønnesen P, et al. </w:t>
      </w:r>
      <w:r w:rsidRPr="0026102B">
        <w:rPr>
          <w:rFonts w:cstheme="minorHAnsi"/>
          <w:color w:val="000000"/>
          <w:szCs w:val="20"/>
          <w:lang w:val="en-US"/>
        </w:rPr>
        <w:t>Direct and indirect economic and health consequences of COPD in</w:t>
      </w:r>
    </w:p>
    <w:p w:rsidR="00E95849" w:rsidRPr="0026102B" w:rsidRDefault="00E95849" w:rsidP="00E26797">
      <w:pPr>
        <w:autoSpaceDE w:val="0"/>
        <w:autoSpaceDN w:val="0"/>
        <w:adjustRightInd w:val="0"/>
        <w:spacing w:line="240" w:lineRule="auto"/>
        <w:rPr>
          <w:rFonts w:cstheme="minorHAnsi"/>
          <w:color w:val="000000"/>
          <w:szCs w:val="20"/>
          <w:lang w:val="en-US"/>
        </w:rPr>
      </w:pPr>
      <w:r w:rsidRPr="0026102B">
        <w:rPr>
          <w:rFonts w:cstheme="minorHAnsi"/>
          <w:color w:val="000000"/>
          <w:szCs w:val="20"/>
          <w:lang w:val="en-US"/>
        </w:rPr>
        <w:t>Denmark: a national registerbased study: 1998–2010. BMJ Open 2014;4:e004069. doi:10.1136/bmjopen-2013-004069</w:t>
      </w:r>
    </w:p>
    <w:p w:rsidR="00E95849" w:rsidRPr="0026102B" w:rsidRDefault="00E95849" w:rsidP="00E26797">
      <w:pPr>
        <w:autoSpaceDE w:val="0"/>
        <w:autoSpaceDN w:val="0"/>
        <w:adjustRightInd w:val="0"/>
        <w:spacing w:line="240" w:lineRule="auto"/>
        <w:rPr>
          <w:rFonts w:cstheme="minorHAnsi"/>
          <w:color w:val="000000"/>
          <w:szCs w:val="20"/>
          <w:lang w:val="en-US"/>
        </w:rPr>
      </w:pPr>
    </w:p>
  </w:endnote>
  <w:endnote w:id="11">
    <w:p w:rsidR="00E95849" w:rsidRPr="0026102B" w:rsidRDefault="00E95849" w:rsidP="00E26797">
      <w:pPr>
        <w:pStyle w:val="Slutnotetekst"/>
        <w:rPr>
          <w:rFonts w:cstheme="minorHAnsi"/>
        </w:rPr>
      </w:pPr>
      <w:r w:rsidRPr="0026102B">
        <w:rPr>
          <w:rStyle w:val="Slutnotehenvisning"/>
          <w:rFonts w:cstheme="minorHAnsi"/>
        </w:rPr>
        <w:endnoteRef/>
      </w:r>
      <w:r w:rsidRPr="0026102B">
        <w:rPr>
          <w:rFonts w:cstheme="minorHAnsi"/>
        </w:rPr>
        <w:t xml:space="preserve"> Løkke et al. Forekomst af kronisk obstruktiv lungesygdom i København. Resultater fra Østerbroundersøgelsen. Ugeskrift for Læger 2007;169;3956-3960.</w:t>
      </w:r>
    </w:p>
    <w:p w:rsidR="00E95849" w:rsidRPr="0026102B" w:rsidRDefault="00E95849" w:rsidP="00E26797">
      <w:pPr>
        <w:pStyle w:val="Slutnotetekst"/>
        <w:rPr>
          <w:rFonts w:cstheme="minorHAnsi"/>
        </w:rPr>
      </w:pPr>
    </w:p>
  </w:endnote>
  <w:endnote w:id="12">
    <w:p w:rsidR="00E95849" w:rsidRPr="0026102B" w:rsidRDefault="00E95849" w:rsidP="00E26797">
      <w:pPr>
        <w:pStyle w:val="Slutnotetekst"/>
        <w:rPr>
          <w:rFonts w:cstheme="minorHAnsi"/>
        </w:rPr>
      </w:pPr>
      <w:r w:rsidRPr="0026102B">
        <w:rPr>
          <w:rStyle w:val="Slutnotehenvisning"/>
          <w:rFonts w:cstheme="minorHAnsi"/>
        </w:rPr>
        <w:endnoteRef/>
      </w:r>
      <w:r w:rsidRPr="0026102B">
        <w:rPr>
          <w:rFonts w:cstheme="minorHAnsi"/>
        </w:rPr>
        <w:t xml:space="preserve"> Hansen JG et al. Prævalens af kronisk obstruktiv lungesygdom – sekundærpublikation. Ugeskrift for Læger 2009; 171;2986-2988.</w:t>
      </w:r>
    </w:p>
    <w:p w:rsidR="00E95849" w:rsidRPr="0026102B" w:rsidRDefault="00E95849" w:rsidP="00E26797">
      <w:pPr>
        <w:pStyle w:val="Slutnotetekst"/>
        <w:rPr>
          <w:rFonts w:cstheme="minorHAnsi"/>
        </w:rPr>
      </w:pPr>
    </w:p>
  </w:endnote>
  <w:endnote w:id="13">
    <w:p w:rsidR="00E95849" w:rsidRPr="0026102B" w:rsidRDefault="00E95849" w:rsidP="00E26797">
      <w:pPr>
        <w:pStyle w:val="Slutnotetekst"/>
        <w:rPr>
          <w:rFonts w:cstheme="minorHAnsi"/>
        </w:rPr>
      </w:pPr>
      <w:r w:rsidRPr="0026102B">
        <w:rPr>
          <w:rStyle w:val="Slutnotehenvisning"/>
          <w:rFonts w:cstheme="minorHAnsi"/>
        </w:rPr>
        <w:endnoteRef/>
      </w:r>
      <w:r w:rsidRPr="0026102B">
        <w:rPr>
          <w:rFonts w:cstheme="minorHAnsi"/>
        </w:rPr>
        <w:t xml:space="preserve"> Dagens Medicin. Allergikere får plastre og tabletter, mens astmatikere får KOL-medicin. Nyhed 22. marts 2013</w:t>
      </w:r>
    </w:p>
    <w:p w:rsidR="00E95849" w:rsidRPr="0026102B" w:rsidRDefault="00E95849" w:rsidP="00E26797">
      <w:pPr>
        <w:pStyle w:val="Slutnotetekst"/>
        <w:rPr>
          <w:rFonts w:cstheme="minorHAnsi"/>
        </w:rPr>
      </w:pPr>
    </w:p>
  </w:endnote>
  <w:endnote w:id="14">
    <w:p w:rsidR="00E95849" w:rsidRPr="0026102B" w:rsidRDefault="00E95849" w:rsidP="005F3F11">
      <w:pPr>
        <w:pStyle w:val="Slutnotetekst"/>
        <w:rPr>
          <w:rFonts w:cstheme="minorHAnsi"/>
        </w:rPr>
      </w:pPr>
      <w:r w:rsidRPr="0026102B">
        <w:rPr>
          <w:rStyle w:val="Slutnotehenvisning"/>
          <w:rFonts w:cstheme="minorHAnsi"/>
        </w:rPr>
        <w:endnoteRef/>
      </w:r>
      <w:r w:rsidRPr="0026102B">
        <w:rPr>
          <w:rFonts w:cstheme="minorHAnsi"/>
        </w:rPr>
        <w:t xml:space="preserve"> Medicin til børn – praktiske anbefalinger til almen praksis. Rationel Farmakoterapi 1 januar 2014, </w:t>
      </w:r>
      <w:hyperlink r:id="rId9" w:history="1">
        <w:r w:rsidRPr="0026102B">
          <w:rPr>
            <w:rStyle w:val="Hyperlink"/>
            <w:rFonts w:cstheme="minorHAnsi"/>
          </w:rPr>
          <w:t>http://www.irf.dk/download/Maanedsblad/rationelfarmakoterapi_feb14.pdf</w:t>
        </w:r>
      </w:hyperlink>
      <w:r w:rsidRPr="0026102B">
        <w:rPr>
          <w:rFonts w:cstheme="minorHAnsi"/>
        </w:rPr>
        <w:t xml:space="preserve"> </w:t>
      </w:r>
    </w:p>
    <w:p w:rsidR="00E95849" w:rsidRPr="0026102B" w:rsidRDefault="00E95849" w:rsidP="005F3F11">
      <w:pPr>
        <w:pStyle w:val="Slutnotetekst"/>
        <w:rPr>
          <w:rFonts w:cstheme="minorHAnsi"/>
        </w:rPr>
      </w:pPr>
    </w:p>
  </w:endnote>
  <w:endnote w:id="15">
    <w:p w:rsidR="00E95849" w:rsidRPr="0026102B" w:rsidRDefault="00E95849" w:rsidP="005F3F11">
      <w:pPr>
        <w:pStyle w:val="Slutnotetekst"/>
        <w:rPr>
          <w:rFonts w:cstheme="minorHAnsi"/>
        </w:rPr>
      </w:pPr>
      <w:r w:rsidRPr="0026102B">
        <w:rPr>
          <w:rStyle w:val="Slutnotehenvisning"/>
          <w:rFonts w:cstheme="minorHAnsi"/>
        </w:rPr>
        <w:endnoteRef/>
      </w:r>
      <w:r w:rsidRPr="0026102B">
        <w:rPr>
          <w:rFonts w:cstheme="minorHAnsi"/>
        </w:rPr>
        <w:t xml:space="preserve"> Praksis.dk Børneastma. Forløbsbeskrivelse. Besøgt den 15. maj 2014 på </w:t>
      </w:r>
      <w:hyperlink r:id="rId10" w:history="1">
        <w:r w:rsidRPr="0026102B">
          <w:rPr>
            <w:rStyle w:val="Hyperlink"/>
            <w:rFonts w:cstheme="minorHAnsi"/>
          </w:rPr>
          <w:t>https://www.sundhed.dk/sundhedsfaglig/praksisinformation/almen-praksis/midtjylland/patientforloeb/forloebsbeskrivelser/r-luftveje/boerneastma/</w:t>
        </w:r>
      </w:hyperlink>
      <w:r w:rsidRPr="0026102B">
        <w:rPr>
          <w:rFonts w:cstheme="minorHAnsi"/>
        </w:rPr>
        <w:t xml:space="preserve"> </w:t>
      </w:r>
    </w:p>
    <w:p w:rsidR="00E95849" w:rsidRPr="0026102B" w:rsidRDefault="00E95849" w:rsidP="005F3F11">
      <w:pPr>
        <w:pStyle w:val="Slutnotetekst"/>
        <w:rPr>
          <w:rFonts w:cstheme="minorHAnsi"/>
        </w:rPr>
      </w:pPr>
    </w:p>
  </w:endnote>
  <w:endnote w:id="16">
    <w:p w:rsidR="00E95849" w:rsidRPr="0026102B" w:rsidRDefault="00E95849" w:rsidP="005F3F11">
      <w:pPr>
        <w:pStyle w:val="Slutnotetekst"/>
        <w:rPr>
          <w:rFonts w:cstheme="minorHAnsi"/>
        </w:rPr>
      </w:pPr>
      <w:r w:rsidRPr="0026102B">
        <w:rPr>
          <w:rStyle w:val="Slutnotehenvisning"/>
          <w:rFonts w:cstheme="minorHAnsi"/>
        </w:rPr>
        <w:endnoteRef/>
      </w:r>
      <w:r w:rsidRPr="0026102B">
        <w:rPr>
          <w:rFonts w:cstheme="minorHAnsi"/>
        </w:rPr>
        <w:t xml:space="preserve"> Lægehåndbogen. Astma hos børn. Besøgt den 15. maj 2014 på </w:t>
      </w:r>
      <w:hyperlink r:id="rId11" w:history="1">
        <w:r w:rsidRPr="0026102B">
          <w:rPr>
            <w:rStyle w:val="Hyperlink"/>
            <w:rFonts w:cstheme="minorHAnsi"/>
          </w:rPr>
          <w:t>https://www.sundhed.dk/sundhedsfaglig/laegehaandbogen/paediatri/tilstande-og-sygdomme/lunger-og-luftveje/astma-hos-boern/</w:t>
        </w:r>
      </w:hyperlink>
      <w:r w:rsidRPr="0026102B">
        <w:rPr>
          <w:rFonts w:cstheme="minorHAnsi"/>
        </w:rPr>
        <w:t xml:space="preserve"> </w:t>
      </w:r>
    </w:p>
    <w:p w:rsidR="00E95849" w:rsidRPr="0026102B" w:rsidRDefault="00E95849" w:rsidP="005F3F11">
      <w:pPr>
        <w:pStyle w:val="Slutnotetekst"/>
        <w:rPr>
          <w:rFonts w:cstheme="minorHAnsi"/>
        </w:rPr>
      </w:pPr>
    </w:p>
  </w:endnote>
  <w:endnote w:id="17">
    <w:p w:rsidR="00E95849" w:rsidRPr="0026102B" w:rsidRDefault="00E95849" w:rsidP="00885C88">
      <w:pPr>
        <w:spacing w:line="360" w:lineRule="auto"/>
        <w:rPr>
          <w:rFonts w:cstheme="minorHAnsi"/>
          <w:szCs w:val="20"/>
        </w:rPr>
      </w:pPr>
      <w:r w:rsidRPr="0026102B">
        <w:rPr>
          <w:rStyle w:val="Slutnotehenvisning"/>
          <w:rFonts w:cstheme="minorHAnsi"/>
          <w:szCs w:val="20"/>
        </w:rPr>
        <w:endnoteRef/>
      </w:r>
      <w:r w:rsidRPr="0026102B">
        <w:rPr>
          <w:rFonts w:cstheme="minorHAnsi"/>
          <w:szCs w:val="20"/>
        </w:rPr>
        <w:t xml:space="preserve"> Sundhedsstyrelsen 2011 (Indikation, nyhedsbrev fra Lægemiddelstyrelsen), udgivet 27. maj 2011 </w:t>
      </w:r>
      <w:hyperlink r:id="rId12" w:history="1">
        <w:r w:rsidRPr="0026102B">
          <w:rPr>
            <w:rStyle w:val="Hyperlink"/>
            <w:rFonts w:cstheme="minorHAnsi"/>
            <w:szCs w:val="20"/>
          </w:rPr>
          <w:t>http://sundhedsstyrelsen.dk/da/nyheder/2011/~/media/BC80FEF67D0348A09A05A62C8CC4A445.ashx?m=.pdf</w:t>
        </w:r>
      </w:hyperlink>
    </w:p>
    <w:p w:rsidR="00E95849" w:rsidRPr="0026102B" w:rsidRDefault="00E95849" w:rsidP="00885C88">
      <w:pPr>
        <w:pStyle w:val="Slutnotetekst"/>
        <w:rPr>
          <w:rFonts w:cstheme="minorHAnsi"/>
        </w:rPr>
      </w:pPr>
    </w:p>
  </w:endnote>
  <w:endnote w:id="18">
    <w:p w:rsidR="00E95849" w:rsidRPr="0026102B" w:rsidRDefault="00E95849" w:rsidP="00ED7EFD">
      <w:pPr>
        <w:spacing w:line="360" w:lineRule="auto"/>
        <w:rPr>
          <w:rStyle w:val="Hyperlink"/>
          <w:rFonts w:cstheme="minorHAnsi"/>
          <w:szCs w:val="20"/>
        </w:rPr>
      </w:pPr>
      <w:r w:rsidRPr="0026102B">
        <w:rPr>
          <w:rStyle w:val="Slutnotehenvisning"/>
          <w:rFonts w:cstheme="minorHAnsi"/>
          <w:szCs w:val="20"/>
        </w:rPr>
        <w:endnoteRef/>
      </w:r>
      <w:r w:rsidRPr="0026102B">
        <w:rPr>
          <w:rFonts w:cstheme="minorHAnsi"/>
          <w:szCs w:val="20"/>
        </w:rPr>
        <w:t xml:space="preserve"> Osteoporoseforeningen. Om knogleskørhed. Besøgt d. 16. juni 2014.</w:t>
      </w:r>
    </w:p>
    <w:p w:rsidR="00E95849" w:rsidRPr="0026102B" w:rsidRDefault="00E95849" w:rsidP="00885C88">
      <w:pPr>
        <w:spacing w:line="360" w:lineRule="auto"/>
        <w:rPr>
          <w:rStyle w:val="Hyperlink"/>
          <w:rFonts w:cstheme="minorHAnsi"/>
          <w:szCs w:val="20"/>
        </w:rPr>
      </w:pPr>
      <w:r w:rsidRPr="0026102B">
        <w:rPr>
          <w:rFonts w:cstheme="minorHAnsi"/>
          <w:szCs w:val="20"/>
        </w:rPr>
        <w:t xml:space="preserve"> </w:t>
      </w:r>
      <w:hyperlink r:id="rId13" w:history="1">
        <w:r w:rsidRPr="0026102B">
          <w:rPr>
            <w:rStyle w:val="Hyperlink"/>
            <w:rFonts w:cstheme="minorHAnsi"/>
            <w:szCs w:val="20"/>
          </w:rPr>
          <w:t>http://www.osteoporose-f.dk/om-knogleskoerhed</w:t>
        </w:r>
      </w:hyperlink>
      <w:r w:rsidRPr="0026102B">
        <w:rPr>
          <w:rFonts w:cstheme="minorHAnsi"/>
          <w:szCs w:val="20"/>
        </w:rPr>
        <w:t xml:space="preserve">  </w:t>
      </w:r>
    </w:p>
    <w:p w:rsidR="00E95849" w:rsidRPr="0026102B" w:rsidRDefault="00E95849" w:rsidP="00885C88">
      <w:pPr>
        <w:pStyle w:val="Slutnotetekst"/>
        <w:rPr>
          <w:rFonts w:cstheme="minorHAnsi"/>
        </w:rPr>
      </w:pPr>
    </w:p>
  </w:endnote>
  <w:endnote w:id="19">
    <w:p w:rsidR="00E95849" w:rsidRPr="0026102B" w:rsidRDefault="00E95849" w:rsidP="00885C88">
      <w:pPr>
        <w:spacing w:line="360" w:lineRule="auto"/>
        <w:rPr>
          <w:rFonts w:cstheme="minorHAnsi"/>
          <w:szCs w:val="20"/>
        </w:rPr>
      </w:pPr>
      <w:r w:rsidRPr="0026102B">
        <w:rPr>
          <w:rStyle w:val="Slutnotehenvisning"/>
          <w:rFonts w:cstheme="minorHAnsi"/>
          <w:szCs w:val="20"/>
        </w:rPr>
        <w:endnoteRef/>
      </w:r>
      <w:r w:rsidRPr="0026102B">
        <w:rPr>
          <w:rFonts w:cstheme="minorHAnsi"/>
          <w:szCs w:val="20"/>
        </w:rPr>
        <w:t xml:space="preserve"> Osteoporoseforeningen. Osteoporose kort fortalt. Besøgt d. 16. juni 2014. </w:t>
      </w:r>
      <w:hyperlink r:id="rId14" w:history="1">
        <w:r w:rsidRPr="0026102B">
          <w:rPr>
            <w:rStyle w:val="Hyperlink"/>
            <w:rFonts w:cstheme="minorHAnsi"/>
            <w:szCs w:val="20"/>
          </w:rPr>
          <w:t>http://www.knogleskor.dk/om_osteoporose-6.aspx</w:t>
        </w:r>
      </w:hyperlink>
      <w:r w:rsidRPr="0026102B">
        <w:rPr>
          <w:rFonts w:cstheme="minorHAnsi"/>
          <w:szCs w:val="20"/>
        </w:rPr>
        <w:t xml:space="preserve">. </w:t>
      </w:r>
    </w:p>
    <w:p w:rsidR="00E95849" w:rsidRPr="0026102B" w:rsidRDefault="00E95849" w:rsidP="00885C88">
      <w:pPr>
        <w:pStyle w:val="Slutnotetekst"/>
        <w:rPr>
          <w:rFonts w:cstheme="minorHAnsi"/>
        </w:rPr>
      </w:pPr>
    </w:p>
  </w:endnote>
  <w:endnote w:id="20">
    <w:p w:rsidR="00E95849" w:rsidRPr="0026102B" w:rsidRDefault="00E95849" w:rsidP="00885C88">
      <w:pPr>
        <w:spacing w:line="360" w:lineRule="auto"/>
        <w:rPr>
          <w:rFonts w:cstheme="minorHAnsi"/>
          <w:szCs w:val="20"/>
        </w:rPr>
      </w:pPr>
      <w:r w:rsidRPr="0026102B">
        <w:rPr>
          <w:rStyle w:val="Slutnotehenvisning"/>
          <w:rFonts w:cstheme="minorHAnsi"/>
          <w:szCs w:val="20"/>
        </w:rPr>
        <w:endnoteRef/>
      </w:r>
      <w:r w:rsidRPr="0026102B">
        <w:rPr>
          <w:rFonts w:cstheme="minorHAnsi"/>
          <w:szCs w:val="20"/>
        </w:rPr>
        <w:t xml:space="preserve"> Vi kan leve længere og sundere. Forebyggelseskommissionens anbefalinger til en styrket forebyggende indsats. Udgivet april 2009. </w:t>
      </w:r>
      <w:hyperlink r:id="rId15" w:history="1">
        <w:r w:rsidRPr="0026102B">
          <w:rPr>
            <w:rStyle w:val="Hyperlink"/>
            <w:rFonts w:cstheme="minorHAnsi"/>
            <w:szCs w:val="20"/>
          </w:rPr>
          <w:t>http://sum.dk/~/media/Filer%20-%20Publikationer_i_pdf/2009/Forebyggelseskom-rap/Forebyggelseskommissionen__rapport.ashx</w:t>
        </w:r>
      </w:hyperlink>
    </w:p>
    <w:p w:rsidR="00E95849" w:rsidRPr="0026102B" w:rsidRDefault="00E95849" w:rsidP="00885C88">
      <w:pPr>
        <w:pStyle w:val="Slutnotetekst"/>
        <w:rPr>
          <w:rFonts w:cstheme="minorHAnsi"/>
        </w:rPr>
      </w:pPr>
    </w:p>
  </w:endnote>
  <w:endnote w:id="21">
    <w:p w:rsidR="00E95849" w:rsidRPr="0026102B" w:rsidRDefault="00E95849" w:rsidP="00885C88">
      <w:pPr>
        <w:pStyle w:val="Slutnotetekst"/>
        <w:rPr>
          <w:rFonts w:cstheme="minorHAnsi"/>
          <w:lang w:val="en-US"/>
        </w:rPr>
      </w:pPr>
      <w:r w:rsidRPr="0026102B">
        <w:rPr>
          <w:rStyle w:val="Slutnotehenvisning"/>
          <w:rFonts w:cstheme="minorHAnsi"/>
        </w:rPr>
        <w:endnoteRef/>
      </w:r>
      <w:r w:rsidRPr="0026102B">
        <w:rPr>
          <w:rFonts w:cstheme="minorHAnsi"/>
          <w:lang w:val="en-US"/>
        </w:rPr>
        <w:t xml:space="preserve"> Assessment of fracture risk and its application to screening for postmenopausal osteoporosis. Report of a WHO Study Group, 1994</w:t>
      </w:r>
    </w:p>
    <w:p w:rsidR="00E95849" w:rsidRPr="0026102B" w:rsidRDefault="00E95849" w:rsidP="00885C88">
      <w:pPr>
        <w:pStyle w:val="Slutnotetekst"/>
        <w:rPr>
          <w:rFonts w:cstheme="minorHAnsi"/>
          <w:lang w:val="en-US"/>
        </w:rPr>
      </w:pPr>
    </w:p>
  </w:endnote>
  <w:endnote w:id="22">
    <w:p w:rsidR="00E95849" w:rsidRPr="0026102B" w:rsidRDefault="00E95849" w:rsidP="00CA0563">
      <w:pPr>
        <w:pStyle w:val="Slutnotetekst"/>
        <w:rPr>
          <w:rFonts w:cstheme="minorHAnsi"/>
          <w:lang w:val="en-US"/>
        </w:rPr>
      </w:pPr>
      <w:r w:rsidRPr="0026102B">
        <w:rPr>
          <w:rStyle w:val="Slutnotehenvisning"/>
          <w:rFonts w:cstheme="minorHAnsi"/>
        </w:rPr>
        <w:endnoteRef/>
      </w:r>
      <w:r w:rsidRPr="0026102B">
        <w:rPr>
          <w:rFonts w:cstheme="minorHAnsi"/>
          <w:lang w:val="en-US"/>
        </w:rPr>
        <w:t xml:space="preserve"> DANBIOs Årsrapport 2012, besøgt den 24. januar 2014:</w:t>
      </w:r>
    </w:p>
    <w:p w:rsidR="00E95849" w:rsidRPr="0026102B" w:rsidRDefault="00581054" w:rsidP="00CA0563">
      <w:pPr>
        <w:pStyle w:val="Slutnotetekst"/>
        <w:rPr>
          <w:rStyle w:val="Hyperlink"/>
          <w:rFonts w:cstheme="minorHAnsi"/>
          <w:lang w:val="en-US"/>
        </w:rPr>
      </w:pPr>
      <w:hyperlink r:id="rId16" w:history="1">
        <w:r w:rsidR="00E95849" w:rsidRPr="0026102B">
          <w:rPr>
            <w:rStyle w:val="Hyperlink"/>
            <w:rFonts w:cstheme="minorHAnsi"/>
            <w:lang w:val="en-US"/>
          </w:rPr>
          <w:t>https://danbio-online.dk/formidling/dokumentmappe/arsrapport-2012-endelig3</w:t>
        </w:r>
      </w:hyperlink>
    </w:p>
    <w:p w:rsidR="00E95849" w:rsidRPr="0026102B" w:rsidRDefault="00E95849" w:rsidP="00CA0563">
      <w:pPr>
        <w:pStyle w:val="Slutnotetekst"/>
        <w:rPr>
          <w:rFonts w:cstheme="minorHAnsi"/>
          <w:lang w:val="en-US"/>
        </w:rPr>
      </w:pPr>
    </w:p>
  </w:endnote>
  <w:endnote w:id="23">
    <w:p w:rsidR="00E95849" w:rsidRPr="0026102B" w:rsidRDefault="00E95849" w:rsidP="00CA0563">
      <w:pPr>
        <w:pStyle w:val="Slutnotetekst"/>
        <w:rPr>
          <w:rFonts w:cstheme="minorHAnsi"/>
        </w:rPr>
      </w:pPr>
      <w:r w:rsidRPr="0026102B">
        <w:rPr>
          <w:rStyle w:val="Slutnotehenvisning"/>
          <w:rFonts w:cstheme="minorHAnsi"/>
        </w:rPr>
        <w:endnoteRef/>
      </w:r>
      <w:r w:rsidRPr="0026102B">
        <w:rPr>
          <w:rFonts w:cstheme="minorHAnsi"/>
        </w:rPr>
        <w:t xml:space="preserve"> Gigtforeningen, Hvorfor får man leddegigt, besøgt den 24. januar 2014: </w:t>
      </w:r>
      <w:hyperlink r:id="rId17" w:history="1">
        <w:r w:rsidRPr="0026102B">
          <w:rPr>
            <w:rStyle w:val="Hyperlink"/>
            <w:rFonts w:cstheme="minorHAnsi"/>
          </w:rPr>
          <w:t>http://www.gigtforeningen.dk/viden+om+gigt/diagnoser/leddegigt/hvorfor+f%c3%a5r+man+leddegigt</w:t>
        </w:r>
      </w:hyperlink>
    </w:p>
    <w:p w:rsidR="00E95849" w:rsidRPr="0026102B" w:rsidRDefault="00E95849" w:rsidP="00CA0563">
      <w:pPr>
        <w:pStyle w:val="Slutnotetekst"/>
        <w:rPr>
          <w:rFonts w:cstheme="minorHAnsi"/>
        </w:rPr>
      </w:pPr>
    </w:p>
  </w:endnote>
  <w:endnote w:id="24">
    <w:p w:rsidR="00E95849" w:rsidRPr="0026102B" w:rsidRDefault="00E95849">
      <w:pPr>
        <w:pStyle w:val="Slutnotetekst"/>
        <w:rPr>
          <w:rStyle w:val="Hyperlink"/>
          <w:rFonts w:cstheme="minorHAnsi"/>
        </w:rPr>
      </w:pPr>
      <w:r w:rsidRPr="0026102B">
        <w:rPr>
          <w:rStyle w:val="Slutnotehenvisning"/>
          <w:rFonts w:cstheme="minorHAnsi"/>
        </w:rPr>
        <w:endnoteRef/>
      </w:r>
      <w:r w:rsidRPr="0026102B">
        <w:rPr>
          <w:rFonts w:cstheme="minorHAnsi"/>
        </w:rPr>
        <w:t xml:space="preserve"> Danske Regioner, Vederlagsfri udlevering af medicin: </w:t>
      </w:r>
      <w:hyperlink r:id="rId18" w:history="1">
        <w:r w:rsidRPr="0026102B">
          <w:rPr>
            <w:rStyle w:val="Hyperlink"/>
            <w:rFonts w:cstheme="minorHAnsi"/>
          </w:rPr>
          <w:t>http://www.regioner.dk/Sundhed/Medicin/Vederlagsfri+udlevering+af+medicin.aspx</w:t>
        </w:r>
      </w:hyperlink>
    </w:p>
    <w:p w:rsidR="00E95849" w:rsidRPr="0026102B" w:rsidRDefault="00E95849">
      <w:pPr>
        <w:pStyle w:val="Slutnotetekst"/>
        <w:rPr>
          <w:rFonts w:cstheme="minorHAnsi"/>
        </w:rPr>
      </w:pPr>
    </w:p>
  </w:endnote>
  <w:endnote w:id="25">
    <w:p w:rsidR="00E95849" w:rsidRPr="0026102B" w:rsidRDefault="00E95849">
      <w:pPr>
        <w:pStyle w:val="Slutnotetekst"/>
        <w:rPr>
          <w:rStyle w:val="Hyperlink"/>
          <w:rFonts w:cstheme="minorHAnsi"/>
        </w:rPr>
      </w:pPr>
      <w:r w:rsidRPr="0026102B">
        <w:rPr>
          <w:rStyle w:val="Slutnotehenvisning"/>
          <w:rFonts w:cstheme="minorHAnsi"/>
        </w:rPr>
        <w:endnoteRef/>
      </w:r>
      <w:r w:rsidRPr="0026102B">
        <w:rPr>
          <w:rFonts w:cstheme="minorHAnsi"/>
        </w:rPr>
        <w:t xml:space="preserve"> Psykiatrifonden, skizofreni: </w:t>
      </w:r>
      <w:hyperlink r:id="rId19" w:history="1">
        <w:r w:rsidRPr="0026102B">
          <w:rPr>
            <w:rStyle w:val="Hyperlink"/>
            <w:rFonts w:cstheme="minorHAnsi"/>
          </w:rPr>
          <w:t>http://www.psykiatrifonden.dk/guides/diagnoser/skizofreni.aspx</w:t>
        </w:r>
      </w:hyperlink>
    </w:p>
    <w:p w:rsidR="00E95849" w:rsidRPr="0026102B" w:rsidRDefault="00E95849">
      <w:pPr>
        <w:pStyle w:val="Slutnotetekst"/>
        <w:rPr>
          <w:rFonts w:cstheme="minorHAnsi"/>
        </w:rPr>
      </w:pPr>
    </w:p>
  </w:endnote>
  <w:endnote w:id="26">
    <w:p w:rsidR="00E95849" w:rsidRPr="0026102B" w:rsidRDefault="00E95849">
      <w:pPr>
        <w:pStyle w:val="Slutnotetekst"/>
        <w:rPr>
          <w:rStyle w:val="Fremhv"/>
          <w:rFonts w:cstheme="minorHAnsi"/>
          <w:i w:val="0"/>
        </w:rPr>
      </w:pPr>
      <w:r w:rsidRPr="0026102B">
        <w:rPr>
          <w:rStyle w:val="Slutnotehenvisning"/>
          <w:rFonts w:cstheme="minorHAnsi"/>
        </w:rPr>
        <w:endnoteRef/>
      </w:r>
      <w:r w:rsidRPr="0026102B">
        <w:rPr>
          <w:rFonts w:cstheme="minorHAnsi"/>
        </w:rPr>
        <w:t xml:space="preserve"> </w:t>
      </w:r>
      <w:r w:rsidRPr="0026102B">
        <w:rPr>
          <w:rStyle w:val="Fremhv"/>
          <w:rFonts w:cstheme="minorHAnsi"/>
          <w:i w:val="0"/>
        </w:rPr>
        <w:t>Gerlach, J. (2011): Skizofreni og andre psykoser. Psykiatrifondens Forlag</w:t>
      </w:r>
    </w:p>
    <w:p w:rsidR="00E95849" w:rsidRPr="0026102B" w:rsidRDefault="00E95849">
      <w:pPr>
        <w:pStyle w:val="Slutnotetekst"/>
        <w:rPr>
          <w:rFonts w:cstheme="minorHAnsi"/>
        </w:rPr>
      </w:pPr>
    </w:p>
  </w:endnote>
  <w:endnote w:id="27">
    <w:p w:rsidR="00E95849" w:rsidRPr="0026102B" w:rsidRDefault="00E95849">
      <w:pPr>
        <w:pStyle w:val="Slutnotetekst"/>
        <w:rPr>
          <w:rFonts w:cstheme="minorHAnsi"/>
        </w:rPr>
      </w:pPr>
      <w:r w:rsidRPr="0026102B">
        <w:rPr>
          <w:rStyle w:val="Slutnotehenvisning"/>
          <w:rFonts w:cstheme="minorHAnsi"/>
        </w:rPr>
        <w:endnoteRef/>
      </w:r>
      <w:r w:rsidRPr="0026102B">
        <w:rPr>
          <w:rFonts w:cstheme="minorHAnsi"/>
        </w:rPr>
        <w:t xml:space="preserve"> Nordentoft, M. (2009): Psykiatriinformation (2), ”Skal det hedde skizofreni?”</w:t>
      </w:r>
    </w:p>
    <w:p w:rsidR="00E95849" w:rsidRPr="0026102B" w:rsidRDefault="00E95849">
      <w:pPr>
        <w:pStyle w:val="Slutnotetekst"/>
        <w:rPr>
          <w:rFonts w:cstheme="minorHAnsi"/>
        </w:rPr>
      </w:pPr>
    </w:p>
  </w:endnote>
  <w:endnote w:id="28">
    <w:p w:rsidR="00E95849" w:rsidRPr="0026102B" w:rsidRDefault="00E95849" w:rsidP="00CD5F29">
      <w:pPr>
        <w:pStyle w:val="Slutnotetekst"/>
        <w:rPr>
          <w:rFonts w:eastAsia="Times New Roman" w:cstheme="minorHAnsi"/>
          <w:lang w:eastAsia="da-DK"/>
        </w:rPr>
      </w:pPr>
      <w:r w:rsidRPr="0026102B">
        <w:rPr>
          <w:rStyle w:val="Slutnotehenvisning"/>
          <w:rFonts w:cstheme="minorHAnsi"/>
        </w:rPr>
        <w:endnoteRef/>
      </w:r>
      <w:r>
        <w:rPr>
          <w:rFonts w:cstheme="minorHAnsi"/>
        </w:rPr>
        <w:t xml:space="preserve"> Videnscenter for demens. Besøgt den 19. februar 2014</w:t>
      </w:r>
      <w:r w:rsidRPr="0026102B">
        <w:rPr>
          <w:rFonts w:cstheme="minorHAnsi"/>
        </w:rPr>
        <w:t xml:space="preserve"> </w:t>
      </w:r>
      <w:bookmarkStart w:id="81" w:name="_Ref380580687"/>
      <w:r>
        <w:rPr>
          <w:rFonts w:eastAsia="Times New Roman" w:cstheme="minorHAnsi"/>
          <w:lang w:eastAsia="da-DK"/>
        </w:rPr>
        <w:fldChar w:fldCharType="begin"/>
      </w:r>
      <w:r>
        <w:rPr>
          <w:rFonts w:eastAsia="Times New Roman" w:cstheme="minorHAnsi"/>
          <w:lang w:eastAsia="da-DK"/>
        </w:rPr>
        <w:instrText xml:space="preserve"> HYPERLINK "</w:instrText>
      </w:r>
      <w:r w:rsidRPr="0026102B">
        <w:rPr>
          <w:rFonts w:eastAsia="Times New Roman" w:cstheme="minorHAnsi"/>
          <w:lang w:eastAsia="da-DK"/>
        </w:rPr>
        <w:instrText>http://www.videnscenterfordemens.dk/viden-om-demens/tal-og-statistik/forekomst-af-demens-i-danmark</w:instrText>
      </w:r>
      <w:r>
        <w:rPr>
          <w:rFonts w:eastAsia="Times New Roman" w:cstheme="minorHAnsi"/>
          <w:lang w:eastAsia="da-DK"/>
        </w:rPr>
        <w:instrText xml:space="preserve">" </w:instrText>
      </w:r>
      <w:r>
        <w:rPr>
          <w:rFonts w:eastAsia="Times New Roman" w:cstheme="minorHAnsi"/>
          <w:lang w:eastAsia="da-DK"/>
        </w:rPr>
        <w:fldChar w:fldCharType="separate"/>
      </w:r>
      <w:r w:rsidRPr="00113A3C">
        <w:rPr>
          <w:rStyle w:val="Hyperlink"/>
          <w:rFonts w:eastAsia="Times New Roman" w:cstheme="minorHAnsi"/>
          <w:lang w:eastAsia="da-DK"/>
        </w:rPr>
        <w:t>http://www.videnscenterfordemens.dk/viden-om-demens/tal-og-statistik/forekomst-af-demens-i-danmark</w:t>
      </w:r>
      <w:r>
        <w:rPr>
          <w:rFonts w:eastAsia="Times New Roman" w:cstheme="minorHAnsi"/>
          <w:lang w:eastAsia="da-DK"/>
        </w:rPr>
        <w:fldChar w:fldCharType="end"/>
      </w:r>
      <w:r w:rsidRPr="0026102B">
        <w:rPr>
          <w:rFonts w:eastAsia="Times New Roman" w:cstheme="minorHAnsi"/>
          <w:lang w:eastAsia="da-DK"/>
        </w:rPr>
        <w:t xml:space="preserve"> </w:t>
      </w:r>
      <w:bookmarkEnd w:id="81"/>
    </w:p>
    <w:p w:rsidR="00E95849" w:rsidRPr="0026102B" w:rsidRDefault="00E95849" w:rsidP="00CD5F29">
      <w:pPr>
        <w:pStyle w:val="Slutnotetekst"/>
        <w:rPr>
          <w:rFonts w:eastAsia="Times New Roman" w:cstheme="minorHAnsi"/>
          <w:lang w:eastAsia="da-DK"/>
        </w:rPr>
      </w:pPr>
    </w:p>
  </w:endnote>
  <w:endnote w:id="29">
    <w:p w:rsidR="00E95849" w:rsidRPr="0026102B" w:rsidRDefault="00E95849" w:rsidP="00CD5F29">
      <w:pPr>
        <w:pStyle w:val="Slutnotetekst"/>
        <w:rPr>
          <w:rFonts w:eastAsia="Times New Roman" w:cstheme="minorHAnsi"/>
          <w:lang w:val="en-US" w:eastAsia="da-DK"/>
        </w:rPr>
      </w:pPr>
      <w:r w:rsidRPr="0026102B">
        <w:rPr>
          <w:rStyle w:val="Slutnotehenvisning"/>
          <w:rFonts w:cstheme="minorHAnsi"/>
        </w:rPr>
        <w:endnoteRef/>
      </w:r>
      <w:r w:rsidRPr="0098756B">
        <w:rPr>
          <w:rFonts w:cstheme="minorHAnsi"/>
          <w:lang w:val="en-US"/>
        </w:rPr>
        <w:t xml:space="preserve"> </w:t>
      </w:r>
      <w:hyperlink r:id="rId20" w:history="1">
        <w:bookmarkStart w:id="82" w:name="_Ref380506833"/>
        <w:r w:rsidRPr="0026102B">
          <w:rPr>
            <w:rFonts w:eastAsia="Times New Roman" w:cstheme="minorHAnsi"/>
            <w:i/>
            <w:iCs/>
            <w:lang w:val="en-US" w:eastAsia="da-DK"/>
          </w:rPr>
          <w:t>World Alzheimer Report 2009</w:t>
        </w:r>
        <w:r w:rsidRPr="0026102B">
          <w:rPr>
            <w:rFonts w:eastAsia="Times New Roman" w:cstheme="minorHAnsi"/>
            <w:lang w:val="en-US" w:eastAsia="da-DK"/>
          </w:rPr>
          <w:t xml:space="preserve"> (2009). London: Alzheimer's Disease International</w:t>
        </w:r>
        <w:bookmarkEnd w:id="82"/>
      </w:hyperlink>
    </w:p>
    <w:p w:rsidR="00E95849" w:rsidRPr="0026102B" w:rsidRDefault="00E95849" w:rsidP="00CD5F29">
      <w:pPr>
        <w:pStyle w:val="Slutnotetekst"/>
        <w:rPr>
          <w:rFonts w:cstheme="minorHAnsi"/>
          <w:lang w:val="en-US"/>
        </w:rPr>
      </w:pPr>
    </w:p>
  </w:endnote>
  <w:endnote w:id="30">
    <w:p w:rsidR="00E95849" w:rsidRDefault="00E95849" w:rsidP="00CD5F29">
      <w:pPr>
        <w:pStyle w:val="Slutnotetekst"/>
        <w:rPr>
          <w:rFonts w:cstheme="minorHAnsi"/>
        </w:rPr>
      </w:pPr>
      <w:r w:rsidRPr="0026102B">
        <w:rPr>
          <w:rStyle w:val="Slutnotehenvisning"/>
          <w:rFonts w:cstheme="minorHAnsi"/>
        </w:rPr>
        <w:endnoteRef/>
      </w:r>
      <w:r w:rsidRPr="0026102B">
        <w:rPr>
          <w:rFonts w:cstheme="minorHAnsi"/>
        </w:rPr>
        <w:t xml:space="preserve"> </w:t>
      </w:r>
      <w:bookmarkStart w:id="84" w:name="_Ref382385248"/>
      <w:r w:rsidRPr="0026102B">
        <w:rPr>
          <w:rFonts w:cstheme="minorHAnsi"/>
        </w:rPr>
        <w:t>Sundhedsstyrelsen, Monitorering &amp; Medicinsk Teknologivurdering. Udredning og behandling af demens – en medicinsk teknologivurdering. København: Sundhedsstyrelsen, Monitorering &amp; Medicinsk Teknologivurdering, 2008. Medicinsk Teknologivurdering 2008; 10(2)</w:t>
      </w:r>
      <w:bookmarkEnd w:id="84"/>
    </w:p>
    <w:p w:rsidR="00E95849" w:rsidRPr="000747B1" w:rsidRDefault="00E95849" w:rsidP="00CD5F29">
      <w:pPr>
        <w:pStyle w:val="Slutnotetekst"/>
        <w:rPr>
          <w:rFonts w:cstheme="minorHAnsi"/>
        </w:rPr>
      </w:pPr>
    </w:p>
  </w:endnote>
  <w:endnote w:id="31">
    <w:p w:rsidR="00E95849" w:rsidRPr="00F00225" w:rsidRDefault="00E95849" w:rsidP="00F00225">
      <w:pPr>
        <w:pStyle w:val="Slutnotetekst"/>
        <w:rPr>
          <w:rStyle w:val="Hyperlink"/>
          <w:rFonts w:eastAsia="Times New Roman" w:cstheme="minorHAnsi"/>
          <w:color w:val="000000" w:themeColor="text1"/>
          <w:u w:val="none"/>
          <w:lang w:eastAsia="da-DK"/>
        </w:rPr>
      </w:pPr>
      <w:r w:rsidRPr="000747B1">
        <w:rPr>
          <w:rStyle w:val="Slutnotehenvisning"/>
          <w:rFonts w:cstheme="minorHAnsi"/>
        </w:rPr>
        <w:endnoteRef/>
      </w:r>
      <w:r>
        <w:rPr>
          <w:rFonts w:cstheme="minorHAnsi"/>
        </w:rPr>
        <w:t xml:space="preserve"> </w:t>
      </w:r>
      <w:r w:rsidRPr="00F00225">
        <w:rPr>
          <w:rStyle w:val="Hyperlink"/>
          <w:rFonts w:eastAsia="Times New Roman" w:cstheme="minorHAnsi"/>
          <w:color w:val="000000" w:themeColor="text1"/>
          <w:u w:val="none"/>
          <w:lang w:eastAsia="da-DK"/>
        </w:rPr>
        <w:t>Koch MB et al., Statens Institut for Folkesundhed, SDU, København, maj 2014</w:t>
      </w:r>
    </w:p>
    <w:p w:rsidR="00E95849" w:rsidRDefault="00E95849" w:rsidP="00741381">
      <w:pPr>
        <w:pStyle w:val="Slutnotetekst"/>
        <w:rPr>
          <w:rStyle w:val="Hyperlink"/>
          <w:rFonts w:eastAsia="Times New Roman" w:cstheme="minorHAnsi"/>
          <w:lang w:eastAsia="da-DK"/>
        </w:rPr>
      </w:pPr>
      <w:r w:rsidRPr="000747B1">
        <w:rPr>
          <w:rFonts w:cstheme="minorHAnsi"/>
        </w:rPr>
        <w:t xml:space="preserve"> </w:t>
      </w:r>
      <w:hyperlink r:id="rId21" w:history="1">
        <w:r w:rsidRPr="00F764E9">
          <w:rPr>
            <w:rStyle w:val="Hyperlink"/>
            <w:rFonts w:eastAsia="Times New Roman" w:cstheme="minorHAnsi"/>
            <w:lang w:eastAsia="da-DK"/>
          </w:rPr>
          <w:t>http://www.si-folkesundhed.dk/upload/hjertekarsygdomme_i_2011-2_rapport.pdf</w:t>
        </w:r>
      </w:hyperlink>
      <w:r>
        <w:rPr>
          <w:rStyle w:val="Hyperlink"/>
          <w:rFonts w:eastAsia="Times New Roman" w:cstheme="minorHAnsi"/>
          <w:lang w:eastAsia="da-DK"/>
        </w:rPr>
        <w:t xml:space="preserve">, </w:t>
      </w:r>
    </w:p>
    <w:p w:rsidR="00E95849" w:rsidRPr="000747B1" w:rsidRDefault="00E95849" w:rsidP="00741381">
      <w:pPr>
        <w:pStyle w:val="Slutnotetekst"/>
        <w:rPr>
          <w:rFonts w:cstheme="minorHAnsi"/>
        </w:rPr>
      </w:pPr>
    </w:p>
  </w:endnote>
  <w:endnote w:id="32">
    <w:p w:rsidR="00E95849" w:rsidRPr="00800C69" w:rsidRDefault="00E95849" w:rsidP="00741381">
      <w:pPr>
        <w:pStyle w:val="Slutnotetekst"/>
        <w:rPr>
          <w:rStyle w:val="Hyperlink"/>
          <w:rFonts w:eastAsia="Times New Roman" w:cstheme="minorHAnsi"/>
          <w:lang w:eastAsia="da-DK"/>
        </w:rPr>
      </w:pPr>
      <w:r w:rsidRPr="000747B1">
        <w:rPr>
          <w:rStyle w:val="Slutnotehenvisning"/>
          <w:rFonts w:cstheme="minorHAnsi"/>
        </w:rPr>
        <w:endnoteRef/>
      </w:r>
      <w:r w:rsidRPr="00800C69">
        <w:rPr>
          <w:rFonts w:cstheme="minorHAnsi"/>
        </w:rPr>
        <w:t xml:space="preserve"> </w:t>
      </w:r>
      <w:r w:rsidRPr="00EA1CA2">
        <w:rPr>
          <w:rStyle w:val="Hyperlink"/>
          <w:rFonts w:eastAsia="Times New Roman" w:cstheme="minorHAnsi"/>
          <w:color w:val="000000" w:themeColor="text1"/>
          <w:u w:val="none"/>
          <w:lang w:eastAsia="da-DK"/>
        </w:rPr>
        <w:t>Institut for Ra</w:t>
      </w:r>
      <w:r>
        <w:rPr>
          <w:rStyle w:val="Hyperlink"/>
          <w:rFonts w:eastAsia="Times New Roman" w:cstheme="minorHAnsi"/>
          <w:color w:val="000000" w:themeColor="text1"/>
          <w:u w:val="none"/>
          <w:lang w:eastAsia="da-DK"/>
        </w:rPr>
        <w:t>tionel Farmakoterapi.</w:t>
      </w:r>
      <w:r w:rsidRPr="00EA1CA2">
        <w:rPr>
          <w:rStyle w:val="Hyperlink"/>
          <w:rFonts w:eastAsia="Times New Roman" w:cstheme="minorHAnsi"/>
          <w:color w:val="000000" w:themeColor="text1"/>
          <w:lang w:eastAsia="da-DK"/>
        </w:rPr>
        <w:t xml:space="preserve"> </w:t>
      </w:r>
      <w:r>
        <w:rPr>
          <w:rFonts w:cstheme="minorHAnsi"/>
        </w:rPr>
        <w:t xml:space="preserve">Besøgt d. 20. maj 2014, </w:t>
      </w:r>
      <w:hyperlink r:id="rId22" w:history="1">
        <w:r w:rsidRPr="00800C69">
          <w:rPr>
            <w:rStyle w:val="Hyperlink"/>
            <w:rFonts w:eastAsia="Times New Roman" w:cstheme="minorHAnsi"/>
            <w:lang w:eastAsia="da-DK"/>
          </w:rPr>
          <w:t>http://www.irf.dk/dk/publikationer/rationel_farmakoterapi/maanedsblad/2010/kronisk_hjerteinsufficiens.htm</w:t>
        </w:r>
      </w:hyperlink>
      <w:r w:rsidRPr="00800C69">
        <w:rPr>
          <w:rStyle w:val="Hyperlink"/>
          <w:rFonts w:eastAsia="Times New Roman" w:cstheme="minorHAnsi"/>
          <w:lang w:eastAsia="da-DK"/>
        </w:rPr>
        <w:t xml:space="preserve">, </w:t>
      </w:r>
    </w:p>
    <w:p w:rsidR="00E95849" w:rsidRPr="007D356F" w:rsidRDefault="00E95849" w:rsidP="00741381">
      <w:pPr>
        <w:pStyle w:val="Slutnotetekst"/>
        <w:rPr>
          <w:rFonts w:cstheme="minorHAnsi"/>
        </w:rPr>
      </w:pPr>
    </w:p>
  </w:endnote>
  <w:endnote w:id="33">
    <w:p w:rsidR="00E95849" w:rsidRDefault="00E95849" w:rsidP="00741381">
      <w:pPr>
        <w:pStyle w:val="Slutnotetekst"/>
        <w:rPr>
          <w:rStyle w:val="Hyperlink"/>
          <w:rFonts w:eastAsia="Times New Roman" w:cstheme="minorHAnsi"/>
          <w:lang w:eastAsia="da-DK"/>
        </w:rPr>
      </w:pPr>
      <w:r w:rsidRPr="000747B1">
        <w:rPr>
          <w:rStyle w:val="Slutnotehenvisning"/>
          <w:rFonts w:cstheme="minorHAnsi"/>
        </w:rPr>
        <w:endnoteRef/>
      </w:r>
      <w:r w:rsidRPr="000747B1">
        <w:rPr>
          <w:rFonts w:cstheme="minorHAnsi"/>
        </w:rPr>
        <w:t xml:space="preserve"> </w:t>
      </w:r>
      <w:r>
        <w:rPr>
          <w:rFonts w:cstheme="minorHAnsi"/>
        </w:rPr>
        <w:t xml:space="preserve">Hjerteforeningen, København, Besøgt d. 20. maj 2014 </w:t>
      </w:r>
      <w:hyperlink r:id="rId23" w:history="1">
        <w:r w:rsidRPr="007D356F">
          <w:rPr>
            <w:rStyle w:val="Hyperlink"/>
            <w:rFonts w:eastAsia="Times New Roman" w:cstheme="minorHAnsi"/>
            <w:lang w:eastAsia="da-DK"/>
          </w:rPr>
          <w:t>www.hjerteforeningen.dk/hjertesvigt/fakta_om_hjertesvigt/saa_mange_er_ramt_af_hjertesvigt/</w:t>
        </w:r>
      </w:hyperlink>
    </w:p>
    <w:p w:rsidR="00E95849" w:rsidRPr="000747B1" w:rsidRDefault="00E95849" w:rsidP="00741381">
      <w:pPr>
        <w:pStyle w:val="Slutnotetekst"/>
        <w:rPr>
          <w:rFonts w:cstheme="minorHAnsi"/>
        </w:rPr>
      </w:pPr>
    </w:p>
  </w:endnote>
  <w:endnote w:id="34">
    <w:p w:rsidR="00E95849" w:rsidRDefault="00E95849" w:rsidP="00741381">
      <w:pPr>
        <w:pStyle w:val="Slutnotetekst"/>
      </w:pPr>
      <w:r w:rsidRPr="000747B1">
        <w:rPr>
          <w:rStyle w:val="Slutnotehenvisning"/>
          <w:rFonts w:cstheme="minorHAnsi"/>
        </w:rPr>
        <w:endnoteRef/>
      </w:r>
      <w:r w:rsidRPr="000747B1">
        <w:rPr>
          <w:rFonts w:cstheme="minorHAnsi"/>
        </w:rPr>
        <w:t xml:space="preserve"> </w:t>
      </w:r>
      <w:r>
        <w:rPr>
          <w:rFonts w:cstheme="minorHAnsi"/>
        </w:rPr>
        <w:t xml:space="preserve">Sundhed.dk Besøgt 22. juli 2014, </w:t>
      </w:r>
      <w:hyperlink r:id="rId24" w:history="1">
        <w:r w:rsidRPr="000747B1">
          <w:rPr>
            <w:rStyle w:val="Hyperlink"/>
            <w:rFonts w:eastAsia="Times New Roman" w:cstheme="minorHAnsi"/>
            <w:lang w:eastAsia="da-DK"/>
          </w:rPr>
          <w:t>https://www.sundhed.dk/sundhedsfaglig/laegehaandbogen/hjerte-kar/tilstande-og-sygdomme/hjertesvigt/hjertesvigt-kronisk/</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3" w:usb2="00000000" w:usb3="00000000" w:csb0="0000009F" w:csb1="00000000"/>
  </w:font>
  <w:font w:name="MetroSerif">
    <w:panose1 w:val="00000000000000000000"/>
    <w:charset w:val="00"/>
    <w:family w:val="roman"/>
    <w:notTrueType/>
    <w:pitch w:val="default"/>
    <w:sig w:usb0="00000003" w:usb1="00000000" w:usb2="00000000" w:usb3="00000000" w:csb0="00000001" w:csb1="00000000"/>
  </w:font>
  <w:font w:name="MS Sans Serif">
    <w:charset w:val="00"/>
    <w:family w:val="auto"/>
    <w:pitch w:val="default"/>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Gitter"/>
      <w:tblW w:w="9778" w:type="dxa"/>
      <w:tblInd w:w="108" w:type="dxa"/>
      <w:tblLook w:val="04A0" w:firstRow="1" w:lastRow="0" w:firstColumn="1" w:lastColumn="0" w:noHBand="0" w:noVBand="1"/>
    </w:tblPr>
    <w:tblGrid>
      <w:gridCol w:w="9778"/>
    </w:tblGrid>
    <w:tr w:rsidR="00E95849" w:rsidTr="002E1866">
      <w:trPr>
        <w:trHeight w:val="709"/>
      </w:trPr>
      <w:tc>
        <w:tcPr>
          <w:tcW w:w="9778" w:type="dxa"/>
          <w:tcBorders>
            <w:top w:val="nil"/>
            <w:left w:val="nil"/>
            <w:bottom w:val="nil"/>
            <w:right w:val="nil"/>
          </w:tcBorders>
          <w:tcMar>
            <w:left w:w="0" w:type="dxa"/>
            <w:right w:w="0" w:type="dxa"/>
          </w:tcMar>
          <w:vAlign w:val="bottom"/>
        </w:tcPr>
        <w:p w:rsidR="00E95849" w:rsidRDefault="00E95849" w:rsidP="00060259">
          <w:pPr>
            <w:pStyle w:val="Sidefod"/>
            <w:jc w:val="right"/>
          </w:pPr>
          <w:r>
            <w:t xml:space="preserve">Side </w:t>
          </w:r>
          <w:r>
            <w:fldChar w:fldCharType="begin"/>
          </w:r>
          <w:r>
            <w:instrText xml:space="preserve"> PAGE  \* Arabic  \* MERGEFORMAT </w:instrText>
          </w:r>
          <w:r>
            <w:fldChar w:fldCharType="separate"/>
          </w:r>
          <w:r w:rsidR="00581054">
            <w:rPr>
              <w:noProof/>
            </w:rPr>
            <w:t>27</w:t>
          </w:r>
          <w:r>
            <w:rPr>
              <w:noProof/>
            </w:rPr>
            <w:fldChar w:fldCharType="end"/>
          </w:r>
        </w:p>
      </w:tc>
    </w:tr>
  </w:tbl>
  <w:p w:rsidR="00E95849" w:rsidRDefault="00E95849">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E95849" w:rsidTr="00192781">
      <w:trPr>
        <w:trHeight w:val="680"/>
      </w:trPr>
      <w:tc>
        <w:tcPr>
          <w:tcW w:w="9638" w:type="dxa"/>
          <w:tcMar>
            <w:left w:w="0" w:type="dxa"/>
            <w:right w:w="0" w:type="dxa"/>
          </w:tcMar>
        </w:tcPr>
        <w:p w:rsidR="00E95849" w:rsidRDefault="00E95849">
          <w:pPr>
            <w:pStyle w:val="Sidefod"/>
          </w:pPr>
          <w:r>
            <w:rPr>
              <w:noProof/>
              <w:lang w:eastAsia="da-DK"/>
            </w:rPr>
            <w:drawing>
              <wp:inline distT="0" distB="0" distL="0" distR="0" wp14:anchorId="7F1015CA" wp14:editId="2720F0B4">
                <wp:extent cx="6120130" cy="4730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 footer word D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130" cy="473075"/>
                        </a:xfrm>
                        <a:prstGeom prst="rect">
                          <a:avLst/>
                        </a:prstGeom>
                      </pic:spPr>
                    </pic:pic>
                  </a:graphicData>
                </a:graphic>
              </wp:inline>
            </w:drawing>
          </w:r>
        </w:p>
      </w:tc>
    </w:tr>
  </w:tbl>
  <w:p w:rsidR="00E95849" w:rsidRDefault="00E95849">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5849" w:rsidRDefault="00E95849" w:rsidP="00E61547">
      <w:pPr>
        <w:spacing w:line="240" w:lineRule="auto"/>
      </w:pPr>
      <w:r>
        <w:separator/>
      </w:r>
    </w:p>
  </w:footnote>
  <w:footnote w:type="continuationSeparator" w:id="0">
    <w:p w:rsidR="00E95849" w:rsidRDefault="00E95849" w:rsidP="00E61547">
      <w:pPr>
        <w:spacing w:line="240" w:lineRule="auto"/>
      </w:pPr>
      <w:r>
        <w:continuationSeparator/>
      </w:r>
    </w:p>
  </w:footnote>
  <w:footnote w:id="1">
    <w:p w:rsidR="00E95849" w:rsidRDefault="00E95849" w:rsidP="00F85217">
      <w:pPr>
        <w:pStyle w:val="Fodnotetekst"/>
      </w:pPr>
      <w:r>
        <w:rPr>
          <w:rStyle w:val="Fodnotehenvisning"/>
        </w:rPr>
        <w:footnoteRef/>
      </w:r>
      <w:r>
        <w:t xml:space="preserve"> Der er også blevet arbejdet med affektive sindslidelser som sygdomsgruppe. Denne er ikke med i første omgang, da de fleste personer ikke har affektive lidelser af ’kronisk’ karakter og det har ikke været muligt at finde en entydig og operativ definition på, hvordan en population med de personer, der har en mere kronisk affektiv lidelse, skal udvælges ud fra sygehuskontakter. Der er ingen diagnosekode for fx kronisk depression.</w:t>
      </w:r>
    </w:p>
  </w:footnote>
  <w:footnote w:id="2">
    <w:p w:rsidR="00E95849" w:rsidRDefault="00E95849">
      <w:pPr>
        <w:pStyle w:val="Fodnotetekst"/>
      </w:pPr>
      <w:r>
        <w:rPr>
          <w:rStyle w:val="Fodnotehenvisning"/>
        </w:rPr>
        <w:footnoteRef/>
      </w:r>
      <w:r>
        <w:t xml:space="preserve"> Lovgivningen omkring Lægemiddelstatistikregisteret (LSR) kræver at borgere kun må optræde anonymt. Da RUKS er afledt af LSR, skal borgerne optræde anonymt i RUKS.</w:t>
      </w:r>
    </w:p>
  </w:footnote>
  <w:footnote w:id="3">
    <w:p w:rsidR="00E95849" w:rsidRDefault="00E95849">
      <w:pPr>
        <w:pStyle w:val="Fodnotetekst"/>
      </w:pPr>
      <w:r>
        <w:rPr>
          <w:rStyle w:val="Fodnotehenvisning"/>
        </w:rPr>
        <w:footnoteRef/>
      </w:r>
      <w:r>
        <w:t xml:space="preserve"> Hvis debutår er 1995 eller tidligere vil alder ved debut ikke være udfyldt, da registerudtrækkene er tilbage til 1995 og personens alder i 1995 ikke nødvendigvis er personens sande debutalder.</w:t>
      </w:r>
    </w:p>
  </w:footnote>
  <w:footnote w:id="4">
    <w:p w:rsidR="00E95849" w:rsidRDefault="00E95849" w:rsidP="00F057C6">
      <w:pPr>
        <w:pStyle w:val="Fodnotetekst"/>
      </w:pPr>
      <w:r>
        <w:rPr>
          <w:rStyle w:val="Fodnotehenvisning"/>
        </w:rPr>
        <w:footnoteRef/>
      </w:r>
      <w:r>
        <w:t xml:space="preserve"> Type 1-diabetes indeholder også diabetikere, der udelukkende har indløst insulin siden 1994, men hvor det kan være svært at fastslå, om der er tale om type 1-diabetes eller fremskreden type 2-diabetes.</w:t>
      </w:r>
    </w:p>
  </w:footnote>
  <w:footnote w:id="5">
    <w:p w:rsidR="00E95849" w:rsidRDefault="00E95849" w:rsidP="00E26797">
      <w:pPr>
        <w:pStyle w:val="Fodnotetekst"/>
      </w:pPr>
      <w:r>
        <w:rPr>
          <w:rStyle w:val="Fodnotehenvisning"/>
        </w:rPr>
        <w:footnoteRef/>
      </w:r>
      <w:r>
        <w:t xml:space="preserve"> Interkvartilspændvidde (IQR)</w:t>
      </w:r>
    </w:p>
  </w:footnote>
  <w:footnote w:id="6">
    <w:p w:rsidR="00E95849" w:rsidRDefault="00E95849" w:rsidP="005F3F11">
      <w:pPr>
        <w:pStyle w:val="Fodnotetekst"/>
      </w:pPr>
      <w:r>
        <w:rPr>
          <w:rStyle w:val="Fodnotehenvisning"/>
        </w:rPr>
        <w:footnoteRef/>
      </w:r>
      <w:r>
        <w:t xml:space="preserve"> Interkvartilspændvidde (IQR)</w:t>
      </w:r>
    </w:p>
  </w:footnote>
  <w:footnote w:id="7">
    <w:p w:rsidR="00E95849" w:rsidRDefault="00E95849" w:rsidP="00885C88">
      <w:pPr>
        <w:pStyle w:val="Fodnotetekst"/>
      </w:pPr>
      <w:r>
        <w:rPr>
          <w:rStyle w:val="Fodnotehenvisning"/>
        </w:rPr>
        <w:footnoteRef/>
      </w:r>
      <w:r>
        <w:t xml:space="preserve"> Interkvartilspændvidde (IQR)</w:t>
      </w:r>
    </w:p>
  </w:footnote>
  <w:footnote w:id="8">
    <w:p w:rsidR="00E95849" w:rsidRDefault="00E95849" w:rsidP="00885C88">
      <w:pPr>
        <w:spacing w:line="360" w:lineRule="auto"/>
        <w:rPr>
          <w:sz w:val="22"/>
        </w:rPr>
      </w:pPr>
      <w:r>
        <w:rPr>
          <w:rStyle w:val="Fodnotehenvisning"/>
        </w:rPr>
        <w:footnoteRef/>
      </w:r>
      <w:r>
        <w:t xml:space="preserve"> </w:t>
      </w:r>
      <w:r>
        <w:rPr>
          <w:rFonts w:cstheme="minorHAnsi"/>
          <w:szCs w:val="20"/>
        </w:rPr>
        <w:t>Defineret</w:t>
      </w:r>
      <w:r w:rsidRPr="00F45CE8">
        <w:rPr>
          <w:rFonts w:cstheme="minorHAnsi"/>
          <w:szCs w:val="20"/>
        </w:rPr>
        <w:t xml:space="preserve"> som en knoglemineraltæthed, der ligger minimum 2,5 standardafvigelser under den tætteste gennemsnitlige knogleminiraltæthed som unge raske mennesker har</w:t>
      </w:r>
      <w:r>
        <w:rPr>
          <w:rFonts w:cstheme="minorHAnsi"/>
          <w:szCs w:val="20"/>
        </w:rPr>
        <w:t>.</w:t>
      </w:r>
    </w:p>
    <w:p w:rsidR="00E95849" w:rsidRDefault="00E95849" w:rsidP="00885C88">
      <w:pPr>
        <w:pStyle w:val="Fodnotetekst"/>
      </w:pPr>
    </w:p>
  </w:footnote>
  <w:footnote w:id="9">
    <w:p w:rsidR="00E95849" w:rsidRDefault="00E95849" w:rsidP="00CA0563">
      <w:pPr>
        <w:pStyle w:val="Fodnotetekst"/>
      </w:pPr>
      <w:r>
        <w:rPr>
          <w:rStyle w:val="Fodnotehenvisning"/>
        </w:rPr>
        <w:footnoteRef/>
      </w:r>
      <w:r>
        <w:t xml:space="preserve"> Interkvartilspændvidde (IQR)</w:t>
      </w:r>
    </w:p>
  </w:footnote>
  <w:footnote w:id="10">
    <w:p w:rsidR="00E95849" w:rsidRDefault="00E95849">
      <w:pPr>
        <w:pStyle w:val="Fodnotetekst"/>
      </w:pPr>
      <w:r>
        <w:rPr>
          <w:rStyle w:val="Fodnotehenvisning"/>
        </w:rPr>
        <w:footnoteRef/>
      </w:r>
      <w:r>
        <w:t xml:space="preserve"> Interkvartilspændvidde (IQR)</w:t>
      </w:r>
    </w:p>
  </w:footnote>
  <w:footnote w:id="11">
    <w:p w:rsidR="00E95849" w:rsidRDefault="00E95849" w:rsidP="00CD5F29">
      <w:pPr>
        <w:pStyle w:val="Fodnotetekst"/>
      </w:pPr>
      <w:r>
        <w:rPr>
          <w:rStyle w:val="Fodnotehenvisning"/>
        </w:rPr>
        <w:footnoteRef/>
      </w:r>
      <w:r>
        <w:t xml:space="preserve"> Interkvartilspændvidde (IQR)</w:t>
      </w:r>
    </w:p>
  </w:footnote>
  <w:footnote w:id="12">
    <w:p w:rsidR="00E95849" w:rsidRDefault="00E95849" w:rsidP="00CD5F29">
      <w:pPr>
        <w:pStyle w:val="Fodnotetekst"/>
      </w:pPr>
      <w:r>
        <w:rPr>
          <w:rStyle w:val="Fodnotehenvisning"/>
        </w:rPr>
        <w:footnoteRef/>
      </w:r>
      <w:r>
        <w:t xml:space="preserve"> </w:t>
      </w:r>
      <w:r w:rsidRPr="003F6D96">
        <w:t xml:space="preserve">For de andre sygdomme er personer med debut i RUKS </w:t>
      </w:r>
      <w:r>
        <w:t xml:space="preserve">før 1996 </w:t>
      </w:r>
      <w:r w:rsidRPr="003F6D96">
        <w:t>fjernet ved udregning af debutalder, da der er en vis sandsynlighed for at disse personer kan have</w:t>
      </w:r>
      <w:r>
        <w:t xml:space="preserve"> haft tidligere debut. Men for d</w:t>
      </w:r>
      <w:r w:rsidRPr="003F6D96">
        <w:t>emens, har en mindre end</w:t>
      </w:r>
      <w:r>
        <w:t xml:space="preserve"> 1 % af populationen pr. 1. j</w:t>
      </w:r>
      <w:r w:rsidRPr="003F6D96">
        <w:t>anuar 2013 debut i RUKS før 1996, og medianalderen for debut bliver ikke påvirket af om disse personer inkluderes i beregningen eller ej.</w:t>
      </w:r>
    </w:p>
  </w:footnote>
  <w:footnote w:id="13">
    <w:p w:rsidR="00E95849" w:rsidRPr="005B2D38" w:rsidRDefault="00E95849" w:rsidP="00741381">
      <w:pPr>
        <w:pStyle w:val="Fodnotetekst"/>
        <w:rPr>
          <w:lang w:val="en-US"/>
        </w:rPr>
      </w:pPr>
      <w:r>
        <w:rPr>
          <w:rStyle w:val="Fodnotehenvisning"/>
        </w:rPr>
        <w:footnoteRef/>
      </w:r>
      <w:r w:rsidRPr="005B2D38">
        <w:rPr>
          <w:lang w:val="en-US"/>
        </w:rPr>
        <w:t xml:space="preserve"> New York Heart Association</w:t>
      </w:r>
    </w:p>
  </w:footnote>
  <w:footnote w:id="14">
    <w:p w:rsidR="00E95849" w:rsidRPr="005B2D38" w:rsidRDefault="00E95849" w:rsidP="00741381">
      <w:pPr>
        <w:pStyle w:val="Fodnotetekst"/>
        <w:rPr>
          <w:lang w:val="en-US"/>
        </w:rPr>
      </w:pPr>
      <w:r>
        <w:rPr>
          <w:rStyle w:val="Fodnotehenvisning"/>
        </w:rPr>
        <w:footnoteRef/>
      </w:r>
      <w:r w:rsidRPr="005B2D38">
        <w:rPr>
          <w:lang w:val="en-US"/>
        </w:rPr>
        <w:t xml:space="preserve"> Interkvartilspændvidde (IQR)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849" w:rsidRDefault="00E95849" w:rsidP="00571132">
    <w:pPr>
      <w:pStyle w:val="Sidehoved"/>
      <w:jc w:val="right"/>
    </w:pPr>
    <w:r>
      <w:rPr>
        <w:noProof/>
        <w:lang w:eastAsia="da-DK"/>
      </w:rPr>
      <w:drawing>
        <wp:inline distT="0" distB="0" distL="0" distR="0" wp14:anchorId="410C4893" wp14:editId="0F491396">
          <wp:extent cx="720000" cy="720000"/>
          <wp:effectExtent l="0"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_logo red (no text).emf"/>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98"/>
      <w:gridCol w:w="4340"/>
    </w:tblGrid>
    <w:tr w:rsidR="00E95849" w:rsidTr="000A124C">
      <w:trPr>
        <w:trHeight w:val="1134"/>
      </w:trPr>
      <w:tc>
        <w:tcPr>
          <w:tcW w:w="5298" w:type="dxa"/>
        </w:tcPr>
        <w:p w:rsidR="00E95849" w:rsidRDefault="00E95849" w:rsidP="00E61547">
          <w:pPr>
            <w:pStyle w:val="Sidehoved"/>
            <w:jc w:val="right"/>
          </w:pPr>
        </w:p>
        <w:p w:rsidR="00E95849" w:rsidRDefault="00E95849" w:rsidP="000A124C">
          <w:pPr>
            <w:pStyle w:val="Sidehoved"/>
            <w:jc w:val="right"/>
          </w:pPr>
        </w:p>
      </w:tc>
      <w:tc>
        <w:tcPr>
          <w:tcW w:w="4340" w:type="dxa"/>
        </w:tcPr>
        <w:p w:rsidR="00E95849" w:rsidRDefault="00E95849" w:rsidP="00E61547">
          <w:pPr>
            <w:pStyle w:val="Sidehoved"/>
            <w:jc w:val="right"/>
          </w:pPr>
          <w:r>
            <w:rPr>
              <w:noProof/>
              <w:lang w:eastAsia="da-DK"/>
            </w:rPr>
            <w:drawing>
              <wp:inline distT="0" distB="0" distL="0" distR="0" wp14:anchorId="01810F5A" wp14:editId="4F36A977">
                <wp:extent cx="2016000" cy="719324"/>
                <wp:effectExtent l="0" t="0" r="381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_logo red.emf"/>
                        <pic:cNvPicPr/>
                      </pic:nvPicPr>
                      <pic:blipFill>
                        <a:blip r:embed="rId1">
                          <a:extLst>
                            <a:ext uri="{28A0092B-C50C-407E-A947-70E740481C1C}">
                              <a14:useLocalDpi xmlns:a14="http://schemas.microsoft.com/office/drawing/2010/main" val="0"/>
                            </a:ext>
                          </a:extLst>
                        </a:blip>
                        <a:stretch>
                          <a:fillRect/>
                        </a:stretch>
                      </pic:blipFill>
                      <pic:spPr>
                        <a:xfrm>
                          <a:off x="0" y="0"/>
                          <a:ext cx="2016000" cy="719324"/>
                        </a:xfrm>
                        <a:prstGeom prst="rect">
                          <a:avLst/>
                        </a:prstGeom>
                      </pic:spPr>
                    </pic:pic>
                  </a:graphicData>
                </a:graphic>
              </wp:inline>
            </w:drawing>
          </w:r>
        </w:p>
      </w:tc>
    </w:tr>
  </w:tbl>
  <w:p w:rsidR="00E95849" w:rsidRPr="00F13A84" w:rsidRDefault="00E95849" w:rsidP="00F13A84">
    <w:pPr>
      <w:pStyle w:val="Sidehoved"/>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52951"/>
    <w:multiLevelType w:val="hybridMultilevel"/>
    <w:tmpl w:val="6EFAF4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13F7EE1"/>
    <w:multiLevelType w:val="hybridMultilevel"/>
    <w:tmpl w:val="8FECE2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5535FE5"/>
    <w:multiLevelType w:val="hybridMultilevel"/>
    <w:tmpl w:val="3030F12E"/>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89B59A2"/>
    <w:multiLevelType w:val="hybridMultilevel"/>
    <w:tmpl w:val="E90C04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08A25056"/>
    <w:multiLevelType w:val="hybridMultilevel"/>
    <w:tmpl w:val="7EA607F2"/>
    <w:lvl w:ilvl="0" w:tplc="4D24C58A">
      <w:start w:val="1"/>
      <w:numFmt w:val="bullet"/>
      <w:lvlText w:val="•"/>
      <w:lvlJc w:val="left"/>
      <w:pPr>
        <w:tabs>
          <w:tab w:val="num" w:pos="720"/>
        </w:tabs>
        <w:ind w:left="720" w:hanging="360"/>
      </w:pPr>
      <w:rPr>
        <w:rFonts w:ascii="Arial" w:hAnsi="Arial" w:hint="default"/>
      </w:rPr>
    </w:lvl>
    <w:lvl w:ilvl="1" w:tplc="B77CC56C" w:tentative="1">
      <w:start w:val="1"/>
      <w:numFmt w:val="bullet"/>
      <w:lvlText w:val="•"/>
      <w:lvlJc w:val="left"/>
      <w:pPr>
        <w:tabs>
          <w:tab w:val="num" w:pos="1440"/>
        </w:tabs>
        <w:ind w:left="1440" w:hanging="360"/>
      </w:pPr>
      <w:rPr>
        <w:rFonts w:ascii="Arial" w:hAnsi="Arial" w:hint="default"/>
      </w:rPr>
    </w:lvl>
    <w:lvl w:ilvl="2" w:tplc="346EEE60" w:tentative="1">
      <w:start w:val="1"/>
      <w:numFmt w:val="bullet"/>
      <w:lvlText w:val="•"/>
      <w:lvlJc w:val="left"/>
      <w:pPr>
        <w:tabs>
          <w:tab w:val="num" w:pos="2160"/>
        </w:tabs>
        <w:ind w:left="2160" w:hanging="360"/>
      </w:pPr>
      <w:rPr>
        <w:rFonts w:ascii="Arial" w:hAnsi="Arial" w:hint="default"/>
      </w:rPr>
    </w:lvl>
    <w:lvl w:ilvl="3" w:tplc="8EBC4242" w:tentative="1">
      <w:start w:val="1"/>
      <w:numFmt w:val="bullet"/>
      <w:lvlText w:val="•"/>
      <w:lvlJc w:val="left"/>
      <w:pPr>
        <w:tabs>
          <w:tab w:val="num" w:pos="2880"/>
        </w:tabs>
        <w:ind w:left="2880" w:hanging="360"/>
      </w:pPr>
      <w:rPr>
        <w:rFonts w:ascii="Arial" w:hAnsi="Arial" w:hint="default"/>
      </w:rPr>
    </w:lvl>
    <w:lvl w:ilvl="4" w:tplc="4DA089C6" w:tentative="1">
      <w:start w:val="1"/>
      <w:numFmt w:val="bullet"/>
      <w:lvlText w:val="•"/>
      <w:lvlJc w:val="left"/>
      <w:pPr>
        <w:tabs>
          <w:tab w:val="num" w:pos="3600"/>
        </w:tabs>
        <w:ind w:left="3600" w:hanging="360"/>
      </w:pPr>
      <w:rPr>
        <w:rFonts w:ascii="Arial" w:hAnsi="Arial" w:hint="default"/>
      </w:rPr>
    </w:lvl>
    <w:lvl w:ilvl="5" w:tplc="EAE03B84" w:tentative="1">
      <w:start w:val="1"/>
      <w:numFmt w:val="bullet"/>
      <w:lvlText w:val="•"/>
      <w:lvlJc w:val="left"/>
      <w:pPr>
        <w:tabs>
          <w:tab w:val="num" w:pos="4320"/>
        </w:tabs>
        <w:ind w:left="4320" w:hanging="360"/>
      </w:pPr>
      <w:rPr>
        <w:rFonts w:ascii="Arial" w:hAnsi="Arial" w:hint="default"/>
      </w:rPr>
    </w:lvl>
    <w:lvl w:ilvl="6" w:tplc="8A24EB9A" w:tentative="1">
      <w:start w:val="1"/>
      <w:numFmt w:val="bullet"/>
      <w:lvlText w:val="•"/>
      <w:lvlJc w:val="left"/>
      <w:pPr>
        <w:tabs>
          <w:tab w:val="num" w:pos="5040"/>
        </w:tabs>
        <w:ind w:left="5040" w:hanging="360"/>
      </w:pPr>
      <w:rPr>
        <w:rFonts w:ascii="Arial" w:hAnsi="Arial" w:hint="default"/>
      </w:rPr>
    </w:lvl>
    <w:lvl w:ilvl="7" w:tplc="042ECDFC" w:tentative="1">
      <w:start w:val="1"/>
      <w:numFmt w:val="bullet"/>
      <w:lvlText w:val="•"/>
      <w:lvlJc w:val="left"/>
      <w:pPr>
        <w:tabs>
          <w:tab w:val="num" w:pos="5760"/>
        </w:tabs>
        <w:ind w:left="5760" w:hanging="360"/>
      </w:pPr>
      <w:rPr>
        <w:rFonts w:ascii="Arial" w:hAnsi="Arial" w:hint="default"/>
      </w:rPr>
    </w:lvl>
    <w:lvl w:ilvl="8" w:tplc="F592665A" w:tentative="1">
      <w:start w:val="1"/>
      <w:numFmt w:val="bullet"/>
      <w:lvlText w:val="•"/>
      <w:lvlJc w:val="left"/>
      <w:pPr>
        <w:tabs>
          <w:tab w:val="num" w:pos="6480"/>
        </w:tabs>
        <w:ind w:left="6480" w:hanging="360"/>
      </w:pPr>
      <w:rPr>
        <w:rFonts w:ascii="Arial" w:hAnsi="Arial" w:hint="default"/>
      </w:rPr>
    </w:lvl>
  </w:abstractNum>
  <w:abstractNum w:abstractNumId="5">
    <w:nsid w:val="0C3F04F1"/>
    <w:multiLevelType w:val="hybridMultilevel"/>
    <w:tmpl w:val="858CE9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17986823"/>
    <w:multiLevelType w:val="hybridMultilevel"/>
    <w:tmpl w:val="B5065A1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nsid w:val="1B954C9A"/>
    <w:multiLevelType w:val="hybridMultilevel"/>
    <w:tmpl w:val="CF4C1F4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1F720B28"/>
    <w:multiLevelType w:val="hybridMultilevel"/>
    <w:tmpl w:val="74B81DC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1FC27A9E"/>
    <w:multiLevelType w:val="hybridMultilevel"/>
    <w:tmpl w:val="89A03D86"/>
    <w:lvl w:ilvl="0" w:tplc="913E796C">
      <w:start w:val="1"/>
      <w:numFmt w:val="bullet"/>
      <w:lvlText w:val="-"/>
      <w:lvlJc w:val="left"/>
      <w:pPr>
        <w:ind w:left="720" w:hanging="360"/>
      </w:pPr>
      <w:rPr>
        <w:rFonts w:ascii="Arial" w:eastAsiaTheme="minorEastAsia"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26F239B4"/>
    <w:multiLevelType w:val="hybridMultilevel"/>
    <w:tmpl w:val="C3E0E8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2AAA755C"/>
    <w:multiLevelType w:val="hybridMultilevel"/>
    <w:tmpl w:val="34C4A72C"/>
    <w:lvl w:ilvl="0" w:tplc="EA36D5EC">
      <w:start w:val="1"/>
      <w:numFmt w:val="bullet"/>
      <w:lvlText w:val="•"/>
      <w:lvlJc w:val="left"/>
      <w:pPr>
        <w:tabs>
          <w:tab w:val="num" w:pos="720"/>
        </w:tabs>
        <w:ind w:left="720" w:hanging="360"/>
      </w:pPr>
      <w:rPr>
        <w:rFonts w:ascii="Arial" w:hAnsi="Arial" w:hint="default"/>
      </w:rPr>
    </w:lvl>
    <w:lvl w:ilvl="1" w:tplc="7F6E2948" w:tentative="1">
      <w:start w:val="1"/>
      <w:numFmt w:val="bullet"/>
      <w:lvlText w:val="•"/>
      <w:lvlJc w:val="left"/>
      <w:pPr>
        <w:tabs>
          <w:tab w:val="num" w:pos="1440"/>
        </w:tabs>
        <w:ind w:left="1440" w:hanging="360"/>
      </w:pPr>
      <w:rPr>
        <w:rFonts w:ascii="Arial" w:hAnsi="Arial" w:hint="default"/>
      </w:rPr>
    </w:lvl>
    <w:lvl w:ilvl="2" w:tplc="238639FC" w:tentative="1">
      <w:start w:val="1"/>
      <w:numFmt w:val="bullet"/>
      <w:lvlText w:val="•"/>
      <w:lvlJc w:val="left"/>
      <w:pPr>
        <w:tabs>
          <w:tab w:val="num" w:pos="2160"/>
        </w:tabs>
        <w:ind w:left="2160" w:hanging="360"/>
      </w:pPr>
      <w:rPr>
        <w:rFonts w:ascii="Arial" w:hAnsi="Arial" w:hint="default"/>
      </w:rPr>
    </w:lvl>
    <w:lvl w:ilvl="3" w:tplc="D8222F80" w:tentative="1">
      <w:start w:val="1"/>
      <w:numFmt w:val="bullet"/>
      <w:lvlText w:val="•"/>
      <w:lvlJc w:val="left"/>
      <w:pPr>
        <w:tabs>
          <w:tab w:val="num" w:pos="2880"/>
        </w:tabs>
        <w:ind w:left="2880" w:hanging="360"/>
      </w:pPr>
      <w:rPr>
        <w:rFonts w:ascii="Arial" w:hAnsi="Arial" w:hint="default"/>
      </w:rPr>
    </w:lvl>
    <w:lvl w:ilvl="4" w:tplc="91A639DE" w:tentative="1">
      <w:start w:val="1"/>
      <w:numFmt w:val="bullet"/>
      <w:lvlText w:val="•"/>
      <w:lvlJc w:val="left"/>
      <w:pPr>
        <w:tabs>
          <w:tab w:val="num" w:pos="3600"/>
        </w:tabs>
        <w:ind w:left="3600" w:hanging="360"/>
      </w:pPr>
      <w:rPr>
        <w:rFonts w:ascii="Arial" w:hAnsi="Arial" w:hint="default"/>
      </w:rPr>
    </w:lvl>
    <w:lvl w:ilvl="5" w:tplc="415E0226" w:tentative="1">
      <w:start w:val="1"/>
      <w:numFmt w:val="bullet"/>
      <w:lvlText w:val="•"/>
      <w:lvlJc w:val="left"/>
      <w:pPr>
        <w:tabs>
          <w:tab w:val="num" w:pos="4320"/>
        </w:tabs>
        <w:ind w:left="4320" w:hanging="360"/>
      </w:pPr>
      <w:rPr>
        <w:rFonts w:ascii="Arial" w:hAnsi="Arial" w:hint="default"/>
      </w:rPr>
    </w:lvl>
    <w:lvl w:ilvl="6" w:tplc="C324D18A" w:tentative="1">
      <w:start w:val="1"/>
      <w:numFmt w:val="bullet"/>
      <w:lvlText w:val="•"/>
      <w:lvlJc w:val="left"/>
      <w:pPr>
        <w:tabs>
          <w:tab w:val="num" w:pos="5040"/>
        </w:tabs>
        <w:ind w:left="5040" w:hanging="360"/>
      </w:pPr>
      <w:rPr>
        <w:rFonts w:ascii="Arial" w:hAnsi="Arial" w:hint="default"/>
      </w:rPr>
    </w:lvl>
    <w:lvl w:ilvl="7" w:tplc="378A176C" w:tentative="1">
      <w:start w:val="1"/>
      <w:numFmt w:val="bullet"/>
      <w:lvlText w:val="•"/>
      <w:lvlJc w:val="left"/>
      <w:pPr>
        <w:tabs>
          <w:tab w:val="num" w:pos="5760"/>
        </w:tabs>
        <w:ind w:left="5760" w:hanging="360"/>
      </w:pPr>
      <w:rPr>
        <w:rFonts w:ascii="Arial" w:hAnsi="Arial" w:hint="default"/>
      </w:rPr>
    </w:lvl>
    <w:lvl w:ilvl="8" w:tplc="D882AC90" w:tentative="1">
      <w:start w:val="1"/>
      <w:numFmt w:val="bullet"/>
      <w:lvlText w:val="•"/>
      <w:lvlJc w:val="left"/>
      <w:pPr>
        <w:tabs>
          <w:tab w:val="num" w:pos="6480"/>
        </w:tabs>
        <w:ind w:left="6480" w:hanging="360"/>
      </w:pPr>
      <w:rPr>
        <w:rFonts w:ascii="Arial" w:hAnsi="Arial" w:hint="default"/>
      </w:rPr>
    </w:lvl>
  </w:abstractNum>
  <w:abstractNum w:abstractNumId="12">
    <w:nsid w:val="33FF6B44"/>
    <w:multiLevelType w:val="hybridMultilevel"/>
    <w:tmpl w:val="9ACAB7F0"/>
    <w:lvl w:ilvl="0" w:tplc="03506378">
      <w:start w:val="1"/>
      <w:numFmt w:val="bullet"/>
      <w:lvlText w:val="-"/>
      <w:lvlJc w:val="left"/>
      <w:pPr>
        <w:tabs>
          <w:tab w:val="num" w:pos="720"/>
        </w:tabs>
        <w:ind w:left="720" w:hanging="360"/>
      </w:pPr>
      <w:rPr>
        <w:rFonts w:ascii="Times New Roman" w:hAnsi="Times New Roman" w:hint="default"/>
      </w:rPr>
    </w:lvl>
    <w:lvl w:ilvl="1" w:tplc="568008E8" w:tentative="1">
      <w:start w:val="1"/>
      <w:numFmt w:val="bullet"/>
      <w:lvlText w:val="-"/>
      <w:lvlJc w:val="left"/>
      <w:pPr>
        <w:tabs>
          <w:tab w:val="num" w:pos="1440"/>
        </w:tabs>
        <w:ind w:left="1440" w:hanging="360"/>
      </w:pPr>
      <w:rPr>
        <w:rFonts w:ascii="Times New Roman" w:hAnsi="Times New Roman" w:hint="default"/>
      </w:rPr>
    </w:lvl>
    <w:lvl w:ilvl="2" w:tplc="19AE9996" w:tentative="1">
      <w:start w:val="1"/>
      <w:numFmt w:val="bullet"/>
      <w:lvlText w:val="-"/>
      <w:lvlJc w:val="left"/>
      <w:pPr>
        <w:tabs>
          <w:tab w:val="num" w:pos="2160"/>
        </w:tabs>
        <w:ind w:left="2160" w:hanging="360"/>
      </w:pPr>
      <w:rPr>
        <w:rFonts w:ascii="Times New Roman" w:hAnsi="Times New Roman" w:hint="default"/>
      </w:rPr>
    </w:lvl>
    <w:lvl w:ilvl="3" w:tplc="AED84B8A" w:tentative="1">
      <w:start w:val="1"/>
      <w:numFmt w:val="bullet"/>
      <w:lvlText w:val="-"/>
      <w:lvlJc w:val="left"/>
      <w:pPr>
        <w:tabs>
          <w:tab w:val="num" w:pos="2880"/>
        </w:tabs>
        <w:ind w:left="2880" w:hanging="360"/>
      </w:pPr>
      <w:rPr>
        <w:rFonts w:ascii="Times New Roman" w:hAnsi="Times New Roman" w:hint="default"/>
      </w:rPr>
    </w:lvl>
    <w:lvl w:ilvl="4" w:tplc="730606BE" w:tentative="1">
      <w:start w:val="1"/>
      <w:numFmt w:val="bullet"/>
      <w:lvlText w:val="-"/>
      <w:lvlJc w:val="left"/>
      <w:pPr>
        <w:tabs>
          <w:tab w:val="num" w:pos="3600"/>
        </w:tabs>
        <w:ind w:left="3600" w:hanging="360"/>
      </w:pPr>
      <w:rPr>
        <w:rFonts w:ascii="Times New Roman" w:hAnsi="Times New Roman" w:hint="default"/>
      </w:rPr>
    </w:lvl>
    <w:lvl w:ilvl="5" w:tplc="14BE0202" w:tentative="1">
      <w:start w:val="1"/>
      <w:numFmt w:val="bullet"/>
      <w:lvlText w:val="-"/>
      <w:lvlJc w:val="left"/>
      <w:pPr>
        <w:tabs>
          <w:tab w:val="num" w:pos="4320"/>
        </w:tabs>
        <w:ind w:left="4320" w:hanging="360"/>
      </w:pPr>
      <w:rPr>
        <w:rFonts w:ascii="Times New Roman" w:hAnsi="Times New Roman" w:hint="default"/>
      </w:rPr>
    </w:lvl>
    <w:lvl w:ilvl="6" w:tplc="49AA8F3A" w:tentative="1">
      <w:start w:val="1"/>
      <w:numFmt w:val="bullet"/>
      <w:lvlText w:val="-"/>
      <w:lvlJc w:val="left"/>
      <w:pPr>
        <w:tabs>
          <w:tab w:val="num" w:pos="5040"/>
        </w:tabs>
        <w:ind w:left="5040" w:hanging="360"/>
      </w:pPr>
      <w:rPr>
        <w:rFonts w:ascii="Times New Roman" w:hAnsi="Times New Roman" w:hint="default"/>
      </w:rPr>
    </w:lvl>
    <w:lvl w:ilvl="7" w:tplc="15385792" w:tentative="1">
      <w:start w:val="1"/>
      <w:numFmt w:val="bullet"/>
      <w:lvlText w:val="-"/>
      <w:lvlJc w:val="left"/>
      <w:pPr>
        <w:tabs>
          <w:tab w:val="num" w:pos="5760"/>
        </w:tabs>
        <w:ind w:left="5760" w:hanging="360"/>
      </w:pPr>
      <w:rPr>
        <w:rFonts w:ascii="Times New Roman" w:hAnsi="Times New Roman" w:hint="default"/>
      </w:rPr>
    </w:lvl>
    <w:lvl w:ilvl="8" w:tplc="FC90B4CE"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E335B3F"/>
    <w:multiLevelType w:val="hybridMultilevel"/>
    <w:tmpl w:val="8D50AA4C"/>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413C6B2D"/>
    <w:multiLevelType w:val="hybridMultilevel"/>
    <w:tmpl w:val="B9BE521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43251CA4"/>
    <w:multiLevelType w:val="hybridMultilevel"/>
    <w:tmpl w:val="1B2CB740"/>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445E7B24"/>
    <w:multiLevelType w:val="hybridMultilevel"/>
    <w:tmpl w:val="D59EAEE8"/>
    <w:lvl w:ilvl="0" w:tplc="7A42B0BC">
      <w:start w:val="1"/>
      <w:numFmt w:val="bullet"/>
      <w:lvlText w:val="•"/>
      <w:lvlJc w:val="left"/>
      <w:pPr>
        <w:tabs>
          <w:tab w:val="num" w:pos="720"/>
        </w:tabs>
        <w:ind w:left="720" w:hanging="360"/>
      </w:pPr>
      <w:rPr>
        <w:rFonts w:ascii="Arial" w:hAnsi="Arial" w:hint="default"/>
      </w:rPr>
    </w:lvl>
    <w:lvl w:ilvl="1" w:tplc="C9D0B3BC" w:tentative="1">
      <w:start w:val="1"/>
      <w:numFmt w:val="bullet"/>
      <w:lvlText w:val="•"/>
      <w:lvlJc w:val="left"/>
      <w:pPr>
        <w:tabs>
          <w:tab w:val="num" w:pos="1440"/>
        </w:tabs>
        <w:ind w:left="1440" w:hanging="360"/>
      </w:pPr>
      <w:rPr>
        <w:rFonts w:ascii="Arial" w:hAnsi="Arial" w:hint="default"/>
      </w:rPr>
    </w:lvl>
    <w:lvl w:ilvl="2" w:tplc="CC684CE6" w:tentative="1">
      <w:start w:val="1"/>
      <w:numFmt w:val="bullet"/>
      <w:lvlText w:val="•"/>
      <w:lvlJc w:val="left"/>
      <w:pPr>
        <w:tabs>
          <w:tab w:val="num" w:pos="2160"/>
        </w:tabs>
        <w:ind w:left="2160" w:hanging="360"/>
      </w:pPr>
      <w:rPr>
        <w:rFonts w:ascii="Arial" w:hAnsi="Arial" w:hint="default"/>
      </w:rPr>
    </w:lvl>
    <w:lvl w:ilvl="3" w:tplc="872AC4B8" w:tentative="1">
      <w:start w:val="1"/>
      <w:numFmt w:val="bullet"/>
      <w:lvlText w:val="•"/>
      <w:lvlJc w:val="left"/>
      <w:pPr>
        <w:tabs>
          <w:tab w:val="num" w:pos="2880"/>
        </w:tabs>
        <w:ind w:left="2880" w:hanging="360"/>
      </w:pPr>
      <w:rPr>
        <w:rFonts w:ascii="Arial" w:hAnsi="Arial" w:hint="default"/>
      </w:rPr>
    </w:lvl>
    <w:lvl w:ilvl="4" w:tplc="6344C5D0" w:tentative="1">
      <w:start w:val="1"/>
      <w:numFmt w:val="bullet"/>
      <w:lvlText w:val="•"/>
      <w:lvlJc w:val="left"/>
      <w:pPr>
        <w:tabs>
          <w:tab w:val="num" w:pos="3600"/>
        </w:tabs>
        <w:ind w:left="3600" w:hanging="360"/>
      </w:pPr>
      <w:rPr>
        <w:rFonts w:ascii="Arial" w:hAnsi="Arial" w:hint="default"/>
      </w:rPr>
    </w:lvl>
    <w:lvl w:ilvl="5" w:tplc="5F04A8D6" w:tentative="1">
      <w:start w:val="1"/>
      <w:numFmt w:val="bullet"/>
      <w:lvlText w:val="•"/>
      <w:lvlJc w:val="left"/>
      <w:pPr>
        <w:tabs>
          <w:tab w:val="num" w:pos="4320"/>
        </w:tabs>
        <w:ind w:left="4320" w:hanging="360"/>
      </w:pPr>
      <w:rPr>
        <w:rFonts w:ascii="Arial" w:hAnsi="Arial" w:hint="default"/>
      </w:rPr>
    </w:lvl>
    <w:lvl w:ilvl="6" w:tplc="A3AEB6C0" w:tentative="1">
      <w:start w:val="1"/>
      <w:numFmt w:val="bullet"/>
      <w:lvlText w:val="•"/>
      <w:lvlJc w:val="left"/>
      <w:pPr>
        <w:tabs>
          <w:tab w:val="num" w:pos="5040"/>
        </w:tabs>
        <w:ind w:left="5040" w:hanging="360"/>
      </w:pPr>
      <w:rPr>
        <w:rFonts w:ascii="Arial" w:hAnsi="Arial" w:hint="default"/>
      </w:rPr>
    </w:lvl>
    <w:lvl w:ilvl="7" w:tplc="520ADEBC" w:tentative="1">
      <w:start w:val="1"/>
      <w:numFmt w:val="bullet"/>
      <w:lvlText w:val="•"/>
      <w:lvlJc w:val="left"/>
      <w:pPr>
        <w:tabs>
          <w:tab w:val="num" w:pos="5760"/>
        </w:tabs>
        <w:ind w:left="5760" w:hanging="360"/>
      </w:pPr>
      <w:rPr>
        <w:rFonts w:ascii="Arial" w:hAnsi="Arial" w:hint="default"/>
      </w:rPr>
    </w:lvl>
    <w:lvl w:ilvl="8" w:tplc="97A870EC" w:tentative="1">
      <w:start w:val="1"/>
      <w:numFmt w:val="bullet"/>
      <w:lvlText w:val="•"/>
      <w:lvlJc w:val="left"/>
      <w:pPr>
        <w:tabs>
          <w:tab w:val="num" w:pos="6480"/>
        </w:tabs>
        <w:ind w:left="6480" w:hanging="360"/>
      </w:pPr>
      <w:rPr>
        <w:rFonts w:ascii="Arial" w:hAnsi="Arial" w:hint="default"/>
      </w:rPr>
    </w:lvl>
  </w:abstractNum>
  <w:abstractNum w:abstractNumId="17">
    <w:nsid w:val="45CA2463"/>
    <w:multiLevelType w:val="hybridMultilevel"/>
    <w:tmpl w:val="442A4C28"/>
    <w:lvl w:ilvl="0" w:tplc="1AF68E04">
      <w:start w:val="1"/>
      <w:numFmt w:val="bullet"/>
      <w:lvlText w:val="•"/>
      <w:lvlJc w:val="left"/>
      <w:pPr>
        <w:tabs>
          <w:tab w:val="num" w:pos="720"/>
        </w:tabs>
        <w:ind w:left="720" w:hanging="360"/>
      </w:pPr>
      <w:rPr>
        <w:rFonts w:ascii="Arial" w:hAnsi="Arial" w:hint="default"/>
      </w:rPr>
    </w:lvl>
    <w:lvl w:ilvl="1" w:tplc="B630CD44" w:tentative="1">
      <w:start w:val="1"/>
      <w:numFmt w:val="bullet"/>
      <w:lvlText w:val="•"/>
      <w:lvlJc w:val="left"/>
      <w:pPr>
        <w:tabs>
          <w:tab w:val="num" w:pos="1440"/>
        </w:tabs>
        <w:ind w:left="1440" w:hanging="360"/>
      </w:pPr>
      <w:rPr>
        <w:rFonts w:ascii="Arial" w:hAnsi="Arial" w:hint="default"/>
      </w:rPr>
    </w:lvl>
    <w:lvl w:ilvl="2" w:tplc="53009934" w:tentative="1">
      <w:start w:val="1"/>
      <w:numFmt w:val="bullet"/>
      <w:lvlText w:val="•"/>
      <w:lvlJc w:val="left"/>
      <w:pPr>
        <w:tabs>
          <w:tab w:val="num" w:pos="2160"/>
        </w:tabs>
        <w:ind w:left="2160" w:hanging="360"/>
      </w:pPr>
      <w:rPr>
        <w:rFonts w:ascii="Arial" w:hAnsi="Arial" w:hint="default"/>
      </w:rPr>
    </w:lvl>
    <w:lvl w:ilvl="3" w:tplc="CC72C21A" w:tentative="1">
      <w:start w:val="1"/>
      <w:numFmt w:val="bullet"/>
      <w:lvlText w:val="•"/>
      <w:lvlJc w:val="left"/>
      <w:pPr>
        <w:tabs>
          <w:tab w:val="num" w:pos="2880"/>
        </w:tabs>
        <w:ind w:left="2880" w:hanging="360"/>
      </w:pPr>
      <w:rPr>
        <w:rFonts w:ascii="Arial" w:hAnsi="Arial" w:hint="default"/>
      </w:rPr>
    </w:lvl>
    <w:lvl w:ilvl="4" w:tplc="00007D3E" w:tentative="1">
      <w:start w:val="1"/>
      <w:numFmt w:val="bullet"/>
      <w:lvlText w:val="•"/>
      <w:lvlJc w:val="left"/>
      <w:pPr>
        <w:tabs>
          <w:tab w:val="num" w:pos="3600"/>
        </w:tabs>
        <w:ind w:left="3600" w:hanging="360"/>
      </w:pPr>
      <w:rPr>
        <w:rFonts w:ascii="Arial" w:hAnsi="Arial" w:hint="default"/>
      </w:rPr>
    </w:lvl>
    <w:lvl w:ilvl="5" w:tplc="5136F3CE" w:tentative="1">
      <w:start w:val="1"/>
      <w:numFmt w:val="bullet"/>
      <w:lvlText w:val="•"/>
      <w:lvlJc w:val="left"/>
      <w:pPr>
        <w:tabs>
          <w:tab w:val="num" w:pos="4320"/>
        </w:tabs>
        <w:ind w:left="4320" w:hanging="360"/>
      </w:pPr>
      <w:rPr>
        <w:rFonts w:ascii="Arial" w:hAnsi="Arial" w:hint="default"/>
      </w:rPr>
    </w:lvl>
    <w:lvl w:ilvl="6" w:tplc="EE8054D0" w:tentative="1">
      <w:start w:val="1"/>
      <w:numFmt w:val="bullet"/>
      <w:lvlText w:val="•"/>
      <w:lvlJc w:val="left"/>
      <w:pPr>
        <w:tabs>
          <w:tab w:val="num" w:pos="5040"/>
        </w:tabs>
        <w:ind w:left="5040" w:hanging="360"/>
      </w:pPr>
      <w:rPr>
        <w:rFonts w:ascii="Arial" w:hAnsi="Arial" w:hint="default"/>
      </w:rPr>
    </w:lvl>
    <w:lvl w:ilvl="7" w:tplc="078E4A5A" w:tentative="1">
      <w:start w:val="1"/>
      <w:numFmt w:val="bullet"/>
      <w:lvlText w:val="•"/>
      <w:lvlJc w:val="left"/>
      <w:pPr>
        <w:tabs>
          <w:tab w:val="num" w:pos="5760"/>
        </w:tabs>
        <w:ind w:left="5760" w:hanging="360"/>
      </w:pPr>
      <w:rPr>
        <w:rFonts w:ascii="Arial" w:hAnsi="Arial" w:hint="default"/>
      </w:rPr>
    </w:lvl>
    <w:lvl w:ilvl="8" w:tplc="E2E2B3BA" w:tentative="1">
      <w:start w:val="1"/>
      <w:numFmt w:val="bullet"/>
      <w:lvlText w:val="•"/>
      <w:lvlJc w:val="left"/>
      <w:pPr>
        <w:tabs>
          <w:tab w:val="num" w:pos="6480"/>
        </w:tabs>
        <w:ind w:left="6480" w:hanging="360"/>
      </w:pPr>
      <w:rPr>
        <w:rFonts w:ascii="Arial" w:hAnsi="Arial" w:hint="default"/>
      </w:rPr>
    </w:lvl>
  </w:abstractNum>
  <w:abstractNum w:abstractNumId="18">
    <w:nsid w:val="4669708F"/>
    <w:multiLevelType w:val="hybridMultilevel"/>
    <w:tmpl w:val="D75EB872"/>
    <w:lvl w:ilvl="0" w:tplc="9FF2A056">
      <w:start w:val="1"/>
      <w:numFmt w:val="bullet"/>
      <w:lvlText w:val="•"/>
      <w:lvlJc w:val="left"/>
      <w:pPr>
        <w:tabs>
          <w:tab w:val="num" w:pos="720"/>
        </w:tabs>
        <w:ind w:left="720" w:hanging="360"/>
      </w:pPr>
      <w:rPr>
        <w:rFonts w:ascii="Arial" w:hAnsi="Arial" w:hint="default"/>
      </w:rPr>
    </w:lvl>
    <w:lvl w:ilvl="1" w:tplc="6F22D71A" w:tentative="1">
      <w:start w:val="1"/>
      <w:numFmt w:val="bullet"/>
      <w:lvlText w:val="•"/>
      <w:lvlJc w:val="left"/>
      <w:pPr>
        <w:tabs>
          <w:tab w:val="num" w:pos="1440"/>
        </w:tabs>
        <w:ind w:left="1440" w:hanging="360"/>
      </w:pPr>
      <w:rPr>
        <w:rFonts w:ascii="Arial" w:hAnsi="Arial" w:hint="default"/>
      </w:rPr>
    </w:lvl>
    <w:lvl w:ilvl="2" w:tplc="7DC0C2EA" w:tentative="1">
      <w:start w:val="1"/>
      <w:numFmt w:val="bullet"/>
      <w:lvlText w:val="•"/>
      <w:lvlJc w:val="left"/>
      <w:pPr>
        <w:tabs>
          <w:tab w:val="num" w:pos="2160"/>
        </w:tabs>
        <w:ind w:left="2160" w:hanging="360"/>
      </w:pPr>
      <w:rPr>
        <w:rFonts w:ascii="Arial" w:hAnsi="Arial" w:hint="default"/>
      </w:rPr>
    </w:lvl>
    <w:lvl w:ilvl="3" w:tplc="362A323C" w:tentative="1">
      <w:start w:val="1"/>
      <w:numFmt w:val="bullet"/>
      <w:lvlText w:val="•"/>
      <w:lvlJc w:val="left"/>
      <w:pPr>
        <w:tabs>
          <w:tab w:val="num" w:pos="2880"/>
        </w:tabs>
        <w:ind w:left="2880" w:hanging="360"/>
      </w:pPr>
      <w:rPr>
        <w:rFonts w:ascii="Arial" w:hAnsi="Arial" w:hint="default"/>
      </w:rPr>
    </w:lvl>
    <w:lvl w:ilvl="4" w:tplc="825EC2AE" w:tentative="1">
      <w:start w:val="1"/>
      <w:numFmt w:val="bullet"/>
      <w:lvlText w:val="•"/>
      <w:lvlJc w:val="left"/>
      <w:pPr>
        <w:tabs>
          <w:tab w:val="num" w:pos="3600"/>
        </w:tabs>
        <w:ind w:left="3600" w:hanging="360"/>
      </w:pPr>
      <w:rPr>
        <w:rFonts w:ascii="Arial" w:hAnsi="Arial" w:hint="default"/>
      </w:rPr>
    </w:lvl>
    <w:lvl w:ilvl="5" w:tplc="0AD6F7A8" w:tentative="1">
      <w:start w:val="1"/>
      <w:numFmt w:val="bullet"/>
      <w:lvlText w:val="•"/>
      <w:lvlJc w:val="left"/>
      <w:pPr>
        <w:tabs>
          <w:tab w:val="num" w:pos="4320"/>
        </w:tabs>
        <w:ind w:left="4320" w:hanging="360"/>
      </w:pPr>
      <w:rPr>
        <w:rFonts w:ascii="Arial" w:hAnsi="Arial" w:hint="default"/>
      </w:rPr>
    </w:lvl>
    <w:lvl w:ilvl="6" w:tplc="796C80A8" w:tentative="1">
      <w:start w:val="1"/>
      <w:numFmt w:val="bullet"/>
      <w:lvlText w:val="•"/>
      <w:lvlJc w:val="left"/>
      <w:pPr>
        <w:tabs>
          <w:tab w:val="num" w:pos="5040"/>
        </w:tabs>
        <w:ind w:left="5040" w:hanging="360"/>
      </w:pPr>
      <w:rPr>
        <w:rFonts w:ascii="Arial" w:hAnsi="Arial" w:hint="default"/>
      </w:rPr>
    </w:lvl>
    <w:lvl w:ilvl="7" w:tplc="12BC289E" w:tentative="1">
      <w:start w:val="1"/>
      <w:numFmt w:val="bullet"/>
      <w:lvlText w:val="•"/>
      <w:lvlJc w:val="left"/>
      <w:pPr>
        <w:tabs>
          <w:tab w:val="num" w:pos="5760"/>
        </w:tabs>
        <w:ind w:left="5760" w:hanging="360"/>
      </w:pPr>
      <w:rPr>
        <w:rFonts w:ascii="Arial" w:hAnsi="Arial" w:hint="default"/>
      </w:rPr>
    </w:lvl>
    <w:lvl w:ilvl="8" w:tplc="9CE0E8DC" w:tentative="1">
      <w:start w:val="1"/>
      <w:numFmt w:val="bullet"/>
      <w:lvlText w:val="•"/>
      <w:lvlJc w:val="left"/>
      <w:pPr>
        <w:tabs>
          <w:tab w:val="num" w:pos="6480"/>
        </w:tabs>
        <w:ind w:left="6480" w:hanging="360"/>
      </w:pPr>
      <w:rPr>
        <w:rFonts w:ascii="Arial" w:hAnsi="Arial" w:hint="default"/>
      </w:rPr>
    </w:lvl>
  </w:abstractNum>
  <w:abstractNum w:abstractNumId="19">
    <w:nsid w:val="49CC5213"/>
    <w:multiLevelType w:val="hybridMultilevel"/>
    <w:tmpl w:val="EBD2574E"/>
    <w:lvl w:ilvl="0" w:tplc="C9B6E870">
      <w:start w:val="1"/>
      <w:numFmt w:val="bullet"/>
      <w:lvlText w:val="•"/>
      <w:lvlJc w:val="left"/>
      <w:pPr>
        <w:tabs>
          <w:tab w:val="num" w:pos="720"/>
        </w:tabs>
        <w:ind w:left="720" w:hanging="360"/>
      </w:pPr>
      <w:rPr>
        <w:rFonts w:ascii="Arial" w:hAnsi="Arial" w:hint="default"/>
      </w:rPr>
    </w:lvl>
    <w:lvl w:ilvl="1" w:tplc="C22803FA" w:tentative="1">
      <w:start w:val="1"/>
      <w:numFmt w:val="bullet"/>
      <w:lvlText w:val="•"/>
      <w:lvlJc w:val="left"/>
      <w:pPr>
        <w:tabs>
          <w:tab w:val="num" w:pos="1440"/>
        </w:tabs>
        <w:ind w:left="1440" w:hanging="360"/>
      </w:pPr>
      <w:rPr>
        <w:rFonts w:ascii="Arial" w:hAnsi="Arial" w:hint="default"/>
      </w:rPr>
    </w:lvl>
    <w:lvl w:ilvl="2" w:tplc="FD8C7D34" w:tentative="1">
      <w:start w:val="1"/>
      <w:numFmt w:val="bullet"/>
      <w:lvlText w:val="•"/>
      <w:lvlJc w:val="left"/>
      <w:pPr>
        <w:tabs>
          <w:tab w:val="num" w:pos="2160"/>
        </w:tabs>
        <w:ind w:left="2160" w:hanging="360"/>
      </w:pPr>
      <w:rPr>
        <w:rFonts w:ascii="Arial" w:hAnsi="Arial" w:hint="default"/>
      </w:rPr>
    </w:lvl>
    <w:lvl w:ilvl="3" w:tplc="A86CDEDA" w:tentative="1">
      <w:start w:val="1"/>
      <w:numFmt w:val="bullet"/>
      <w:lvlText w:val="•"/>
      <w:lvlJc w:val="left"/>
      <w:pPr>
        <w:tabs>
          <w:tab w:val="num" w:pos="2880"/>
        </w:tabs>
        <w:ind w:left="2880" w:hanging="360"/>
      </w:pPr>
      <w:rPr>
        <w:rFonts w:ascii="Arial" w:hAnsi="Arial" w:hint="default"/>
      </w:rPr>
    </w:lvl>
    <w:lvl w:ilvl="4" w:tplc="F1341F40" w:tentative="1">
      <w:start w:val="1"/>
      <w:numFmt w:val="bullet"/>
      <w:lvlText w:val="•"/>
      <w:lvlJc w:val="left"/>
      <w:pPr>
        <w:tabs>
          <w:tab w:val="num" w:pos="3600"/>
        </w:tabs>
        <w:ind w:left="3600" w:hanging="360"/>
      </w:pPr>
      <w:rPr>
        <w:rFonts w:ascii="Arial" w:hAnsi="Arial" w:hint="default"/>
      </w:rPr>
    </w:lvl>
    <w:lvl w:ilvl="5" w:tplc="23C238C8" w:tentative="1">
      <w:start w:val="1"/>
      <w:numFmt w:val="bullet"/>
      <w:lvlText w:val="•"/>
      <w:lvlJc w:val="left"/>
      <w:pPr>
        <w:tabs>
          <w:tab w:val="num" w:pos="4320"/>
        </w:tabs>
        <w:ind w:left="4320" w:hanging="360"/>
      </w:pPr>
      <w:rPr>
        <w:rFonts w:ascii="Arial" w:hAnsi="Arial" w:hint="default"/>
      </w:rPr>
    </w:lvl>
    <w:lvl w:ilvl="6" w:tplc="A98E4012" w:tentative="1">
      <w:start w:val="1"/>
      <w:numFmt w:val="bullet"/>
      <w:lvlText w:val="•"/>
      <w:lvlJc w:val="left"/>
      <w:pPr>
        <w:tabs>
          <w:tab w:val="num" w:pos="5040"/>
        </w:tabs>
        <w:ind w:left="5040" w:hanging="360"/>
      </w:pPr>
      <w:rPr>
        <w:rFonts w:ascii="Arial" w:hAnsi="Arial" w:hint="default"/>
      </w:rPr>
    </w:lvl>
    <w:lvl w:ilvl="7" w:tplc="83164984" w:tentative="1">
      <w:start w:val="1"/>
      <w:numFmt w:val="bullet"/>
      <w:lvlText w:val="•"/>
      <w:lvlJc w:val="left"/>
      <w:pPr>
        <w:tabs>
          <w:tab w:val="num" w:pos="5760"/>
        </w:tabs>
        <w:ind w:left="5760" w:hanging="360"/>
      </w:pPr>
      <w:rPr>
        <w:rFonts w:ascii="Arial" w:hAnsi="Arial" w:hint="default"/>
      </w:rPr>
    </w:lvl>
    <w:lvl w:ilvl="8" w:tplc="B6E4E6B4" w:tentative="1">
      <w:start w:val="1"/>
      <w:numFmt w:val="bullet"/>
      <w:lvlText w:val="•"/>
      <w:lvlJc w:val="left"/>
      <w:pPr>
        <w:tabs>
          <w:tab w:val="num" w:pos="6480"/>
        </w:tabs>
        <w:ind w:left="6480" w:hanging="360"/>
      </w:pPr>
      <w:rPr>
        <w:rFonts w:ascii="Arial" w:hAnsi="Arial" w:hint="default"/>
      </w:rPr>
    </w:lvl>
  </w:abstractNum>
  <w:abstractNum w:abstractNumId="20">
    <w:nsid w:val="4B3D380E"/>
    <w:multiLevelType w:val="hybridMultilevel"/>
    <w:tmpl w:val="8EE43B12"/>
    <w:lvl w:ilvl="0" w:tplc="799236CC">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4C6A4962"/>
    <w:multiLevelType w:val="hybridMultilevel"/>
    <w:tmpl w:val="240433B4"/>
    <w:lvl w:ilvl="0" w:tplc="14DE0744">
      <w:start w:val="147"/>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nsid w:val="4F8614D6"/>
    <w:multiLevelType w:val="hybridMultilevel"/>
    <w:tmpl w:val="19F2DBF6"/>
    <w:lvl w:ilvl="0" w:tplc="FCBC3B72">
      <w:start w:val="1"/>
      <w:numFmt w:val="bullet"/>
      <w:lvlText w:val="•"/>
      <w:lvlJc w:val="left"/>
      <w:pPr>
        <w:tabs>
          <w:tab w:val="num" w:pos="720"/>
        </w:tabs>
        <w:ind w:left="720" w:hanging="360"/>
      </w:pPr>
      <w:rPr>
        <w:rFonts w:ascii="Arial" w:hAnsi="Arial" w:hint="default"/>
      </w:rPr>
    </w:lvl>
    <w:lvl w:ilvl="1" w:tplc="0F44FB9E" w:tentative="1">
      <w:start w:val="1"/>
      <w:numFmt w:val="bullet"/>
      <w:lvlText w:val="•"/>
      <w:lvlJc w:val="left"/>
      <w:pPr>
        <w:tabs>
          <w:tab w:val="num" w:pos="1440"/>
        </w:tabs>
        <w:ind w:left="1440" w:hanging="360"/>
      </w:pPr>
      <w:rPr>
        <w:rFonts w:ascii="Arial" w:hAnsi="Arial" w:hint="default"/>
      </w:rPr>
    </w:lvl>
    <w:lvl w:ilvl="2" w:tplc="72C69602" w:tentative="1">
      <w:start w:val="1"/>
      <w:numFmt w:val="bullet"/>
      <w:lvlText w:val="•"/>
      <w:lvlJc w:val="left"/>
      <w:pPr>
        <w:tabs>
          <w:tab w:val="num" w:pos="2160"/>
        </w:tabs>
        <w:ind w:left="2160" w:hanging="360"/>
      </w:pPr>
      <w:rPr>
        <w:rFonts w:ascii="Arial" w:hAnsi="Arial" w:hint="default"/>
      </w:rPr>
    </w:lvl>
    <w:lvl w:ilvl="3" w:tplc="616281EA" w:tentative="1">
      <w:start w:val="1"/>
      <w:numFmt w:val="bullet"/>
      <w:lvlText w:val="•"/>
      <w:lvlJc w:val="left"/>
      <w:pPr>
        <w:tabs>
          <w:tab w:val="num" w:pos="2880"/>
        </w:tabs>
        <w:ind w:left="2880" w:hanging="360"/>
      </w:pPr>
      <w:rPr>
        <w:rFonts w:ascii="Arial" w:hAnsi="Arial" w:hint="default"/>
      </w:rPr>
    </w:lvl>
    <w:lvl w:ilvl="4" w:tplc="5F2C7D86" w:tentative="1">
      <w:start w:val="1"/>
      <w:numFmt w:val="bullet"/>
      <w:lvlText w:val="•"/>
      <w:lvlJc w:val="left"/>
      <w:pPr>
        <w:tabs>
          <w:tab w:val="num" w:pos="3600"/>
        </w:tabs>
        <w:ind w:left="3600" w:hanging="360"/>
      </w:pPr>
      <w:rPr>
        <w:rFonts w:ascii="Arial" w:hAnsi="Arial" w:hint="default"/>
      </w:rPr>
    </w:lvl>
    <w:lvl w:ilvl="5" w:tplc="EA84802E" w:tentative="1">
      <w:start w:val="1"/>
      <w:numFmt w:val="bullet"/>
      <w:lvlText w:val="•"/>
      <w:lvlJc w:val="left"/>
      <w:pPr>
        <w:tabs>
          <w:tab w:val="num" w:pos="4320"/>
        </w:tabs>
        <w:ind w:left="4320" w:hanging="360"/>
      </w:pPr>
      <w:rPr>
        <w:rFonts w:ascii="Arial" w:hAnsi="Arial" w:hint="default"/>
      </w:rPr>
    </w:lvl>
    <w:lvl w:ilvl="6" w:tplc="D6D42792" w:tentative="1">
      <w:start w:val="1"/>
      <w:numFmt w:val="bullet"/>
      <w:lvlText w:val="•"/>
      <w:lvlJc w:val="left"/>
      <w:pPr>
        <w:tabs>
          <w:tab w:val="num" w:pos="5040"/>
        </w:tabs>
        <w:ind w:left="5040" w:hanging="360"/>
      </w:pPr>
      <w:rPr>
        <w:rFonts w:ascii="Arial" w:hAnsi="Arial" w:hint="default"/>
      </w:rPr>
    </w:lvl>
    <w:lvl w:ilvl="7" w:tplc="91504694" w:tentative="1">
      <w:start w:val="1"/>
      <w:numFmt w:val="bullet"/>
      <w:lvlText w:val="•"/>
      <w:lvlJc w:val="left"/>
      <w:pPr>
        <w:tabs>
          <w:tab w:val="num" w:pos="5760"/>
        </w:tabs>
        <w:ind w:left="5760" w:hanging="360"/>
      </w:pPr>
      <w:rPr>
        <w:rFonts w:ascii="Arial" w:hAnsi="Arial" w:hint="default"/>
      </w:rPr>
    </w:lvl>
    <w:lvl w:ilvl="8" w:tplc="10F60984" w:tentative="1">
      <w:start w:val="1"/>
      <w:numFmt w:val="bullet"/>
      <w:lvlText w:val="•"/>
      <w:lvlJc w:val="left"/>
      <w:pPr>
        <w:tabs>
          <w:tab w:val="num" w:pos="6480"/>
        </w:tabs>
        <w:ind w:left="6480" w:hanging="360"/>
      </w:pPr>
      <w:rPr>
        <w:rFonts w:ascii="Arial" w:hAnsi="Arial" w:hint="default"/>
      </w:rPr>
    </w:lvl>
  </w:abstractNum>
  <w:abstractNum w:abstractNumId="23">
    <w:nsid w:val="50EA5C88"/>
    <w:multiLevelType w:val="hybridMultilevel"/>
    <w:tmpl w:val="53401950"/>
    <w:lvl w:ilvl="0" w:tplc="783AAD06">
      <w:start w:val="1"/>
      <w:numFmt w:val="bullet"/>
      <w:lvlText w:val="•"/>
      <w:lvlJc w:val="left"/>
      <w:pPr>
        <w:tabs>
          <w:tab w:val="num" w:pos="720"/>
        </w:tabs>
        <w:ind w:left="720" w:hanging="360"/>
      </w:pPr>
      <w:rPr>
        <w:rFonts w:ascii="Arial" w:hAnsi="Arial" w:hint="default"/>
      </w:rPr>
    </w:lvl>
    <w:lvl w:ilvl="1" w:tplc="7290A1F6" w:tentative="1">
      <w:start w:val="1"/>
      <w:numFmt w:val="bullet"/>
      <w:lvlText w:val="•"/>
      <w:lvlJc w:val="left"/>
      <w:pPr>
        <w:tabs>
          <w:tab w:val="num" w:pos="1440"/>
        </w:tabs>
        <w:ind w:left="1440" w:hanging="360"/>
      </w:pPr>
      <w:rPr>
        <w:rFonts w:ascii="Arial" w:hAnsi="Arial" w:hint="default"/>
      </w:rPr>
    </w:lvl>
    <w:lvl w:ilvl="2" w:tplc="ED7C7326" w:tentative="1">
      <w:start w:val="1"/>
      <w:numFmt w:val="bullet"/>
      <w:lvlText w:val="•"/>
      <w:lvlJc w:val="left"/>
      <w:pPr>
        <w:tabs>
          <w:tab w:val="num" w:pos="2160"/>
        </w:tabs>
        <w:ind w:left="2160" w:hanging="360"/>
      </w:pPr>
      <w:rPr>
        <w:rFonts w:ascii="Arial" w:hAnsi="Arial" w:hint="default"/>
      </w:rPr>
    </w:lvl>
    <w:lvl w:ilvl="3" w:tplc="DAB01584" w:tentative="1">
      <w:start w:val="1"/>
      <w:numFmt w:val="bullet"/>
      <w:lvlText w:val="•"/>
      <w:lvlJc w:val="left"/>
      <w:pPr>
        <w:tabs>
          <w:tab w:val="num" w:pos="2880"/>
        </w:tabs>
        <w:ind w:left="2880" w:hanging="360"/>
      </w:pPr>
      <w:rPr>
        <w:rFonts w:ascii="Arial" w:hAnsi="Arial" w:hint="default"/>
      </w:rPr>
    </w:lvl>
    <w:lvl w:ilvl="4" w:tplc="E37E0228" w:tentative="1">
      <w:start w:val="1"/>
      <w:numFmt w:val="bullet"/>
      <w:lvlText w:val="•"/>
      <w:lvlJc w:val="left"/>
      <w:pPr>
        <w:tabs>
          <w:tab w:val="num" w:pos="3600"/>
        </w:tabs>
        <w:ind w:left="3600" w:hanging="360"/>
      </w:pPr>
      <w:rPr>
        <w:rFonts w:ascii="Arial" w:hAnsi="Arial" w:hint="default"/>
      </w:rPr>
    </w:lvl>
    <w:lvl w:ilvl="5" w:tplc="18DE6C5A" w:tentative="1">
      <w:start w:val="1"/>
      <w:numFmt w:val="bullet"/>
      <w:lvlText w:val="•"/>
      <w:lvlJc w:val="left"/>
      <w:pPr>
        <w:tabs>
          <w:tab w:val="num" w:pos="4320"/>
        </w:tabs>
        <w:ind w:left="4320" w:hanging="360"/>
      </w:pPr>
      <w:rPr>
        <w:rFonts w:ascii="Arial" w:hAnsi="Arial" w:hint="default"/>
      </w:rPr>
    </w:lvl>
    <w:lvl w:ilvl="6" w:tplc="1BC824AE" w:tentative="1">
      <w:start w:val="1"/>
      <w:numFmt w:val="bullet"/>
      <w:lvlText w:val="•"/>
      <w:lvlJc w:val="left"/>
      <w:pPr>
        <w:tabs>
          <w:tab w:val="num" w:pos="5040"/>
        </w:tabs>
        <w:ind w:left="5040" w:hanging="360"/>
      </w:pPr>
      <w:rPr>
        <w:rFonts w:ascii="Arial" w:hAnsi="Arial" w:hint="default"/>
      </w:rPr>
    </w:lvl>
    <w:lvl w:ilvl="7" w:tplc="851E3A74" w:tentative="1">
      <w:start w:val="1"/>
      <w:numFmt w:val="bullet"/>
      <w:lvlText w:val="•"/>
      <w:lvlJc w:val="left"/>
      <w:pPr>
        <w:tabs>
          <w:tab w:val="num" w:pos="5760"/>
        </w:tabs>
        <w:ind w:left="5760" w:hanging="360"/>
      </w:pPr>
      <w:rPr>
        <w:rFonts w:ascii="Arial" w:hAnsi="Arial" w:hint="default"/>
      </w:rPr>
    </w:lvl>
    <w:lvl w:ilvl="8" w:tplc="CF94E898" w:tentative="1">
      <w:start w:val="1"/>
      <w:numFmt w:val="bullet"/>
      <w:lvlText w:val="•"/>
      <w:lvlJc w:val="left"/>
      <w:pPr>
        <w:tabs>
          <w:tab w:val="num" w:pos="6480"/>
        </w:tabs>
        <w:ind w:left="6480" w:hanging="360"/>
      </w:pPr>
      <w:rPr>
        <w:rFonts w:ascii="Arial" w:hAnsi="Arial" w:hint="default"/>
      </w:rPr>
    </w:lvl>
  </w:abstractNum>
  <w:abstractNum w:abstractNumId="24">
    <w:nsid w:val="53007709"/>
    <w:multiLevelType w:val="hybridMultilevel"/>
    <w:tmpl w:val="AB9021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54F45410"/>
    <w:multiLevelType w:val="hybridMultilevel"/>
    <w:tmpl w:val="3E106A4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56850793"/>
    <w:multiLevelType w:val="hybridMultilevel"/>
    <w:tmpl w:val="92B6DDD6"/>
    <w:lvl w:ilvl="0" w:tplc="46E88F00">
      <w:start w:val="641"/>
      <w:numFmt w:val="decimal"/>
      <w:lvlText w:val="%1"/>
      <w:lvlJc w:val="left"/>
      <w:pPr>
        <w:ind w:left="720" w:hanging="360"/>
      </w:pPr>
      <w:rPr>
        <w:rFonts w:hint="default"/>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nsid w:val="607A03A3"/>
    <w:multiLevelType w:val="hybridMultilevel"/>
    <w:tmpl w:val="8542B3B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nsid w:val="62790AE8"/>
    <w:multiLevelType w:val="hybridMultilevel"/>
    <w:tmpl w:val="6C06A072"/>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nsid w:val="6A712E7C"/>
    <w:multiLevelType w:val="hybridMultilevel"/>
    <w:tmpl w:val="565EC2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nsid w:val="6F944FD1"/>
    <w:multiLevelType w:val="hybridMultilevel"/>
    <w:tmpl w:val="8E9699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72F438A9"/>
    <w:multiLevelType w:val="hybridMultilevel"/>
    <w:tmpl w:val="E8E433A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2">
    <w:nsid w:val="74AF368D"/>
    <w:multiLevelType w:val="hybridMultilevel"/>
    <w:tmpl w:val="20DC057A"/>
    <w:lvl w:ilvl="0" w:tplc="6F5C84BE">
      <w:start w:val="1"/>
      <w:numFmt w:val="bullet"/>
      <w:lvlText w:val="•"/>
      <w:lvlJc w:val="left"/>
      <w:pPr>
        <w:tabs>
          <w:tab w:val="num" w:pos="720"/>
        </w:tabs>
        <w:ind w:left="720" w:hanging="360"/>
      </w:pPr>
      <w:rPr>
        <w:rFonts w:ascii="Arial" w:hAnsi="Arial" w:hint="default"/>
      </w:rPr>
    </w:lvl>
    <w:lvl w:ilvl="1" w:tplc="D23E430E" w:tentative="1">
      <w:start w:val="1"/>
      <w:numFmt w:val="bullet"/>
      <w:lvlText w:val="•"/>
      <w:lvlJc w:val="left"/>
      <w:pPr>
        <w:tabs>
          <w:tab w:val="num" w:pos="1440"/>
        </w:tabs>
        <w:ind w:left="1440" w:hanging="360"/>
      </w:pPr>
      <w:rPr>
        <w:rFonts w:ascii="Arial" w:hAnsi="Arial" w:hint="default"/>
      </w:rPr>
    </w:lvl>
    <w:lvl w:ilvl="2" w:tplc="E3A01B4A" w:tentative="1">
      <w:start w:val="1"/>
      <w:numFmt w:val="bullet"/>
      <w:lvlText w:val="•"/>
      <w:lvlJc w:val="left"/>
      <w:pPr>
        <w:tabs>
          <w:tab w:val="num" w:pos="2160"/>
        </w:tabs>
        <w:ind w:left="2160" w:hanging="360"/>
      </w:pPr>
      <w:rPr>
        <w:rFonts w:ascii="Arial" w:hAnsi="Arial" w:hint="default"/>
      </w:rPr>
    </w:lvl>
    <w:lvl w:ilvl="3" w:tplc="610206B6" w:tentative="1">
      <w:start w:val="1"/>
      <w:numFmt w:val="bullet"/>
      <w:lvlText w:val="•"/>
      <w:lvlJc w:val="left"/>
      <w:pPr>
        <w:tabs>
          <w:tab w:val="num" w:pos="2880"/>
        </w:tabs>
        <w:ind w:left="2880" w:hanging="360"/>
      </w:pPr>
      <w:rPr>
        <w:rFonts w:ascii="Arial" w:hAnsi="Arial" w:hint="default"/>
      </w:rPr>
    </w:lvl>
    <w:lvl w:ilvl="4" w:tplc="D8385EF8" w:tentative="1">
      <w:start w:val="1"/>
      <w:numFmt w:val="bullet"/>
      <w:lvlText w:val="•"/>
      <w:lvlJc w:val="left"/>
      <w:pPr>
        <w:tabs>
          <w:tab w:val="num" w:pos="3600"/>
        </w:tabs>
        <w:ind w:left="3600" w:hanging="360"/>
      </w:pPr>
      <w:rPr>
        <w:rFonts w:ascii="Arial" w:hAnsi="Arial" w:hint="default"/>
      </w:rPr>
    </w:lvl>
    <w:lvl w:ilvl="5" w:tplc="BE44D48C" w:tentative="1">
      <w:start w:val="1"/>
      <w:numFmt w:val="bullet"/>
      <w:lvlText w:val="•"/>
      <w:lvlJc w:val="left"/>
      <w:pPr>
        <w:tabs>
          <w:tab w:val="num" w:pos="4320"/>
        </w:tabs>
        <w:ind w:left="4320" w:hanging="360"/>
      </w:pPr>
      <w:rPr>
        <w:rFonts w:ascii="Arial" w:hAnsi="Arial" w:hint="default"/>
      </w:rPr>
    </w:lvl>
    <w:lvl w:ilvl="6" w:tplc="8654D408" w:tentative="1">
      <w:start w:val="1"/>
      <w:numFmt w:val="bullet"/>
      <w:lvlText w:val="•"/>
      <w:lvlJc w:val="left"/>
      <w:pPr>
        <w:tabs>
          <w:tab w:val="num" w:pos="5040"/>
        </w:tabs>
        <w:ind w:left="5040" w:hanging="360"/>
      </w:pPr>
      <w:rPr>
        <w:rFonts w:ascii="Arial" w:hAnsi="Arial" w:hint="default"/>
      </w:rPr>
    </w:lvl>
    <w:lvl w:ilvl="7" w:tplc="D55A56DC" w:tentative="1">
      <w:start w:val="1"/>
      <w:numFmt w:val="bullet"/>
      <w:lvlText w:val="•"/>
      <w:lvlJc w:val="left"/>
      <w:pPr>
        <w:tabs>
          <w:tab w:val="num" w:pos="5760"/>
        </w:tabs>
        <w:ind w:left="5760" w:hanging="360"/>
      </w:pPr>
      <w:rPr>
        <w:rFonts w:ascii="Arial" w:hAnsi="Arial" w:hint="default"/>
      </w:rPr>
    </w:lvl>
    <w:lvl w:ilvl="8" w:tplc="8F5E9F0E" w:tentative="1">
      <w:start w:val="1"/>
      <w:numFmt w:val="bullet"/>
      <w:lvlText w:val="•"/>
      <w:lvlJc w:val="left"/>
      <w:pPr>
        <w:tabs>
          <w:tab w:val="num" w:pos="6480"/>
        </w:tabs>
        <w:ind w:left="6480" w:hanging="360"/>
      </w:pPr>
      <w:rPr>
        <w:rFonts w:ascii="Arial" w:hAnsi="Arial" w:hint="default"/>
      </w:rPr>
    </w:lvl>
  </w:abstractNum>
  <w:abstractNum w:abstractNumId="33">
    <w:nsid w:val="780A6680"/>
    <w:multiLevelType w:val="hybridMultilevel"/>
    <w:tmpl w:val="16E4B168"/>
    <w:lvl w:ilvl="0" w:tplc="71D8FA18">
      <w:start w:val="1"/>
      <w:numFmt w:val="bullet"/>
      <w:lvlText w:val="•"/>
      <w:lvlJc w:val="left"/>
      <w:pPr>
        <w:tabs>
          <w:tab w:val="num" w:pos="720"/>
        </w:tabs>
        <w:ind w:left="720" w:hanging="360"/>
      </w:pPr>
      <w:rPr>
        <w:rFonts w:ascii="Arial" w:hAnsi="Arial" w:hint="default"/>
      </w:rPr>
    </w:lvl>
    <w:lvl w:ilvl="1" w:tplc="2436B0AC" w:tentative="1">
      <w:start w:val="1"/>
      <w:numFmt w:val="bullet"/>
      <w:lvlText w:val="•"/>
      <w:lvlJc w:val="left"/>
      <w:pPr>
        <w:tabs>
          <w:tab w:val="num" w:pos="1440"/>
        </w:tabs>
        <w:ind w:left="1440" w:hanging="360"/>
      </w:pPr>
      <w:rPr>
        <w:rFonts w:ascii="Arial" w:hAnsi="Arial" w:hint="default"/>
      </w:rPr>
    </w:lvl>
    <w:lvl w:ilvl="2" w:tplc="29CA8CC6" w:tentative="1">
      <w:start w:val="1"/>
      <w:numFmt w:val="bullet"/>
      <w:lvlText w:val="•"/>
      <w:lvlJc w:val="left"/>
      <w:pPr>
        <w:tabs>
          <w:tab w:val="num" w:pos="2160"/>
        </w:tabs>
        <w:ind w:left="2160" w:hanging="360"/>
      </w:pPr>
      <w:rPr>
        <w:rFonts w:ascii="Arial" w:hAnsi="Arial" w:hint="default"/>
      </w:rPr>
    </w:lvl>
    <w:lvl w:ilvl="3" w:tplc="0E24BC2A" w:tentative="1">
      <w:start w:val="1"/>
      <w:numFmt w:val="bullet"/>
      <w:lvlText w:val="•"/>
      <w:lvlJc w:val="left"/>
      <w:pPr>
        <w:tabs>
          <w:tab w:val="num" w:pos="2880"/>
        </w:tabs>
        <w:ind w:left="2880" w:hanging="360"/>
      </w:pPr>
      <w:rPr>
        <w:rFonts w:ascii="Arial" w:hAnsi="Arial" w:hint="default"/>
      </w:rPr>
    </w:lvl>
    <w:lvl w:ilvl="4" w:tplc="4AC4B416" w:tentative="1">
      <w:start w:val="1"/>
      <w:numFmt w:val="bullet"/>
      <w:lvlText w:val="•"/>
      <w:lvlJc w:val="left"/>
      <w:pPr>
        <w:tabs>
          <w:tab w:val="num" w:pos="3600"/>
        </w:tabs>
        <w:ind w:left="3600" w:hanging="360"/>
      </w:pPr>
      <w:rPr>
        <w:rFonts w:ascii="Arial" w:hAnsi="Arial" w:hint="default"/>
      </w:rPr>
    </w:lvl>
    <w:lvl w:ilvl="5" w:tplc="2E7EE054" w:tentative="1">
      <w:start w:val="1"/>
      <w:numFmt w:val="bullet"/>
      <w:lvlText w:val="•"/>
      <w:lvlJc w:val="left"/>
      <w:pPr>
        <w:tabs>
          <w:tab w:val="num" w:pos="4320"/>
        </w:tabs>
        <w:ind w:left="4320" w:hanging="360"/>
      </w:pPr>
      <w:rPr>
        <w:rFonts w:ascii="Arial" w:hAnsi="Arial" w:hint="default"/>
      </w:rPr>
    </w:lvl>
    <w:lvl w:ilvl="6" w:tplc="A1888258" w:tentative="1">
      <w:start w:val="1"/>
      <w:numFmt w:val="bullet"/>
      <w:lvlText w:val="•"/>
      <w:lvlJc w:val="left"/>
      <w:pPr>
        <w:tabs>
          <w:tab w:val="num" w:pos="5040"/>
        </w:tabs>
        <w:ind w:left="5040" w:hanging="360"/>
      </w:pPr>
      <w:rPr>
        <w:rFonts w:ascii="Arial" w:hAnsi="Arial" w:hint="default"/>
      </w:rPr>
    </w:lvl>
    <w:lvl w:ilvl="7" w:tplc="12EC31DC" w:tentative="1">
      <w:start w:val="1"/>
      <w:numFmt w:val="bullet"/>
      <w:lvlText w:val="•"/>
      <w:lvlJc w:val="left"/>
      <w:pPr>
        <w:tabs>
          <w:tab w:val="num" w:pos="5760"/>
        </w:tabs>
        <w:ind w:left="5760" w:hanging="360"/>
      </w:pPr>
      <w:rPr>
        <w:rFonts w:ascii="Arial" w:hAnsi="Arial" w:hint="default"/>
      </w:rPr>
    </w:lvl>
    <w:lvl w:ilvl="8" w:tplc="42622ED6" w:tentative="1">
      <w:start w:val="1"/>
      <w:numFmt w:val="bullet"/>
      <w:lvlText w:val="•"/>
      <w:lvlJc w:val="left"/>
      <w:pPr>
        <w:tabs>
          <w:tab w:val="num" w:pos="6480"/>
        </w:tabs>
        <w:ind w:left="6480" w:hanging="360"/>
      </w:pPr>
      <w:rPr>
        <w:rFonts w:ascii="Arial" w:hAnsi="Arial" w:hint="default"/>
      </w:rPr>
    </w:lvl>
  </w:abstractNum>
  <w:abstractNum w:abstractNumId="34">
    <w:nsid w:val="78F17D7A"/>
    <w:multiLevelType w:val="hybridMultilevel"/>
    <w:tmpl w:val="26B2DC6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nsid w:val="7AAD03C5"/>
    <w:multiLevelType w:val="hybridMultilevel"/>
    <w:tmpl w:val="6660F1C6"/>
    <w:lvl w:ilvl="0" w:tplc="3448F9D8">
      <w:start w:val="402"/>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5"/>
  </w:num>
  <w:num w:numId="2">
    <w:abstractNumId w:val="9"/>
  </w:num>
  <w:num w:numId="3">
    <w:abstractNumId w:val="8"/>
  </w:num>
  <w:num w:numId="4">
    <w:abstractNumId w:val="7"/>
  </w:num>
  <w:num w:numId="5">
    <w:abstractNumId w:val="6"/>
  </w:num>
  <w:num w:numId="6">
    <w:abstractNumId w:val="3"/>
  </w:num>
  <w:num w:numId="7">
    <w:abstractNumId w:val="14"/>
  </w:num>
  <w:num w:numId="8">
    <w:abstractNumId w:val="31"/>
  </w:num>
  <w:num w:numId="9">
    <w:abstractNumId w:val="27"/>
  </w:num>
  <w:num w:numId="10">
    <w:abstractNumId w:val="25"/>
  </w:num>
  <w:num w:numId="11">
    <w:abstractNumId w:val="1"/>
  </w:num>
  <w:num w:numId="12">
    <w:abstractNumId w:val="13"/>
  </w:num>
  <w:num w:numId="13">
    <w:abstractNumId w:val="10"/>
  </w:num>
  <w:num w:numId="14">
    <w:abstractNumId w:val="0"/>
  </w:num>
  <w:num w:numId="15">
    <w:abstractNumId w:val="33"/>
  </w:num>
  <w:num w:numId="16">
    <w:abstractNumId w:val="16"/>
  </w:num>
  <w:num w:numId="17">
    <w:abstractNumId w:val="11"/>
  </w:num>
  <w:num w:numId="18">
    <w:abstractNumId w:val="32"/>
  </w:num>
  <w:num w:numId="19">
    <w:abstractNumId w:val="4"/>
  </w:num>
  <w:num w:numId="20">
    <w:abstractNumId w:val="26"/>
  </w:num>
  <w:num w:numId="21">
    <w:abstractNumId w:val="35"/>
  </w:num>
  <w:num w:numId="22">
    <w:abstractNumId w:val="21"/>
  </w:num>
  <w:num w:numId="23">
    <w:abstractNumId w:val="24"/>
  </w:num>
  <w:num w:numId="24">
    <w:abstractNumId w:val="18"/>
  </w:num>
  <w:num w:numId="25">
    <w:abstractNumId w:val="17"/>
  </w:num>
  <w:num w:numId="26">
    <w:abstractNumId w:val="23"/>
  </w:num>
  <w:num w:numId="27">
    <w:abstractNumId w:val="20"/>
  </w:num>
  <w:num w:numId="28">
    <w:abstractNumId w:val="15"/>
  </w:num>
  <w:num w:numId="29">
    <w:abstractNumId w:val="22"/>
  </w:num>
  <w:num w:numId="30">
    <w:abstractNumId w:val="19"/>
  </w:num>
  <w:num w:numId="31">
    <w:abstractNumId w:val="34"/>
  </w:num>
  <w:num w:numId="32">
    <w:abstractNumId w:val="30"/>
  </w:num>
  <w:num w:numId="33">
    <w:abstractNumId w:val="28"/>
  </w:num>
  <w:num w:numId="34">
    <w:abstractNumId w:val="12"/>
  </w:num>
  <w:num w:numId="35">
    <w:abstractNumId w:val="29"/>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formatting="1" w:enforcement="1" w:cryptProviderType="rsaAES" w:cryptAlgorithmClass="hash" w:cryptAlgorithmType="typeAny" w:cryptAlgorithmSid="14" w:cryptSpinCount="100000" w:hash="r9WgImzjdphuqZokFMjAfJTPWEZQd3SKX7DC3CQJTkdDETxEMooixb5NmVJTChGqEqM45r8HOKFGFMso59jlsQ==" w:salt="+v25Rcurt0Jbk+r+1inYGg=="/>
  <w:defaultTabStop w:val="1304"/>
  <w:hyphenationZone w:val="425"/>
  <w:drawingGridHorizontalSpacing w:val="100"/>
  <w:displayHorizontalDrawingGridEvery w:val="2"/>
  <w:characterSpacingControl w:val="doNotCompress"/>
  <w:hdrShapeDefaults>
    <o:shapedefaults v:ext="edit" spidmax="49153"/>
  </w:hdrShapeDefaults>
  <w:footnotePr>
    <w:numFmt w:val="lowerLette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706"/>
    <w:rsid w:val="00001ECB"/>
    <w:rsid w:val="00002028"/>
    <w:rsid w:val="00003D4F"/>
    <w:rsid w:val="000047FD"/>
    <w:rsid w:val="00005511"/>
    <w:rsid w:val="00005F4E"/>
    <w:rsid w:val="00006E04"/>
    <w:rsid w:val="00010D3E"/>
    <w:rsid w:val="0001339F"/>
    <w:rsid w:val="00014545"/>
    <w:rsid w:val="000147A5"/>
    <w:rsid w:val="0001774A"/>
    <w:rsid w:val="0002078B"/>
    <w:rsid w:val="0002649E"/>
    <w:rsid w:val="00026A2C"/>
    <w:rsid w:val="00030E65"/>
    <w:rsid w:val="00032D1D"/>
    <w:rsid w:val="00042282"/>
    <w:rsid w:val="00047E1B"/>
    <w:rsid w:val="000565D9"/>
    <w:rsid w:val="00060259"/>
    <w:rsid w:val="00061BEF"/>
    <w:rsid w:val="000646B9"/>
    <w:rsid w:val="000705B4"/>
    <w:rsid w:val="000747B1"/>
    <w:rsid w:val="00074F71"/>
    <w:rsid w:val="00074F87"/>
    <w:rsid w:val="0008298D"/>
    <w:rsid w:val="000852D0"/>
    <w:rsid w:val="00090914"/>
    <w:rsid w:val="00091949"/>
    <w:rsid w:val="00091A88"/>
    <w:rsid w:val="00092478"/>
    <w:rsid w:val="0009335A"/>
    <w:rsid w:val="00093E44"/>
    <w:rsid w:val="000978C3"/>
    <w:rsid w:val="000A124C"/>
    <w:rsid w:val="000A3F75"/>
    <w:rsid w:val="000A5E41"/>
    <w:rsid w:val="000A614C"/>
    <w:rsid w:val="000B22EF"/>
    <w:rsid w:val="000B37EA"/>
    <w:rsid w:val="000B57E6"/>
    <w:rsid w:val="000B60A4"/>
    <w:rsid w:val="000B6655"/>
    <w:rsid w:val="000B6B7D"/>
    <w:rsid w:val="000C0859"/>
    <w:rsid w:val="000C0EB5"/>
    <w:rsid w:val="000C271A"/>
    <w:rsid w:val="000C44CD"/>
    <w:rsid w:val="000D660B"/>
    <w:rsid w:val="000D7509"/>
    <w:rsid w:val="000E5F9F"/>
    <w:rsid w:val="000F087B"/>
    <w:rsid w:val="000F0E5C"/>
    <w:rsid w:val="000F59F1"/>
    <w:rsid w:val="000F6AA1"/>
    <w:rsid w:val="000F6FE9"/>
    <w:rsid w:val="001042FA"/>
    <w:rsid w:val="00104392"/>
    <w:rsid w:val="001047F3"/>
    <w:rsid w:val="00104A95"/>
    <w:rsid w:val="00104E1F"/>
    <w:rsid w:val="00105C2C"/>
    <w:rsid w:val="0010793D"/>
    <w:rsid w:val="0011092F"/>
    <w:rsid w:val="00114FEE"/>
    <w:rsid w:val="00116624"/>
    <w:rsid w:val="00116C09"/>
    <w:rsid w:val="00116E2F"/>
    <w:rsid w:val="00120910"/>
    <w:rsid w:val="00122C19"/>
    <w:rsid w:val="00122C3A"/>
    <w:rsid w:val="001246E1"/>
    <w:rsid w:val="00124A0C"/>
    <w:rsid w:val="001268F0"/>
    <w:rsid w:val="001276FB"/>
    <w:rsid w:val="00130108"/>
    <w:rsid w:val="00130DEE"/>
    <w:rsid w:val="00132FB2"/>
    <w:rsid w:val="00133F05"/>
    <w:rsid w:val="00137ED5"/>
    <w:rsid w:val="0014193F"/>
    <w:rsid w:val="00142600"/>
    <w:rsid w:val="001443B9"/>
    <w:rsid w:val="00144585"/>
    <w:rsid w:val="0014515F"/>
    <w:rsid w:val="00145966"/>
    <w:rsid w:val="001479CA"/>
    <w:rsid w:val="001524EA"/>
    <w:rsid w:val="00152A02"/>
    <w:rsid w:val="00154C97"/>
    <w:rsid w:val="001561FC"/>
    <w:rsid w:val="00156450"/>
    <w:rsid w:val="00156FB7"/>
    <w:rsid w:val="0016076C"/>
    <w:rsid w:val="0016296B"/>
    <w:rsid w:val="00164EE1"/>
    <w:rsid w:val="001654D5"/>
    <w:rsid w:val="001661D5"/>
    <w:rsid w:val="0016671E"/>
    <w:rsid w:val="00167328"/>
    <w:rsid w:val="00173D33"/>
    <w:rsid w:val="0017432D"/>
    <w:rsid w:val="00174FA6"/>
    <w:rsid w:val="00175FD0"/>
    <w:rsid w:val="001804A6"/>
    <w:rsid w:val="00182279"/>
    <w:rsid w:val="00183F1B"/>
    <w:rsid w:val="0018475B"/>
    <w:rsid w:val="00185676"/>
    <w:rsid w:val="00186D7E"/>
    <w:rsid w:val="0018716D"/>
    <w:rsid w:val="00187A7F"/>
    <w:rsid w:val="00192781"/>
    <w:rsid w:val="001938A4"/>
    <w:rsid w:val="00194EAA"/>
    <w:rsid w:val="001A1484"/>
    <w:rsid w:val="001A149C"/>
    <w:rsid w:val="001A3EA1"/>
    <w:rsid w:val="001A6F71"/>
    <w:rsid w:val="001A7467"/>
    <w:rsid w:val="001B0C29"/>
    <w:rsid w:val="001B261E"/>
    <w:rsid w:val="001B2638"/>
    <w:rsid w:val="001B34AF"/>
    <w:rsid w:val="001B381E"/>
    <w:rsid w:val="001B5BB2"/>
    <w:rsid w:val="001C1E1F"/>
    <w:rsid w:val="001D1802"/>
    <w:rsid w:val="001D668F"/>
    <w:rsid w:val="001E3547"/>
    <w:rsid w:val="001E35E9"/>
    <w:rsid w:val="001E4155"/>
    <w:rsid w:val="001E461C"/>
    <w:rsid w:val="001E5054"/>
    <w:rsid w:val="001E7128"/>
    <w:rsid w:val="001E7160"/>
    <w:rsid w:val="001F028F"/>
    <w:rsid w:val="001F0AAF"/>
    <w:rsid w:val="001F0AB7"/>
    <w:rsid w:val="001F1568"/>
    <w:rsid w:val="001F35B9"/>
    <w:rsid w:val="001F4D96"/>
    <w:rsid w:val="001F78FE"/>
    <w:rsid w:val="0020260D"/>
    <w:rsid w:val="00202C4F"/>
    <w:rsid w:val="00203997"/>
    <w:rsid w:val="0020482C"/>
    <w:rsid w:val="00205223"/>
    <w:rsid w:val="002072F3"/>
    <w:rsid w:val="00207383"/>
    <w:rsid w:val="002079CF"/>
    <w:rsid w:val="002126CD"/>
    <w:rsid w:val="00213AA6"/>
    <w:rsid w:val="00213FD4"/>
    <w:rsid w:val="00214B82"/>
    <w:rsid w:val="0021577A"/>
    <w:rsid w:val="00215A5A"/>
    <w:rsid w:val="002170DB"/>
    <w:rsid w:val="00217C4B"/>
    <w:rsid w:val="00221380"/>
    <w:rsid w:val="00222625"/>
    <w:rsid w:val="00222C5D"/>
    <w:rsid w:val="0023033D"/>
    <w:rsid w:val="00231433"/>
    <w:rsid w:val="00234259"/>
    <w:rsid w:val="00237DFC"/>
    <w:rsid w:val="002404BF"/>
    <w:rsid w:val="002408C7"/>
    <w:rsid w:val="00241380"/>
    <w:rsid w:val="00241D1C"/>
    <w:rsid w:val="002421DF"/>
    <w:rsid w:val="00244BD0"/>
    <w:rsid w:val="00246B4A"/>
    <w:rsid w:val="00250198"/>
    <w:rsid w:val="0025253C"/>
    <w:rsid w:val="00256C67"/>
    <w:rsid w:val="00257259"/>
    <w:rsid w:val="0026102B"/>
    <w:rsid w:val="00264164"/>
    <w:rsid w:val="00264A15"/>
    <w:rsid w:val="002654BF"/>
    <w:rsid w:val="00272789"/>
    <w:rsid w:val="002742FD"/>
    <w:rsid w:val="00274645"/>
    <w:rsid w:val="00275752"/>
    <w:rsid w:val="002805BD"/>
    <w:rsid w:val="002807AC"/>
    <w:rsid w:val="0028224B"/>
    <w:rsid w:val="002849A1"/>
    <w:rsid w:val="00285A7E"/>
    <w:rsid w:val="00286115"/>
    <w:rsid w:val="00287E6F"/>
    <w:rsid w:val="00290062"/>
    <w:rsid w:val="00293AF1"/>
    <w:rsid w:val="00294FB3"/>
    <w:rsid w:val="002A0614"/>
    <w:rsid w:val="002A1FF8"/>
    <w:rsid w:val="002A2717"/>
    <w:rsid w:val="002A3593"/>
    <w:rsid w:val="002A631A"/>
    <w:rsid w:val="002B06E5"/>
    <w:rsid w:val="002B1B81"/>
    <w:rsid w:val="002B277B"/>
    <w:rsid w:val="002B3AC1"/>
    <w:rsid w:val="002B3E1D"/>
    <w:rsid w:val="002B4097"/>
    <w:rsid w:val="002B44AF"/>
    <w:rsid w:val="002B79B8"/>
    <w:rsid w:val="002B7C6F"/>
    <w:rsid w:val="002C1992"/>
    <w:rsid w:val="002C4E64"/>
    <w:rsid w:val="002C6BC2"/>
    <w:rsid w:val="002D0040"/>
    <w:rsid w:val="002D0DA4"/>
    <w:rsid w:val="002D2E3C"/>
    <w:rsid w:val="002D3997"/>
    <w:rsid w:val="002D5E1B"/>
    <w:rsid w:val="002D62A8"/>
    <w:rsid w:val="002E1866"/>
    <w:rsid w:val="002E1CBE"/>
    <w:rsid w:val="002E3C27"/>
    <w:rsid w:val="002E4FB5"/>
    <w:rsid w:val="002E53BC"/>
    <w:rsid w:val="002E6CFB"/>
    <w:rsid w:val="002F1A41"/>
    <w:rsid w:val="002F2FB6"/>
    <w:rsid w:val="002F43F1"/>
    <w:rsid w:val="002F687C"/>
    <w:rsid w:val="002F6BF8"/>
    <w:rsid w:val="002F76D9"/>
    <w:rsid w:val="00301F31"/>
    <w:rsid w:val="00303CAD"/>
    <w:rsid w:val="0030575C"/>
    <w:rsid w:val="00305A4B"/>
    <w:rsid w:val="003062B2"/>
    <w:rsid w:val="00306948"/>
    <w:rsid w:val="00306B04"/>
    <w:rsid w:val="003071D7"/>
    <w:rsid w:val="003120BE"/>
    <w:rsid w:val="00314F3A"/>
    <w:rsid w:val="003164FE"/>
    <w:rsid w:val="00317068"/>
    <w:rsid w:val="00320D6A"/>
    <w:rsid w:val="00320F8F"/>
    <w:rsid w:val="00321453"/>
    <w:rsid w:val="003235B5"/>
    <w:rsid w:val="00324630"/>
    <w:rsid w:val="003248A1"/>
    <w:rsid w:val="00330459"/>
    <w:rsid w:val="003304FF"/>
    <w:rsid w:val="0033062B"/>
    <w:rsid w:val="003307D2"/>
    <w:rsid w:val="00332539"/>
    <w:rsid w:val="003327E3"/>
    <w:rsid w:val="00332B68"/>
    <w:rsid w:val="00333052"/>
    <w:rsid w:val="00337C74"/>
    <w:rsid w:val="00340333"/>
    <w:rsid w:val="003447BE"/>
    <w:rsid w:val="00344BB7"/>
    <w:rsid w:val="00345D23"/>
    <w:rsid w:val="00352023"/>
    <w:rsid w:val="003525EB"/>
    <w:rsid w:val="00352BE4"/>
    <w:rsid w:val="00354FA7"/>
    <w:rsid w:val="003568A5"/>
    <w:rsid w:val="00357A52"/>
    <w:rsid w:val="00361C84"/>
    <w:rsid w:val="003623E5"/>
    <w:rsid w:val="00362924"/>
    <w:rsid w:val="003635D0"/>
    <w:rsid w:val="00363F6F"/>
    <w:rsid w:val="00367C9B"/>
    <w:rsid w:val="003704EA"/>
    <w:rsid w:val="003706FF"/>
    <w:rsid w:val="00371A6F"/>
    <w:rsid w:val="0037459E"/>
    <w:rsid w:val="003771D8"/>
    <w:rsid w:val="0037726B"/>
    <w:rsid w:val="00383126"/>
    <w:rsid w:val="003835F5"/>
    <w:rsid w:val="00383D23"/>
    <w:rsid w:val="003856EE"/>
    <w:rsid w:val="00386C9F"/>
    <w:rsid w:val="00393F4D"/>
    <w:rsid w:val="00394093"/>
    <w:rsid w:val="003954E7"/>
    <w:rsid w:val="003A39C3"/>
    <w:rsid w:val="003A496B"/>
    <w:rsid w:val="003A56FE"/>
    <w:rsid w:val="003B047D"/>
    <w:rsid w:val="003B2CF3"/>
    <w:rsid w:val="003B45B3"/>
    <w:rsid w:val="003B535D"/>
    <w:rsid w:val="003C1995"/>
    <w:rsid w:val="003C267B"/>
    <w:rsid w:val="003C4FD1"/>
    <w:rsid w:val="003C644B"/>
    <w:rsid w:val="003C672D"/>
    <w:rsid w:val="003C691D"/>
    <w:rsid w:val="003C7C86"/>
    <w:rsid w:val="003D354E"/>
    <w:rsid w:val="003D4B6E"/>
    <w:rsid w:val="003D530B"/>
    <w:rsid w:val="003E3EC6"/>
    <w:rsid w:val="003E6B60"/>
    <w:rsid w:val="003E7174"/>
    <w:rsid w:val="003E7264"/>
    <w:rsid w:val="003F02EE"/>
    <w:rsid w:val="003F231C"/>
    <w:rsid w:val="003F5E1B"/>
    <w:rsid w:val="003F713D"/>
    <w:rsid w:val="00400EA7"/>
    <w:rsid w:val="0040115B"/>
    <w:rsid w:val="00403210"/>
    <w:rsid w:val="00405810"/>
    <w:rsid w:val="00414D31"/>
    <w:rsid w:val="00416139"/>
    <w:rsid w:val="00420233"/>
    <w:rsid w:val="004213BA"/>
    <w:rsid w:val="0042147A"/>
    <w:rsid w:val="004233A2"/>
    <w:rsid w:val="00423410"/>
    <w:rsid w:val="0042662D"/>
    <w:rsid w:val="0042750F"/>
    <w:rsid w:val="00430760"/>
    <w:rsid w:val="004315BF"/>
    <w:rsid w:val="00433310"/>
    <w:rsid w:val="00433411"/>
    <w:rsid w:val="00433B4F"/>
    <w:rsid w:val="00433E50"/>
    <w:rsid w:val="00436B7C"/>
    <w:rsid w:val="00441552"/>
    <w:rsid w:val="004421B6"/>
    <w:rsid w:val="004439E3"/>
    <w:rsid w:val="00444BD9"/>
    <w:rsid w:val="0044615F"/>
    <w:rsid w:val="004473E3"/>
    <w:rsid w:val="00447695"/>
    <w:rsid w:val="00450C5E"/>
    <w:rsid w:val="004536D8"/>
    <w:rsid w:val="00454BC4"/>
    <w:rsid w:val="0045507C"/>
    <w:rsid w:val="004569FE"/>
    <w:rsid w:val="00461C93"/>
    <w:rsid w:val="0046308F"/>
    <w:rsid w:val="0047213B"/>
    <w:rsid w:val="004734B2"/>
    <w:rsid w:val="00475BAD"/>
    <w:rsid w:val="00477F18"/>
    <w:rsid w:val="00477FD8"/>
    <w:rsid w:val="0048083B"/>
    <w:rsid w:val="00482098"/>
    <w:rsid w:val="00483134"/>
    <w:rsid w:val="004838CE"/>
    <w:rsid w:val="00484D17"/>
    <w:rsid w:val="00485E4D"/>
    <w:rsid w:val="00493E6A"/>
    <w:rsid w:val="00495950"/>
    <w:rsid w:val="00496CF0"/>
    <w:rsid w:val="004A0F30"/>
    <w:rsid w:val="004A1D34"/>
    <w:rsid w:val="004A36BF"/>
    <w:rsid w:val="004A3DFF"/>
    <w:rsid w:val="004A55DC"/>
    <w:rsid w:val="004A610D"/>
    <w:rsid w:val="004A6C5A"/>
    <w:rsid w:val="004A7CCA"/>
    <w:rsid w:val="004B4F6B"/>
    <w:rsid w:val="004B5005"/>
    <w:rsid w:val="004C07C7"/>
    <w:rsid w:val="004C0887"/>
    <w:rsid w:val="004C640B"/>
    <w:rsid w:val="004D0A01"/>
    <w:rsid w:val="004D1221"/>
    <w:rsid w:val="004D29E9"/>
    <w:rsid w:val="004D2E7C"/>
    <w:rsid w:val="004D4D3E"/>
    <w:rsid w:val="004D59ED"/>
    <w:rsid w:val="004D7319"/>
    <w:rsid w:val="004E1004"/>
    <w:rsid w:val="004E1B2F"/>
    <w:rsid w:val="004E3AAB"/>
    <w:rsid w:val="004E436D"/>
    <w:rsid w:val="004E4DE6"/>
    <w:rsid w:val="004E5E13"/>
    <w:rsid w:val="004E6A6B"/>
    <w:rsid w:val="004E7EAD"/>
    <w:rsid w:val="004F2180"/>
    <w:rsid w:val="004F3782"/>
    <w:rsid w:val="004F4B81"/>
    <w:rsid w:val="005064F8"/>
    <w:rsid w:val="0051064A"/>
    <w:rsid w:val="0051145C"/>
    <w:rsid w:val="00512A54"/>
    <w:rsid w:val="0051406D"/>
    <w:rsid w:val="00514145"/>
    <w:rsid w:val="00514CF6"/>
    <w:rsid w:val="00515AE9"/>
    <w:rsid w:val="00515D02"/>
    <w:rsid w:val="005166D7"/>
    <w:rsid w:val="00516C1A"/>
    <w:rsid w:val="00517A29"/>
    <w:rsid w:val="00517B8C"/>
    <w:rsid w:val="00520BE2"/>
    <w:rsid w:val="00524245"/>
    <w:rsid w:val="0052498A"/>
    <w:rsid w:val="005254CA"/>
    <w:rsid w:val="005326C5"/>
    <w:rsid w:val="005329D3"/>
    <w:rsid w:val="00536D13"/>
    <w:rsid w:val="00537523"/>
    <w:rsid w:val="005375E9"/>
    <w:rsid w:val="005448E5"/>
    <w:rsid w:val="00545B71"/>
    <w:rsid w:val="00547454"/>
    <w:rsid w:val="005508A2"/>
    <w:rsid w:val="005551D4"/>
    <w:rsid w:val="005557BC"/>
    <w:rsid w:val="00555AD1"/>
    <w:rsid w:val="005575DE"/>
    <w:rsid w:val="005579A3"/>
    <w:rsid w:val="005614E1"/>
    <w:rsid w:val="005616F4"/>
    <w:rsid w:val="00561E80"/>
    <w:rsid w:val="0056389D"/>
    <w:rsid w:val="00565D92"/>
    <w:rsid w:val="00570F32"/>
    <w:rsid w:val="00571132"/>
    <w:rsid w:val="00571888"/>
    <w:rsid w:val="00571A69"/>
    <w:rsid w:val="00573D38"/>
    <w:rsid w:val="00574A11"/>
    <w:rsid w:val="00574D59"/>
    <w:rsid w:val="00575649"/>
    <w:rsid w:val="00580EC0"/>
    <w:rsid w:val="00581054"/>
    <w:rsid w:val="005822C5"/>
    <w:rsid w:val="00582C9E"/>
    <w:rsid w:val="0058348E"/>
    <w:rsid w:val="00583C5D"/>
    <w:rsid w:val="00584751"/>
    <w:rsid w:val="0058616A"/>
    <w:rsid w:val="005862E1"/>
    <w:rsid w:val="00587BBF"/>
    <w:rsid w:val="0059394F"/>
    <w:rsid w:val="005943C6"/>
    <w:rsid w:val="005946A4"/>
    <w:rsid w:val="00595454"/>
    <w:rsid w:val="005960A5"/>
    <w:rsid w:val="005978E3"/>
    <w:rsid w:val="005A5F47"/>
    <w:rsid w:val="005A6074"/>
    <w:rsid w:val="005B204C"/>
    <w:rsid w:val="005B21FC"/>
    <w:rsid w:val="005B2D38"/>
    <w:rsid w:val="005B4BF5"/>
    <w:rsid w:val="005B4D36"/>
    <w:rsid w:val="005B7513"/>
    <w:rsid w:val="005C1DBA"/>
    <w:rsid w:val="005C4058"/>
    <w:rsid w:val="005C4673"/>
    <w:rsid w:val="005C5219"/>
    <w:rsid w:val="005C5634"/>
    <w:rsid w:val="005C5BA9"/>
    <w:rsid w:val="005D5575"/>
    <w:rsid w:val="005D6015"/>
    <w:rsid w:val="005D698C"/>
    <w:rsid w:val="005D6DB0"/>
    <w:rsid w:val="005D7DB8"/>
    <w:rsid w:val="005E026E"/>
    <w:rsid w:val="005E14C2"/>
    <w:rsid w:val="005E3F05"/>
    <w:rsid w:val="005E4056"/>
    <w:rsid w:val="005E751B"/>
    <w:rsid w:val="005F045A"/>
    <w:rsid w:val="005F1468"/>
    <w:rsid w:val="005F1884"/>
    <w:rsid w:val="005F3EC4"/>
    <w:rsid w:val="005F3F11"/>
    <w:rsid w:val="005F53A8"/>
    <w:rsid w:val="00601130"/>
    <w:rsid w:val="00605576"/>
    <w:rsid w:val="00605D7A"/>
    <w:rsid w:val="00606D0C"/>
    <w:rsid w:val="00607DAD"/>
    <w:rsid w:val="00610126"/>
    <w:rsid w:val="00612BB2"/>
    <w:rsid w:val="00614866"/>
    <w:rsid w:val="00615CBC"/>
    <w:rsid w:val="00616B58"/>
    <w:rsid w:val="00620150"/>
    <w:rsid w:val="006258A7"/>
    <w:rsid w:val="00627427"/>
    <w:rsid w:val="0063346D"/>
    <w:rsid w:val="00633AD3"/>
    <w:rsid w:val="006373A7"/>
    <w:rsid w:val="006378A4"/>
    <w:rsid w:val="006442F6"/>
    <w:rsid w:val="00645960"/>
    <w:rsid w:val="00646132"/>
    <w:rsid w:val="00647181"/>
    <w:rsid w:val="0064784A"/>
    <w:rsid w:val="00647DDD"/>
    <w:rsid w:val="00650AE1"/>
    <w:rsid w:val="00650F49"/>
    <w:rsid w:val="00654DF7"/>
    <w:rsid w:val="0065554F"/>
    <w:rsid w:val="00657736"/>
    <w:rsid w:val="006601B6"/>
    <w:rsid w:val="00660855"/>
    <w:rsid w:val="006610FD"/>
    <w:rsid w:val="006633F1"/>
    <w:rsid w:val="006638E9"/>
    <w:rsid w:val="00663921"/>
    <w:rsid w:val="006649CD"/>
    <w:rsid w:val="00665D5C"/>
    <w:rsid w:val="00665FB4"/>
    <w:rsid w:val="00666C8B"/>
    <w:rsid w:val="00667B72"/>
    <w:rsid w:val="0067050A"/>
    <w:rsid w:val="00670F70"/>
    <w:rsid w:val="00674B9F"/>
    <w:rsid w:val="006805A4"/>
    <w:rsid w:val="006916C4"/>
    <w:rsid w:val="006924F1"/>
    <w:rsid w:val="006947F9"/>
    <w:rsid w:val="00694D2C"/>
    <w:rsid w:val="00695F42"/>
    <w:rsid w:val="006A04E2"/>
    <w:rsid w:val="006A054A"/>
    <w:rsid w:val="006A1238"/>
    <w:rsid w:val="006A1466"/>
    <w:rsid w:val="006A1900"/>
    <w:rsid w:val="006A2C1F"/>
    <w:rsid w:val="006A36C4"/>
    <w:rsid w:val="006A3C2D"/>
    <w:rsid w:val="006A4D39"/>
    <w:rsid w:val="006A7EFE"/>
    <w:rsid w:val="006B29F6"/>
    <w:rsid w:val="006B2A66"/>
    <w:rsid w:val="006B3037"/>
    <w:rsid w:val="006B472A"/>
    <w:rsid w:val="006B5862"/>
    <w:rsid w:val="006B7A5D"/>
    <w:rsid w:val="006B7D75"/>
    <w:rsid w:val="006C0AE8"/>
    <w:rsid w:val="006C5BB2"/>
    <w:rsid w:val="006C6123"/>
    <w:rsid w:val="006C7FCD"/>
    <w:rsid w:val="006D036B"/>
    <w:rsid w:val="006D047F"/>
    <w:rsid w:val="006D19BE"/>
    <w:rsid w:val="006D27FC"/>
    <w:rsid w:val="006D68A2"/>
    <w:rsid w:val="006E01ED"/>
    <w:rsid w:val="006E20E2"/>
    <w:rsid w:val="006E335C"/>
    <w:rsid w:val="006E43D9"/>
    <w:rsid w:val="006E4FD0"/>
    <w:rsid w:val="006F09AF"/>
    <w:rsid w:val="006F473A"/>
    <w:rsid w:val="006F74D1"/>
    <w:rsid w:val="006F788C"/>
    <w:rsid w:val="00701778"/>
    <w:rsid w:val="00703767"/>
    <w:rsid w:val="007064BA"/>
    <w:rsid w:val="00714E5A"/>
    <w:rsid w:val="007154E9"/>
    <w:rsid w:val="00716778"/>
    <w:rsid w:val="00716C7D"/>
    <w:rsid w:val="00721431"/>
    <w:rsid w:val="007215F6"/>
    <w:rsid w:val="00722EE8"/>
    <w:rsid w:val="00725FCA"/>
    <w:rsid w:val="00727BF3"/>
    <w:rsid w:val="007317EA"/>
    <w:rsid w:val="007334C8"/>
    <w:rsid w:val="007374BD"/>
    <w:rsid w:val="00737ECD"/>
    <w:rsid w:val="00741381"/>
    <w:rsid w:val="00741E0D"/>
    <w:rsid w:val="0074215F"/>
    <w:rsid w:val="00743171"/>
    <w:rsid w:val="00744159"/>
    <w:rsid w:val="0074436C"/>
    <w:rsid w:val="007451F9"/>
    <w:rsid w:val="007465E7"/>
    <w:rsid w:val="0075199B"/>
    <w:rsid w:val="00754450"/>
    <w:rsid w:val="007555D6"/>
    <w:rsid w:val="00755BA5"/>
    <w:rsid w:val="00756A82"/>
    <w:rsid w:val="00760597"/>
    <w:rsid w:val="0076175B"/>
    <w:rsid w:val="007653C1"/>
    <w:rsid w:val="0076671C"/>
    <w:rsid w:val="007675B0"/>
    <w:rsid w:val="00767693"/>
    <w:rsid w:val="00770A89"/>
    <w:rsid w:val="00773320"/>
    <w:rsid w:val="00773446"/>
    <w:rsid w:val="00773EE5"/>
    <w:rsid w:val="00774CBB"/>
    <w:rsid w:val="0077590D"/>
    <w:rsid w:val="00780DEF"/>
    <w:rsid w:val="00782F64"/>
    <w:rsid w:val="00783013"/>
    <w:rsid w:val="00783DFC"/>
    <w:rsid w:val="00786060"/>
    <w:rsid w:val="00787C86"/>
    <w:rsid w:val="00787D31"/>
    <w:rsid w:val="00790AB9"/>
    <w:rsid w:val="00793BDD"/>
    <w:rsid w:val="00793D1B"/>
    <w:rsid w:val="007949B7"/>
    <w:rsid w:val="00795D88"/>
    <w:rsid w:val="007978B0"/>
    <w:rsid w:val="007A1537"/>
    <w:rsid w:val="007A19B5"/>
    <w:rsid w:val="007A2A27"/>
    <w:rsid w:val="007A3788"/>
    <w:rsid w:val="007A7825"/>
    <w:rsid w:val="007B0B4E"/>
    <w:rsid w:val="007B1873"/>
    <w:rsid w:val="007B3CD2"/>
    <w:rsid w:val="007B68FD"/>
    <w:rsid w:val="007B6E2D"/>
    <w:rsid w:val="007B7A97"/>
    <w:rsid w:val="007C0C1C"/>
    <w:rsid w:val="007C3E9D"/>
    <w:rsid w:val="007C51E5"/>
    <w:rsid w:val="007C6F94"/>
    <w:rsid w:val="007C7301"/>
    <w:rsid w:val="007C75BC"/>
    <w:rsid w:val="007D0414"/>
    <w:rsid w:val="007D2BF5"/>
    <w:rsid w:val="007D2EC0"/>
    <w:rsid w:val="007D75F5"/>
    <w:rsid w:val="007E1587"/>
    <w:rsid w:val="007E39EF"/>
    <w:rsid w:val="007E5B2F"/>
    <w:rsid w:val="007F01F2"/>
    <w:rsid w:val="007F02CD"/>
    <w:rsid w:val="007F3D17"/>
    <w:rsid w:val="007F4716"/>
    <w:rsid w:val="00800AA1"/>
    <w:rsid w:val="00801E6B"/>
    <w:rsid w:val="0080350F"/>
    <w:rsid w:val="00804E4A"/>
    <w:rsid w:val="00806ADB"/>
    <w:rsid w:val="00807243"/>
    <w:rsid w:val="0080763B"/>
    <w:rsid w:val="008128B9"/>
    <w:rsid w:val="00814B75"/>
    <w:rsid w:val="00815745"/>
    <w:rsid w:val="00816008"/>
    <w:rsid w:val="00816080"/>
    <w:rsid w:val="00823B7F"/>
    <w:rsid w:val="00824194"/>
    <w:rsid w:val="00827142"/>
    <w:rsid w:val="008311CB"/>
    <w:rsid w:val="0083276A"/>
    <w:rsid w:val="008327FC"/>
    <w:rsid w:val="00833FB0"/>
    <w:rsid w:val="00841787"/>
    <w:rsid w:val="00847544"/>
    <w:rsid w:val="0085036D"/>
    <w:rsid w:val="00853594"/>
    <w:rsid w:val="00861F3F"/>
    <w:rsid w:val="0086337B"/>
    <w:rsid w:val="00870FB7"/>
    <w:rsid w:val="008716DE"/>
    <w:rsid w:val="00872A8E"/>
    <w:rsid w:val="00872D0E"/>
    <w:rsid w:val="0087321C"/>
    <w:rsid w:val="0087415D"/>
    <w:rsid w:val="00874CEF"/>
    <w:rsid w:val="00874FA7"/>
    <w:rsid w:val="00875FFE"/>
    <w:rsid w:val="00880F80"/>
    <w:rsid w:val="00881FD2"/>
    <w:rsid w:val="008830B8"/>
    <w:rsid w:val="00883335"/>
    <w:rsid w:val="0088411F"/>
    <w:rsid w:val="00885469"/>
    <w:rsid w:val="00885C88"/>
    <w:rsid w:val="00886700"/>
    <w:rsid w:val="00890600"/>
    <w:rsid w:val="008931C2"/>
    <w:rsid w:val="00893FDE"/>
    <w:rsid w:val="008A0B80"/>
    <w:rsid w:val="008A112B"/>
    <w:rsid w:val="008A14F8"/>
    <w:rsid w:val="008A5A90"/>
    <w:rsid w:val="008A5CE8"/>
    <w:rsid w:val="008A6954"/>
    <w:rsid w:val="008B1F02"/>
    <w:rsid w:val="008B2376"/>
    <w:rsid w:val="008B2860"/>
    <w:rsid w:val="008B43E0"/>
    <w:rsid w:val="008B5D0F"/>
    <w:rsid w:val="008B6E2E"/>
    <w:rsid w:val="008B706F"/>
    <w:rsid w:val="008B73BB"/>
    <w:rsid w:val="008B7C68"/>
    <w:rsid w:val="008C2C0D"/>
    <w:rsid w:val="008C2F70"/>
    <w:rsid w:val="008C473E"/>
    <w:rsid w:val="008C6B4A"/>
    <w:rsid w:val="008D274D"/>
    <w:rsid w:val="008D4016"/>
    <w:rsid w:val="008D453D"/>
    <w:rsid w:val="008D5B55"/>
    <w:rsid w:val="008D60E5"/>
    <w:rsid w:val="008D6B03"/>
    <w:rsid w:val="008D7B7B"/>
    <w:rsid w:val="008E0F59"/>
    <w:rsid w:val="008E3FF7"/>
    <w:rsid w:val="008E454E"/>
    <w:rsid w:val="008E48DD"/>
    <w:rsid w:val="008E6890"/>
    <w:rsid w:val="008F4EE4"/>
    <w:rsid w:val="0090550B"/>
    <w:rsid w:val="00905F75"/>
    <w:rsid w:val="00906028"/>
    <w:rsid w:val="00911EF8"/>
    <w:rsid w:val="00913867"/>
    <w:rsid w:val="00913D4B"/>
    <w:rsid w:val="0091409E"/>
    <w:rsid w:val="00914466"/>
    <w:rsid w:val="00915B01"/>
    <w:rsid w:val="00917307"/>
    <w:rsid w:val="0092149F"/>
    <w:rsid w:val="00921AF7"/>
    <w:rsid w:val="00926EC4"/>
    <w:rsid w:val="00931D8D"/>
    <w:rsid w:val="009336EF"/>
    <w:rsid w:val="00941E0A"/>
    <w:rsid w:val="009456BA"/>
    <w:rsid w:val="00946958"/>
    <w:rsid w:val="00954AB5"/>
    <w:rsid w:val="0095771C"/>
    <w:rsid w:val="00957947"/>
    <w:rsid w:val="009667EC"/>
    <w:rsid w:val="00970D52"/>
    <w:rsid w:val="00971EB0"/>
    <w:rsid w:val="00972B44"/>
    <w:rsid w:val="00974462"/>
    <w:rsid w:val="00976073"/>
    <w:rsid w:val="0098423F"/>
    <w:rsid w:val="00986C5D"/>
    <w:rsid w:val="0098756B"/>
    <w:rsid w:val="00991EB9"/>
    <w:rsid w:val="00992FE1"/>
    <w:rsid w:val="009936C0"/>
    <w:rsid w:val="00994E40"/>
    <w:rsid w:val="00995372"/>
    <w:rsid w:val="00995B0F"/>
    <w:rsid w:val="00997A96"/>
    <w:rsid w:val="009A3BBE"/>
    <w:rsid w:val="009A5B78"/>
    <w:rsid w:val="009B08CE"/>
    <w:rsid w:val="009B1F70"/>
    <w:rsid w:val="009B2AA6"/>
    <w:rsid w:val="009B3F4D"/>
    <w:rsid w:val="009B4781"/>
    <w:rsid w:val="009C42BF"/>
    <w:rsid w:val="009C5D9F"/>
    <w:rsid w:val="009C67A0"/>
    <w:rsid w:val="009D2F6D"/>
    <w:rsid w:val="009D4345"/>
    <w:rsid w:val="009D726D"/>
    <w:rsid w:val="009E02A3"/>
    <w:rsid w:val="009E189A"/>
    <w:rsid w:val="009E216E"/>
    <w:rsid w:val="009E4A9F"/>
    <w:rsid w:val="009E5180"/>
    <w:rsid w:val="009E641B"/>
    <w:rsid w:val="009E7F66"/>
    <w:rsid w:val="009F2855"/>
    <w:rsid w:val="009F3F44"/>
    <w:rsid w:val="009F764A"/>
    <w:rsid w:val="009F7DF7"/>
    <w:rsid w:val="00A0144A"/>
    <w:rsid w:val="00A0227B"/>
    <w:rsid w:val="00A0447C"/>
    <w:rsid w:val="00A1498E"/>
    <w:rsid w:val="00A15428"/>
    <w:rsid w:val="00A154F2"/>
    <w:rsid w:val="00A22880"/>
    <w:rsid w:val="00A266DF"/>
    <w:rsid w:val="00A27292"/>
    <w:rsid w:val="00A33A68"/>
    <w:rsid w:val="00A351D1"/>
    <w:rsid w:val="00A36763"/>
    <w:rsid w:val="00A37694"/>
    <w:rsid w:val="00A37A41"/>
    <w:rsid w:val="00A40353"/>
    <w:rsid w:val="00A42830"/>
    <w:rsid w:val="00A42F49"/>
    <w:rsid w:val="00A45BF6"/>
    <w:rsid w:val="00A46C52"/>
    <w:rsid w:val="00A472AE"/>
    <w:rsid w:val="00A4730E"/>
    <w:rsid w:val="00A47E00"/>
    <w:rsid w:val="00A5472F"/>
    <w:rsid w:val="00A55283"/>
    <w:rsid w:val="00A60AB8"/>
    <w:rsid w:val="00A6269D"/>
    <w:rsid w:val="00A644AD"/>
    <w:rsid w:val="00A64C28"/>
    <w:rsid w:val="00A64C76"/>
    <w:rsid w:val="00A65A0C"/>
    <w:rsid w:val="00A660BF"/>
    <w:rsid w:val="00A67DD5"/>
    <w:rsid w:val="00A70997"/>
    <w:rsid w:val="00A709B6"/>
    <w:rsid w:val="00A71E25"/>
    <w:rsid w:val="00A71F99"/>
    <w:rsid w:val="00A725F9"/>
    <w:rsid w:val="00A731FF"/>
    <w:rsid w:val="00A7359A"/>
    <w:rsid w:val="00A75F3B"/>
    <w:rsid w:val="00A77DDF"/>
    <w:rsid w:val="00A80F2B"/>
    <w:rsid w:val="00A81F9F"/>
    <w:rsid w:val="00A822F9"/>
    <w:rsid w:val="00A87B77"/>
    <w:rsid w:val="00A90DDA"/>
    <w:rsid w:val="00A929CD"/>
    <w:rsid w:val="00A92ADF"/>
    <w:rsid w:val="00A931B7"/>
    <w:rsid w:val="00A9519F"/>
    <w:rsid w:val="00A9544D"/>
    <w:rsid w:val="00A95D27"/>
    <w:rsid w:val="00A96884"/>
    <w:rsid w:val="00AA08D7"/>
    <w:rsid w:val="00AA422E"/>
    <w:rsid w:val="00AA7D0C"/>
    <w:rsid w:val="00AB0E0A"/>
    <w:rsid w:val="00AB46E2"/>
    <w:rsid w:val="00AB4C18"/>
    <w:rsid w:val="00AB5F83"/>
    <w:rsid w:val="00AB62F8"/>
    <w:rsid w:val="00AB68CE"/>
    <w:rsid w:val="00AC17F2"/>
    <w:rsid w:val="00AC2A25"/>
    <w:rsid w:val="00AC33D7"/>
    <w:rsid w:val="00AC5874"/>
    <w:rsid w:val="00AD0361"/>
    <w:rsid w:val="00AD2A3A"/>
    <w:rsid w:val="00AD3D18"/>
    <w:rsid w:val="00AD4EBC"/>
    <w:rsid w:val="00AD79D6"/>
    <w:rsid w:val="00AE016D"/>
    <w:rsid w:val="00AE1385"/>
    <w:rsid w:val="00AE1F91"/>
    <w:rsid w:val="00AE3837"/>
    <w:rsid w:val="00AE571A"/>
    <w:rsid w:val="00AE6189"/>
    <w:rsid w:val="00AF0091"/>
    <w:rsid w:val="00AF0FB8"/>
    <w:rsid w:val="00AF1646"/>
    <w:rsid w:val="00AF170F"/>
    <w:rsid w:val="00AF1FB6"/>
    <w:rsid w:val="00AF3304"/>
    <w:rsid w:val="00AF3C03"/>
    <w:rsid w:val="00AF7178"/>
    <w:rsid w:val="00B0008E"/>
    <w:rsid w:val="00B008DD"/>
    <w:rsid w:val="00B012CA"/>
    <w:rsid w:val="00B018F0"/>
    <w:rsid w:val="00B01B7A"/>
    <w:rsid w:val="00B01EF0"/>
    <w:rsid w:val="00B02388"/>
    <w:rsid w:val="00B028A1"/>
    <w:rsid w:val="00B0407A"/>
    <w:rsid w:val="00B04BD4"/>
    <w:rsid w:val="00B05BBF"/>
    <w:rsid w:val="00B12B96"/>
    <w:rsid w:val="00B12F2E"/>
    <w:rsid w:val="00B132BF"/>
    <w:rsid w:val="00B147D2"/>
    <w:rsid w:val="00B15A02"/>
    <w:rsid w:val="00B16184"/>
    <w:rsid w:val="00B16E75"/>
    <w:rsid w:val="00B21D1C"/>
    <w:rsid w:val="00B21FD7"/>
    <w:rsid w:val="00B24239"/>
    <w:rsid w:val="00B2578B"/>
    <w:rsid w:val="00B26848"/>
    <w:rsid w:val="00B26A16"/>
    <w:rsid w:val="00B26A1D"/>
    <w:rsid w:val="00B316D4"/>
    <w:rsid w:val="00B32AC3"/>
    <w:rsid w:val="00B33BDD"/>
    <w:rsid w:val="00B34903"/>
    <w:rsid w:val="00B34E10"/>
    <w:rsid w:val="00B363B2"/>
    <w:rsid w:val="00B40AC7"/>
    <w:rsid w:val="00B43590"/>
    <w:rsid w:val="00B46E4E"/>
    <w:rsid w:val="00B473D7"/>
    <w:rsid w:val="00B4741E"/>
    <w:rsid w:val="00B47F1C"/>
    <w:rsid w:val="00B51FCA"/>
    <w:rsid w:val="00B55E02"/>
    <w:rsid w:val="00B574BE"/>
    <w:rsid w:val="00B60D8B"/>
    <w:rsid w:val="00B7403A"/>
    <w:rsid w:val="00B74286"/>
    <w:rsid w:val="00B74A86"/>
    <w:rsid w:val="00B76C23"/>
    <w:rsid w:val="00B773A7"/>
    <w:rsid w:val="00B81F0E"/>
    <w:rsid w:val="00B82458"/>
    <w:rsid w:val="00B844BA"/>
    <w:rsid w:val="00B87B0A"/>
    <w:rsid w:val="00B922D8"/>
    <w:rsid w:val="00B948E6"/>
    <w:rsid w:val="00B96423"/>
    <w:rsid w:val="00B96D33"/>
    <w:rsid w:val="00BA3035"/>
    <w:rsid w:val="00BA581C"/>
    <w:rsid w:val="00BA5FB6"/>
    <w:rsid w:val="00BA7D7D"/>
    <w:rsid w:val="00BA7DF6"/>
    <w:rsid w:val="00BB0F49"/>
    <w:rsid w:val="00BB31AC"/>
    <w:rsid w:val="00BB31DA"/>
    <w:rsid w:val="00BB5DC2"/>
    <w:rsid w:val="00BB5F84"/>
    <w:rsid w:val="00BB6EE0"/>
    <w:rsid w:val="00BC116C"/>
    <w:rsid w:val="00BC13AB"/>
    <w:rsid w:val="00BC5D6C"/>
    <w:rsid w:val="00BC6AF4"/>
    <w:rsid w:val="00BC7F68"/>
    <w:rsid w:val="00BD158C"/>
    <w:rsid w:val="00BD5539"/>
    <w:rsid w:val="00BD610E"/>
    <w:rsid w:val="00BD6E1C"/>
    <w:rsid w:val="00BE13AE"/>
    <w:rsid w:val="00BE2F0A"/>
    <w:rsid w:val="00BE3747"/>
    <w:rsid w:val="00BE3A9E"/>
    <w:rsid w:val="00BE497D"/>
    <w:rsid w:val="00BE4C75"/>
    <w:rsid w:val="00BE6220"/>
    <w:rsid w:val="00BF1DCB"/>
    <w:rsid w:val="00BF3984"/>
    <w:rsid w:val="00BF51EE"/>
    <w:rsid w:val="00BF7DB8"/>
    <w:rsid w:val="00BF7E3D"/>
    <w:rsid w:val="00C0081F"/>
    <w:rsid w:val="00C01325"/>
    <w:rsid w:val="00C035B8"/>
    <w:rsid w:val="00C039AF"/>
    <w:rsid w:val="00C05311"/>
    <w:rsid w:val="00C07936"/>
    <w:rsid w:val="00C07DBF"/>
    <w:rsid w:val="00C101F6"/>
    <w:rsid w:val="00C10631"/>
    <w:rsid w:val="00C129BF"/>
    <w:rsid w:val="00C13788"/>
    <w:rsid w:val="00C15DC9"/>
    <w:rsid w:val="00C17391"/>
    <w:rsid w:val="00C17978"/>
    <w:rsid w:val="00C20ECF"/>
    <w:rsid w:val="00C22E71"/>
    <w:rsid w:val="00C25CA0"/>
    <w:rsid w:val="00C312F6"/>
    <w:rsid w:val="00C31F9A"/>
    <w:rsid w:val="00C33833"/>
    <w:rsid w:val="00C37714"/>
    <w:rsid w:val="00C40715"/>
    <w:rsid w:val="00C44B66"/>
    <w:rsid w:val="00C50193"/>
    <w:rsid w:val="00C50718"/>
    <w:rsid w:val="00C519E4"/>
    <w:rsid w:val="00C51C77"/>
    <w:rsid w:val="00C52470"/>
    <w:rsid w:val="00C53F17"/>
    <w:rsid w:val="00C57B59"/>
    <w:rsid w:val="00C60A86"/>
    <w:rsid w:val="00C62979"/>
    <w:rsid w:val="00C62E81"/>
    <w:rsid w:val="00C6586D"/>
    <w:rsid w:val="00C70A0B"/>
    <w:rsid w:val="00C733F8"/>
    <w:rsid w:val="00C74B9A"/>
    <w:rsid w:val="00C75AF8"/>
    <w:rsid w:val="00C76F1F"/>
    <w:rsid w:val="00C8179B"/>
    <w:rsid w:val="00C82934"/>
    <w:rsid w:val="00C87AC6"/>
    <w:rsid w:val="00C946BD"/>
    <w:rsid w:val="00CA0563"/>
    <w:rsid w:val="00CA359E"/>
    <w:rsid w:val="00CA65B5"/>
    <w:rsid w:val="00CB61D7"/>
    <w:rsid w:val="00CB785E"/>
    <w:rsid w:val="00CC0423"/>
    <w:rsid w:val="00CC55FB"/>
    <w:rsid w:val="00CC6BEE"/>
    <w:rsid w:val="00CD2B3B"/>
    <w:rsid w:val="00CD2D4D"/>
    <w:rsid w:val="00CD5D30"/>
    <w:rsid w:val="00CD5F29"/>
    <w:rsid w:val="00CD7342"/>
    <w:rsid w:val="00CD75EC"/>
    <w:rsid w:val="00CE25D7"/>
    <w:rsid w:val="00CE4E90"/>
    <w:rsid w:val="00CE5901"/>
    <w:rsid w:val="00CE7508"/>
    <w:rsid w:val="00CE770C"/>
    <w:rsid w:val="00CF2406"/>
    <w:rsid w:val="00CF48FE"/>
    <w:rsid w:val="00CF4D2D"/>
    <w:rsid w:val="00CF727C"/>
    <w:rsid w:val="00D00C41"/>
    <w:rsid w:val="00D01B2B"/>
    <w:rsid w:val="00D0261F"/>
    <w:rsid w:val="00D032A0"/>
    <w:rsid w:val="00D114FB"/>
    <w:rsid w:val="00D11E3D"/>
    <w:rsid w:val="00D13C6D"/>
    <w:rsid w:val="00D158A0"/>
    <w:rsid w:val="00D15F0B"/>
    <w:rsid w:val="00D16EA3"/>
    <w:rsid w:val="00D1789C"/>
    <w:rsid w:val="00D210B2"/>
    <w:rsid w:val="00D21A8A"/>
    <w:rsid w:val="00D21BA7"/>
    <w:rsid w:val="00D2230A"/>
    <w:rsid w:val="00D22513"/>
    <w:rsid w:val="00D23554"/>
    <w:rsid w:val="00D264A2"/>
    <w:rsid w:val="00D26F7E"/>
    <w:rsid w:val="00D30A44"/>
    <w:rsid w:val="00D3133B"/>
    <w:rsid w:val="00D318EB"/>
    <w:rsid w:val="00D33268"/>
    <w:rsid w:val="00D352EB"/>
    <w:rsid w:val="00D35542"/>
    <w:rsid w:val="00D44434"/>
    <w:rsid w:val="00D47B9E"/>
    <w:rsid w:val="00D47EAC"/>
    <w:rsid w:val="00D5028A"/>
    <w:rsid w:val="00D51652"/>
    <w:rsid w:val="00D5315D"/>
    <w:rsid w:val="00D56D3A"/>
    <w:rsid w:val="00D60542"/>
    <w:rsid w:val="00D61438"/>
    <w:rsid w:val="00D61574"/>
    <w:rsid w:val="00D617F1"/>
    <w:rsid w:val="00D61B85"/>
    <w:rsid w:val="00D63655"/>
    <w:rsid w:val="00D66CAE"/>
    <w:rsid w:val="00D6743F"/>
    <w:rsid w:val="00D72A50"/>
    <w:rsid w:val="00D74B2C"/>
    <w:rsid w:val="00D75917"/>
    <w:rsid w:val="00D80CEA"/>
    <w:rsid w:val="00D8181C"/>
    <w:rsid w:val="00D823F3"/>
    <w:rsid w:val="00D83283"/>
    <w:rsid w:val="00D84F56"/>
    <w:rsid w:val="00D8615F"/>
    <w:rsid w:val="00D864D4"/>
    <w:rsid w:val="00D902E6"/>
    <w:rsid w:val="00D9059A"/>
    <w:rsid w:val="00D91C74"/>
    <w:rsid w:val="00D91F57"/>
    <w:rsid w:val="00D96C65"/>
    <w:rsid w:val="00DA1073"/>
    <w:rsid w:val="00DA2197"/>
    <w:rsid w:val="00DA3364"/>
    <w:rsid w:val="00DA62D8"/>
    <w:rsid w:val="00DA71C4"/>
    <w:rsid w:val="00DB612A"/>
    <w:rsid w:val="00DB7E19"/>
    <w:rsid w:val="00DC0227"/>
    <w:rsid w:val="00DC0F6C"/>
    <w:rsid w:val="00DC17A0"/>
    <w:rsid w:val="00DC38B6"/>
    <w:rsid w:val="00DC60A2"/>
    <w:rsid w:val="00DC7652"/>
    <w:rsid w:val="00DD18A7"/>
    <w:rsid w:val="00DD36BC"/>
    <w:rsid w:val="00DD41EA"/>
    <w:rsid w:val="00DD4B43"/>
    <w:rsid w:val="00DD700D"/>
    <w:rsid w:val="00DD7E2D"/>
    <w:rsid w:val="00DE0C46"/>
    <w:rsid w:val="00DE1DBF"/>
    <w:rsid w:val="00DE34C1"/>
    <w:rsid w:val="00DE44FB"/>
    <w:rsid w:val="00DE5263"/>
    <w:rsid w:val="00DE628B"/>
    <w:rsid w:val="00DE6D16"/>
    <w:rsid w:val="00DF2808"/>
    <w:rsid w:val="00DF2C8B"/>
    <w:rsid w:val="00DF5D35"/>
    <w:rsid w:val="00DF70F4"/>
    <w:rsid w:val="00DF7CF0"/>
    <w:rsid w:val="00DF7FEA"/>
    <w:rsid w:val="00E00807"/>
    <w:rsid w:val="00E026BB"/>
    <w:rsid w:val="00E04619"/>
    <w:rsid w:val="00E0486B"/>
    <w:rsid w:val="00E10B98"/>
    <w:rsid w:val="00E13AD7"/>
    <w:rsid w:val="00E150D9"/>
    <w:rsid w:val="00E16C75"/>
    <w:rsid w:val="00E16D11"/>
    <w:rsid w:val="00E17213"/>
    <w:rsid w:val="00E174BD"/>
    <w:rsid w:val="00E20B6B"/>
    <w:rsid w:val="00E23C72"/>
    <w:rsid w:val="00E2480E"/>
    <w:rsid w:val="00E26797"/>
    <w:rsid w:val="00E346CD"/>
    <w:rsid w:val="00E34EB1"/>
    <w:rsid w:val="00E35254"/>
    <w:rsid w:val="00E438E8"/>
    <w:rsid w:val="00E4410D"/>
    <w:rsid w:val="00E44D92"/>
    <w:rsid w:val="00E44F7D"/>
    <w:rsid w:val="00E4627E"/>
    <w:rsid w:val="00E52C86"/>
    <w:rsid w:val="00E53780"/>
    <w:rsid w:val="00E5379C"/>
    <w:rsid w:val="00E551DB"/>
    <w:rsid w:val="00E576EF"/>
    <w:rsid w:val="00E57D7E"/>
    <w:rsid w:val="00E604D4"/>
    <w:rsid w:val="00E61547"/>
    <w:rsid w:val="00E67778"/>
    <w:rsid w:val="00E678F9"/>
    <w:rsid w:val="00E81737"/>
    <w:rsid w:val="00E844FB"/>
    <w:rsid w:val="00E84815"/>
    <w:rsid w:val="00E90A1A"/>
    <w:rsid w:val="00E91CE9"/>
    <w:rsid w:val="00E91E41"/>
    <w:rsid w:val="00E92C52"/>
    <w:rsid w:val="00E93154"/>
    <w:rsid w:val="00E939FF"/>
    <w:rsid w:val="00E93FF3"/>
    <w:rsid w:val="00E94B5E"/>
    <w:rsid w:val="00E95849"/>
    <w:rsid w:val="00EA1CA2"/>
    <w:rsid w:val="00EA2927"/>
    <w:rsid w:val="00EA75D0"/>
    <w:rsid w:val="00EB254D"/>
    <w:rsid w:val="00EB2636"/>
    <w:rsid w:val="00EB3A19"/>
    <w:rsid w:val="00EB5BC9"/>
    <w:rsid w:val="00EB61EC"/>
    <w:rsid w:val="00EC4B0D"/>
    <w:rsid w:val="00EC4F2F"/>
    <w:rsid w:val="00EC572E"/>
    <w:rsid w:val="00ED04E1"/>
    <w:rsid w:val="00ED0706"/>
    <w:rsid w:val="00ED11BD"/>
    <w:rsid w:val="00ED2632"/>
    <w:rsid w:val="00ED2893"/>
    <w:rsid w:val="00ED2ABC"/>
    <w:rsid w:val="00ED33CF"/>
    <w:rsid w:val="00ED5460"/>
    <w:rsid w:val="00ED563E"/>
    <w:rsid w:val="00ED5C44"/>
    <w:rsid w:val="00ED7EFD"/>
    <w:rsid w:val="00EE5C3F"/>
    <w:rsid w:val="00EE5D91"/>
    <w:rsid w:val="00EE600C"/>
    <w:rsid w:val="00EF0221"/>
    <w:rsid w:val="00EF07F5"/>
    <w:rsid w:val="00EF10F1"/>
    <w:rsid w:val="00EF5129"/>
    <w:rsid w:val="00EF5EB4"/>
    <w:rsid w:val="00EF6E28"/>
    <w:rsid w:val="00EF769D"/>
    <w:rsid w:val="00F00091"/>
    <w:rsid w:val="00F00225"/>
    <w:rsid w:val="00F007A0"/>
    <w:rsid w:val="00F02E5E"/>
    <w:rsid w:val="00F03A86"/>
    <w:rsid w:val="00F04031"/>
    <w:rsid w:val="00F057C6"/>
    <w:rsid w:val="00F06529"/>
    <w:rsid w:val="00F074DE"/>
    <w:rsid w:val="00F102BF"/>
    <w:rsid w:val="00F10EF0"/>
    <w:rsid w:val="00F11953"/>
    <w:rsid w:val="00F138D4"/>
    <w:rsid w:val="00F13A84"/>
    <w:rsid w:val="00F1508A"/>
    <w:rsid w:val="00F1527B"/>
    <w:rsid w:val="00F15A95"/>
    <w:rsid w:val="00F207B0"/>
    <w:rsid w:val="00F26A25"/>
    <w:rsid w:val="00F26C5D"/>
    <w:rsid w:val="00F32034"/>
    <w:rsid w:val="00F322B7"/>
    <w:rsid w:val="00F33260"/>
    <w:rsid w:val="00F33442"/>
    <w:rsid w:val="00F4166A"/>
    <w:rsid w:val="00F41CAA"/>
    <w:rsid w:val="00F41E29"/>
    <w:rsid w:val="00F441EC"/>
    <w:rsid w:val="00F4478F"/>
    <w:rsid w:val="00F455B9"/>
    <w:rsid w:val="00F46D7C"/>
    <w:rsid w:val="00F478D7"/>
    <w:rsid w:val="00F47FCE"/>
    <w:rsid w:val="00F5092A"/>
    <w:rsid w:val="00F514EC"/>
    <w:rsid w:val="00F51996"/>
    <w:rsid w:val="00F53528"/>
    <w:rsid w:val="00F54314"/>
    <w:rsid w:val="00F60D48"/>
    <w:rsid w:val="00F6184A"/>
    <w:rsid w:val="00F6337D"/>
    <w:rsid w:val="00F64692"/>
    <w:rsid w:val="00F6789A"/>
    <w:rsid w:val="00F70466"/>
    <w:rsid w:val="00F718F6"/>
    <w:rsid w:val="00F72B7A"/>
    <w:rsid w:val="00F7435D"/>
    <w:rsid w:val="00F74D56"/>
    <w:rsid w:val="00F76304"/>
    <w:rsid w:val="00F77633"/>
    <w:rsid w:val="00F77F4C"/>
    <w:rsid w:val="00F81E0D"/>
    <w:rsid w:val="00F822E9"/>
    <w:rsid w:val="00F82D93"/>
    <w:rsid w:val="00F83E5F"/>
    <w:rsid w:val="00F85217"/>
    <w:rsid w:val="00F86204"/>
    <w:rsid w:val="00F86904"/>
    <w:rsid w:val="00F870F8"/>
    <w:rsid w:val="00F90FE2"/>
    <w:rsid w:val="00F941F5"/>
    <w:rsid w:val="00F95CFB"/>
    <w:rsid w:val="00F977A1"/>
    <w:rsid w:val="00F97946"/>
    <w:rsid w:val="00FA0346"/>
    <w:rsid w:val="00FA3BD9"/>
    <w:rsid w:val="00FA3C37"/>
    <w:rsid w:val="00FA60F2"/>
    <w:rsid w:val="00FA6479"/>
    <w:rsid w:val="00FA6918"/>
    <w:rsid w:val="00FA740E"/>
    <w:rsid w:val="00FA791F"/>
    <w:rsid w:val="00FB01EE"/>
    <w:rsid w:val="00FB13D2"/>
    <w:rsid w:val="00FB2814"/>
    <w:rsid w:val="00FB45DF"/>
    <w:rsid w:val="00FB51B4"/>
    <w:rsid w:val="00FB6709"/>
    <w:rsid w:val="00FC6035"/>
    <w:rsid w:val="00FC7624"/>
    <w:rsid w:val="00FD2DDD"/>
    <w:rsid w:val="00FD3A93"/>
    <w:rsid w:val="00FD3B0F"/>
    <w:rsid w:val="00FD50EB"/>
    <w:rsid w:val="00FD5B2C"/>
    <w:rsid w:val="00FE15F9"/>
    <w:rsid w:val="00FE1EFB"/>
    <w:rsid w:val="00FE260A"/>
    <w:rsid w:val="00FE384B"/>
    <w:rsid w:val="00FE4B93"/>
    <w:rsid w:val="00FE5719"/>
    <w:rsid w:val="00FE67EB"/>
    <w:rsid w:val="00FF23EA"/>
    <w:rsid w:val="00FF3BC1"/>
    <w:rsid w:val="00FF531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5:docId w15:val="{4A2FC8DD-53F5-4F07-B7B9-140072782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line="28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45DF"/>
    <w:rPr>
      <w:sz w:val="20"/>
    </w:rPr>
  </w:style>
  <w:style w:type="paragraph" w:styleId="Overskrift1">
    <w:name w:val="heading 1"/>
    <w:basedOn w:val="Normal"/>
    <w:next w:val="Normal"/>
    <w:link w:val="Overskrift1Tegn"/>
    <w:uiPriority w:val="9"/>
    <w:qFormat/>
    <w:rsid w:val="00783013"/>
    <w:pPr>
      <w:keepNext/>
      <w:keepLines/>
      <w:spacing w:after="280"/>
      <w:outlineLvl w:val="0"/>
    </w:pPr>
    <w:rPr>
      <w:rFonts w:asciiTheme="majorHAnsi" w:eastAsiaTheme="majorEastAsia" w:hAnsiTheme="majorHAnsi" w:cstheme="majorBidi"/>
      <w:bCs/>
      <w:sz w:val="28"/>
      <w:szCs w:val="28"/>
    </w:rPr>
  </w:style>
  <w:style w:type="paragraph" w:styleId="Overskrift2">
    <w:name w:val="heading 2"/>
    <w:basedOn w:val="Normal"/>
    <w:next w:val="Normal"/>
    <w:link w:val="Overskrift2Tegn"/>
    <w:uiPriority w:val="9"/>
    <w:unhideWhenUsed/>
    <w:qFormat/>
    <w:rsid w:val="00FB45DF"/>
    <w:pPr>
      <w:keepNext/>
      <w:keepLines/>
      <w:outlineLvl w:val="1"/>
    </w:pPr>
    <w:rPr>
      <w:rFonts w:asciiTheme="majorHAnsi" w:eastAsiaTheme="majorEastAsia" w:hAnsiTheme="majorHAnsi" w:cstheme="majorBidi"/>
      <w:bCs/>
      <w:sz w:val="26"/>
      <w:szCs w:val="26"/>
    </w:rPr>
  </w:style>
  <w:style w:type="paragraph" w:styleId="Overskrift3">
    <w:name w:val="heading 3"/>
    <w:basedOn w:val="Normal"/>
    <w:next w:val="Normal"/>
    <w:link w:val="Overskrift3Tegn"/>
    <w:uiPriority w:val="9"/>
    <w:unhideWhenUsed/>
    <w:qFormat/>
    <w:rsid w:val="00FB45DF"/>
    <w:pPr>
      <w:keepNext/>
      <w:keepLines/>
      <w:outlineLvl w:val="2"/>
    </w:pPr>
    <w:rPr>
      <w:rFonts w:asciiTheme="majorHAnsi" w:eastAsiaTheme="majorEastAsia" w:hAnsiTheme="majorHAnsi" w:cstheme="majorBidi"/>
      <w:b/>
      <w:b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3Tegn">
    <w:name w:val="Overskrift 3 Tegn"/>
    <w:basedOn w:val="Standardskrifttypeiafsnit"/>
    <w:link w:val="Overskrift3"/>
    <w:uiPriority w:val="9"/>
    <w:rsid w:val="00FB45DF"/>
    <w:rPr>
      <w:rFonts w:asciiTheme="majorHAnsi" w:eastAsiaTheme="majorEastAsia" w:hAnsiTheme="majorHAnsi" w:cstheme="majorBidi"/>
      <w:b/>
      <w:bCs/>
      <w:sz w:val="20"/>
    </w:rPr>
  </w:style>
  <w:style w:type="character" w:customStyle="1" w:styleId="Overskrift1Tegn">
    <w:name w:val="Overskrift 1 Tegn"/>
    <w:basedOn w:val="Standardskrifttypeiafsnit"/>
    <w:link w:val="Overskrift1"/>
    <w:uiPriority w:val="9"/>
    <w:rsid w:val="00783013"/>
    <w:rPr>
      <w:rFonts w:asciiTheme="majorHAnsi" w:eastAsiaTheme="majorEastAsia" w:hAnsiTheme="majorHAnsi" w:cstheme="majorBidi"/>
      <w:bCs/>
      <w:sz w:val="28"/>
      <w:szCs w:val="28"/>
    </w:rPr>
  </w:style>
  <w:style w:type="character" w:customStyle="1" w:styleId="Overskrift2Tegn">
    <w:name w:val="Overskrift 2 Tegn"/>
    <w:basedOn w:val="Standardskrifttypeiafsnit"/>
    <w:link w:val="Overskrift2"/>
    <w:uiPriority w:val="9"/>
    <w:rsid w:val="00FB45DF"/>
    <w:rPr>
      <w:rFonts w:asciiTheme="majorHAnsi" w:eastAsiaTheme="majorEastAsia" w:hAnsiTheme="majorHAnsi" w:cstheme="majorBidi"/>
      <w:bCs/>
      <w:sz w:val="26"/>
      <w:szCs w:val="26"/>
    </w:rPr>
  </w:style>
  <w:style w:type="paragraph" w:styleId="Sidehoved">
    <w:name w:val="header"/>
    <w:basedOn w:val="Normal"/>
    <w:link w:val="SidehovedTegn"/>
    <w:uiPriority w:val="99"/>
    <w:unhideWhenUsed/>
    <w:rsid w:val="00E61547"/>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E61547"/>
    <w:rPr>
      <w:sz w:val="20"/>
    </w:rPr>
  </w:style>
  <w:style w:type="paragraph" w:styleId="Sidefod">
    <w:name w:val="footer"/>
    <w:basedOn w:val="Normal"/>
    <w:link w:val="SidefodTegn"/>
    <w:uiPriority w:val="99"/>
    <w:unhideWhenUsed/>
    <w:rsid w:val="00E61547"/>
    <w:pPr>
      <w:tabs>
        <w:tab w:val="center" w:pos="4819"/>
        <w:tab w:val="right" w:pos="9638"/>
      </w:tabs>
      <w:spacing w:line="240" w:lineRule="auto"/>
    </w:pPr>
  </w:style>
  <w:style w:type="character" w:customStyle="1" w:styleId="SidefodTegn">
    <w:name w:val="Sidefod Tegn"/>
    <w:basedOn w:val="Standardskrifttypeiafsnit"/>
    <w:link w:val="Sidefod"/>
    <w:uiPriority w:val="99"/>
    <w:rsid w:val="00E61547"/>
    <w:rPr>
      <w:sz w:val="20"/>
    </w:rPr>
  </w:style>
  <w:style w:type="paragraph" w:styleId="Markeringsbobletekst">
    <w:name w:val="Balloon Text"/>
    <w:basedOn w:val="Normal"/>
    <w:link w:val="MarkeringsbobletekstTegn"/>
    <w:uiPriority w:val="99"/>
    <w:semiHidden/>
    <w:unhideWhenUsed/>
    <w:rsid w:val="00E61547"/>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61547"/>
    <w:rPr>
      <w:rFonts w:ascii="Tahoma" w:hAnsi="Tahoma" w:cs="Tahoma"/>
      <w:sz w:val="16"/>
      <w:szCs w:val="16"/>
    </w:rPr>
  </w:style>
  <w:style w:type="table" w:styleId="Tabel-Gitter">
    <w:name w:val="Table Grid"/>
    <w:basedOn w:val="Tabel-Normal"/>
    <w:uiPriority w:val="59"/>
    <w:rsid w:val="0057113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dsholdertekst">
    <w:name w:val="Placeholder Text"/>
    <w:basedOn w:val="Standardskrifttypeiafsnit"/>
    <w:uiPriority w:val="99"/>
    <w:semiHidden/>
    <w:rsid w:val="00D22513"/>
    <w:rPr>
      <w:color w:val="808080"/>
    </w:rPr>
  </w:style>
  <w:style w:type="paragraph" w:styleId="Listeafsnit">
    <w:name w:val="List Paragraph"/>
    <w:basedOn w:val="Normal"/>
    <w:uiPriority w:val="34"/>
    <w:qFormat/>
    <w:rsid w:val="00ED0706"/>
    <w:pPr>
      <w:ind w:left="720"/>
      <w:contextualSpacing/>
    </w:pPr>
  </w:style>
  <w:style w:type="paragraph" w:customStyle="1" w:styleId="DecimalAligned">
    <w:name w:val="Decimal Aligned"/>
    <w:basedOn w:val="Normal"/>
    <w:uiPriority w:val="40"/>
    <w:qFormat/>
    <w:rsid w:val="00142600"/>
    <w:pPr>
      <w:tabs>
        <w:tab w:val="decimal" w:pos="360"/>
      </w:tabs>
      <w:spacing w:after="200" w:line="276" w:lineRule="auto"/>
    </w:pPr>
    <w:rPr>
      <w:rFonts w:eastAsiaTheme="minorEastAsia"/>
      <w:sz w:val="22"/>
    </w:rPr>
  </w:style>
  <w:style w:type="paragraph" w:styleId="Fodnotetekst">
    <w:name w:val="footnote text"/>
    <w:basedOn w:val="Normal"/>
    <w:link w:val="FodnotetekstTegn"/>
    <w:uiPriority w:val="99"/>
    <w:unhideWhenUsed/>
    <w:rsid w:val="00142600"/>
    <w:pPr>
      <w:spacing w:line="240" w:lineRule="auto"/>
    </w:pPr>
    <w:rPr>
      <w:rFonts w:eastAsiaTheme="minorEastAsia"/>
      <w:szCs w:val="20"/>
    </w:rPr>
  </w:style>
  <w:style w:type="character" w:customStyle="1" w:styleId="FodnotetekstTegn">
    <w:name w:val="Fodnotetekst Tegn"/>
    <w:basedOn w:val="Standardskrifttypeiafsnit"/>
    <w:link w:val="Fodnotetekst"/>
    <w:uiPriority w:val="99"/>
    <w:rsid w:val="00142600"/>
    <w:rPr>
      <w:rFonts w:eastAsiaTheme="minorEastAsia"/>
      <w:sz w:val="20"/>
      <w:szCs w:val="20"/>
    </w:rPr>
  </w:style>
  <w:style w:type="character" w:styleId="Svagfremhvning">
    <w:name w:val="Subtle Emphasis"/>
    <w:basedOn w:val="Standardskrifttypeiafsnit"/>
    <w:uiPriority w:val="19"/>
    <w:qFormat/>
    <w:rsid w:val="00142600"/>
    <w:rPr>
      <w:rFonts w:eastAsiaTheme="minorEastAsia" w:cstheme="minorBidi"/>
      <w:bCs w:val="0"/>
      <w:i/>
      <w:iCs/>
      <w:color w:val="808080" w:themeColor="text1" w:themeTint="7F"/>
      <w:szCs w:val="22"/>
      <w:lang w:val="da-DK"/>
    </w:rPr>
  </w:style>
  <w:style w:type="table" w:customStyle="1" w:styleId="Lysskygge-markeringsfarve11">
    <w:name w:val="Lys skygge - markeringsfarve 11"/>
    <w:basedOn w:val="Tabel-Normal"/>
    <w:uiPriority w:val="60"/>
    <w:rsid w:val="00142600"/>
    <w:pPr>
      <w:spacing w:line="240" w:lineRule="auto"/>
    </w:pPr>
    <w:rPr>
      <w:rFonts w:eastAsiaTheme="minorEastAsia"/>
      <w:color w:val="950000" w:themeColor="accent1" w:themeShade="BF"/>
    </w:rPr>
    <w:tblPr>
      <w:tblStyleRowBandSize w:val="1"/>
      <w:tblStyleColBandSize w:val="1"/>
      <w:tblInd w:w="0" w:type="dxa"/>
      <w:tblBorders>
        <w:top w:val="single" w:sz="8" w:space="0" w:color="C70000" w:themeColor="accent1"/>
        <w:bottom w:val="single" w:sz="8" w:space="0" w:color="C7000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70000" w:themeColor="accent1"/>
          <w:left w:val="nil"/>
          <w:bottom w:val="single" w:sz="8" w:space="0" w:color="C70000" w:themeColor="accent1"/>
          <w:right w:val="nil"/>
          <w:insideH w:val="nil"/>
          <w:insideV w:val="nil"/>
        </w:tcBorders>
      </w:tcPr>
    </w:tblStylePr>
    <w:tblStylePr w:type="lastRow">
      <w:pPr>
        <w:spacing w:before="0" w:after="0" w:line="240" w:lineRule="auto"/>
      </w:pPr>
      <w:rPr>
        <w:b/>
        <w:bCs/>
      </w:rPr>
      <w:tblPr/>
      <w:tcPr>
        <w:tcBorders>
          <w:top w:val="single" w:sz="8" w:space="0" w:color="C70000" w:themeColor="accent1"/>
          <w:left w:val="nil"/>
          <w:bottom w:val="single" w:sz="8" w:space="0" w:color="C70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2B2" w:themeFill="accent1" w:themeFillTint="3F"/>
      </w:tcPr>
    </w:tblStylePr>
    <w:tblStylePr w:type="band1Horz">
      <w:tblPr/>
      <w:tcPr>
        <w:tcBorders>
          <w:left w:val="nil"/>
          <w:right w:val="nil"/>
          <w:insideH w:val="nil"/>
          <w:insideV w:val="nil"/>
        </w:tcBorders>
        <w:shd w:val="clear" w:color="auto" w:fill="FFB2B2" w:themeFill="accent1" w:themeFillTint="3F"/>
      </w:tcPr>
    </w:tblStylePr>
  </w:style>
  <w:style w:type="character" w:styleId="Hyperlink">
    <w:name w:val="Hyperlink"/>
    <w:basedOn w:val="Standardskrifttypeiafsnit"/>
    <w:uiPriority w:val="99"/>
    <w:unhideWhenUsed/>
    <w:rsid w:val="001479CA"/>
    <w:rPr>
      <w:color w:val="0000FF" w:themeColor="hyperlink"/>
      <w:u w:val="single"/>
    </w:rPr>
  </w:style>
  <w:style w:type="paragraph" w:styleId="Slutnotetekst">
    <w:name w:val="endnote text"/>
    <w:basedOn w:val="Normal"/>
    <w:link w:val="SlutnotetekstTegn"/>
    <w:uiPriority w:val="99"/>
    <w:semiHidden/>
    <w:unhideWhenUsed/>
    <w:rsid w:val="00C6586D"/>
    <w:pPr>
      <w:spacing w:line="240" w:lineRule="auto"/>
    </w:pPr>
    <w:rPr>
      <w:szCs w:val="20"/>
    </w:rPr>
  </w:style>
  <w:style w:type="character" w:customStyle="1" w:styleId="SlutnotetekstTegn">
    <w:name w:val="Slutnotetekst Tegn"/>
    <w:basedOn w:val="Standardskrifttypeiafsnit"/>
    <w:link w:val="Slutnotetekst"/>
    <w:uiPriority w:val="99"/>
    <w:semiHidden/>
    <w:rsid w:val="00C6586D"/>
    <w:rPr>
      <w:sz w:val="20"/>
      <w:szCs w:val="20"/>
    </w:rPr>
  </w:style>
  <w:style w:type="character" w:styleId="Slutnotehenvisning">
    <w:name w:val="endnote reference"/>
    <w:basedOn w:val="Standardskrifttypeiafsnit"/>
    <w:uiPriority w:val="99"/>
    <w:semiHidden/>
    <w:unhideWhenUsed/>
    <w:rsid w:val="00C6586D"/>
    <w:rPr>
      <w:vertAlign w:val="superscript"/>
    </w:rPr>
  </w:style>
  <w:style w:type="character" w:styleId="Fodnotehenvisning">
    <w:name w:val="footnote reference"/>
    <w:basedOn w:val="Standardskrifttypeiafsnit"/>
    <w:uiPriority w:val="99"/>
    <w:semiHidden/>
    <w:unhideWhenUsed/>
    <w:rsid w:val="00C0081F"/>
    <w:rPr>
      <w:vertAlign w:val="superscript"/>
    </w:rPr>
  </w:style>
  <w:style w:type="character" w:styleId="BesgtLink">
    <w:name w:val="FollowedHyperlink"/>
    <w:basedOn w:val="Standardskrifttypeiafsnit"/>
    <w:uiPriority w:val="99"/>
    <w:semiHidden/>
    <w:unhideWhenUsed/>
    <w:rsid w:val="00616B58"/>
    <w:rPr>
      <w:color w:val="800080" w:themeColor="followedHyperlink"/>
      <w:u w:val="single"/>
    </w:rPr>
  </w:style>
  <w:style w:type="paragraph" w:customStyle="1" w:styleId="Default">
    <w:name w:val="Default"/>
    <w:rsid w:val="00555AD1"/>
    <w:pPr>
      <w:autoSpaceDE w:val="0"/>
      <w:autoSpaceDN w:val="0"/>
      <w:adjustRightInd w:val="0"/>
      <w:spacing w:line="240" w:lineRule="auto"/>
    </w:pPr>
    <w:rPr>
      <w:rFonts w:ascii="Times New Roman" w:hAnsi="Times New Roman" w:cs="Times New Roman"/>
      <w:color w:val="000000"/>
      <w:sz w:val="24"/>
      <w:szCs w:val="24"/>
    </w:rPr>
  </w:style>
  <w:style w:type="paragraph" w:styleId="Overskrift">
    <w:name w:val="TOC Heading"/>
    <w:basedOn w:val="Overskrift1"/>
    <w:next w:val="Normal"/>
    <w:uiPriority w:val="39"/>
    <w:unhideWhenUsed/>
    <w:qFormat/>
    <w:rsid w:val="002805BD"/>
    <w:pPr>
      <w:spacing w:before="480" w:after="0" w:line="276" w:lineRule="auto"/>
      <w:outlineLvl w:val="9"/>
    </w:pPr>
    <w:rPr>
      <w:b/>
      <w:color w:val="950000" w:themeColor="accent1" w:themeShade="BF"/>
    </w:rPr>
  </w:style>
  <w:style w:type="paragraph" w:styleId="Indholdsfortegnelse3">
    <w:name w:val="toc 3"/>
    <w:basedOn w:val="Normal"/>
    <w:next w:val="Normal"/>
    <w:autoRedefine/>
    <w:uiPriority w:val="39"/>
    <w:unhideWhenUsed/>
    <w:qFormat/>
    <w:rsid w:val="003C4FD1"/>
    <w:pPr>
      <w:spacing w:after="100"/>
      <w:ind w:left="400"/>
    </w:pPr>
  </w:style>
  <w:style w:type="paragraph" w:styleId="Indholdsfortegnelse2">
    <w:name w:val="toc 2"/>
    <w:basedOn w:val="Normal"/>
    <w:next w:val="Normal"/>
    <w:autoRedefine/>
    <w:uiPriority w:val="39"/>
    <w:unhideWhenUsed/>
    <w:qFormat/>
    <w:rsid w:val="003C4FD1"/>
    <w:pPr>
      <w:spacing w:after="100" w:line="276" w:lineRule="auto"/>
      <w:ind w:left="220"/>
    </w:pPr>
    <w:rPr>
      <w:rFonts w:eastAsiaTheme="minorEastAsia"/>
      <w:sz w:val="22"/>
    </w:rPr>
  </w:style>
  <w:style w:type="paragraph" w:styleId="Indholdsfortegnelse1">
    <w:name w:val="toc 1"/>
    <w:basedOn w:val="Normal"/>
    <w:next w:val="Normal"/>
    <w:autoRedefine/>
    <w:uiPriority w:val="39"/>
    <w:unhideWhenUsed/>
    <w:qFormat/>
    <w:rsid w:val="003C4FD1"/>
    <w:pPr>
      <w:spacing w:after="100" w:line="276" w:lineRule="auto"/>
    </w:pPr>
    <w:rPr>
      <w:rFonts w:eastAsiaTheme="minorEastAsia"/>
      <w:sz w:val="22"/>
    </w:rPr>
  </w:style>
  <w:style w:type="character" w:styleId="Kommentarhenvisning">
    <w:name w:val="annotation reference"/>
    <w:basedOn w:val="Standardskrifttypeiafsnit"/>
    <w:uiPriority w:val="99"/>
    <w:semiHidden/>
    <w:unhideWhenUsed/>
    <w:rsid w:val="00A0227B"/>
    <w:rPr>
      <w:sz w:val="16"/>
      <w:szCs w:val="16"/>
    </w:rPr>
  </w:style>
  <w:style w:type="paragraph" w:styleId="Kommentartekst">
    <w:name w:val="annotation text"/>
    <w:basedOn w:val="Normal"/>
    <w:link w:val="KommentartekstTegn"/>
    <w:uiPriority w:val="99"/>
    <w:unhideWhenUsed/>
    <w:rsid w:val="00A0227B"/>
    <w:pPr>
      <w:spacing w:line="240" w:lineRule="auto"/>
    </w:pPr>
    <w:rPr>
      <w:szCs w:val="20"/>
    </w:rPr>
  </w:style>
  <w:style w:type="character" w:customStyle="1" w:styleId="KommentartekstTegn">
    <w:name w:val="Kommentartekst Tegn"/>
    <w:basedOn w:val="Standardskrifttypeiafsnit"/>
    <w:link w:val="Kommentartekst"/>
    <w:uiPriority w:val="99"/>
    <w:rsid w:val="00A0227B"/>
    <w:rPr>
      <w:sz w:val="20"/>
      <w:szCs w:val="20"/>
    </w:rPr>
  </w:style>
  <w:style w:type="paragraph" w:styleId="Kommentaremne">
    <w:name w:val="annotation subject"/>
    <w:basedOn w:val="Kommentartekst"/>
    <w:next w:val="Kommentartekst"/>
    <w:link w:val="KommentaremneTegn"/>
    <w:uiPriority w:val="99"/>
    <w:semiHidden/>
    <w:unhideWhenUsed/>
    <w:rsid w:val="00A0227B"/>
    <w:rPr>
      <w:b/>
      <w:bCs/>
    </w:rPr>
  </w:style>
  <w:style w:type="character" w:customStyle="1" w:styleId="KommentaremneTegn">
    <w:name w:val="Kommentaremne Tegn"/>
    <w:basedOn w:val="KommentartekstTegn"/>
    <w:link w:val="Kommentaremne"/>
    <w:uiPriority w:val="99"/>
    <w:semiHidden/>
    <w:rsid w:val="00A0227B"/>
    <w:rPr>
      <w:b/>
      <w:bCs/>
      <w:sz w:val="20"/>
      <w:szCs w:val="20"/>
    </w:rPr>
  </w:style>
  <w:style w:type="paragraph" w:styleId="NormalWeb">
    <w:name w:val="Normal (Web)"/>
    <w:basedOn w:val="Normal"/>
    <w:uiPriority w:val="99"/>
    <w:unhideWhenUsed/>
    <w:rsid w:val="00F057C6"/>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styleId="Billedtekst">
    <w:name w:val="caption"/>
    <w:basedOn w:val="Normal"/>
    <w:next w:val="Normal"/>
    <w:uiPriority w:val="35"/>
    <w:unhideWhenUsed/>
    <w:qFormat/>
    <w:rsid w:val="00F057C6"/>
    <w:pPr>
      <w:spacing w:after="200" w:line="240" w:lineRule="auto"/>
    </w:pPr>
    <w:rPr>
      <w:b/>
      <w:bCs/>
      <w:sz w:val="18"/>
      <w:szCs w:val="18"/>
    </w:rPr>
  </w:style>
  <w:style w:type="character" w:styleId="Strk">
    <w:name w:val="Strong"/>
    <w:basedOn w:val="Standardskrifttypeiafsnit"/>
    <w:uiPriority w:val="22"/>
    <w:qFormat/>
    <w:rsid w:val="005F3F11"/>
    <w:rPr>
      <w:b/>
      <w:bCs/>
    </w:rPr>
  </w:style>
  <w:style w:type="character" w:customStyle="1" w:styleId="articletext1">
    <w:name w:val="articletext1"/>
    <w:basedOn w:val="Standardskrifttypeiafsnit"/>
    <w:rsid w:val="004D29E9"/>
    <w:rPr>
      <w:rFonts w:ascii="Verdana" w:hAnsi="Verdana" w:hint="default"/>
      <w:b w:val="0"/>
      <w:bCs w:val="0"/>
      <w:color w:val="000000"/>
      <w:sz w:val="24"/>
      <w:szCs w:val="24"/>
    </w:rPr>
  </w:style>
  <w:style w:type="character" w:styleId="Fremhv">
    <w:name w:val="Emphasis"/>
    <w:basedOn w:val="Standardskrifttypeiafsnit"/>
    <w:uiPriority w:val="20"/>
    <w:qFormat/>
    <w:rsid w:val="004D29E9"/>
    <w:rPr>
      <w:i/>
      <w:iCs/>
    </w:rPr>
  </w:style>
  <w:style w:type="paragraph" w:styleId="Almindeligtekst">
    <w:name w:val="Plain Text"/>
    <w:basedOn w:val="Normal"/>
    <w:link w:val="AlmindeligtekstTegn"/>
    <w:uiPriority w:val="99"/>
    <w:unhideWhenUsed/>
    <w:rsid w:val="004D29E9"/>
    <w:pPr>
      <w:spacing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rsid w:val="004D29E9"/>
    <w:rPr>
      <w:rFonts w:ascii="Consolas" w:hAnsi="Consolas"/>
      <w:sz w:val="21"/>
      <w:szCs w:val="21"/>
    </w:rPr>
  </w:style>
  <w:style w:type="paragraph" w:styleId="Titel">
    <w:name w:val="Title"/>
    <w:next w:val="Normal"/>
    <w:link w:val="TitelTegn"/>
    <w:autoRedefine/>
    <w:uiPriority w:val="10"/>
    <w:rsid w:val="005B4BF5"/>
    <w:pPr>
      <w:spacing w:after="200" w:line="240" w:lineRule="auto"/>
      <w:contextualSpacing/>
    </w:pPr>
    <w:rPr>
      <w:rFonts w:ascii="Trebuchet MS" w:eastAsiaTheme="majorEastAsia" w:hAnsi="Trebuchet MS" w:cstheme="majorBidi"/>
      <w:bCs/>
      <w:color w:val="C70000" w:themeColor="accent1"/>
      <w:sz w:val="60"/>
      <w:szCs w:val="52"/>
    </w:rPr>
  </w:style>
  <w:style w:type="character" w:customStyle="1" w:styleId="TitelTegn">
    <w:name w:val="Titel Tegn"/>
    <w:basedOn w:val="Standardskrifttypeiafsnit"/>
    <w:link w:val="Titel"/>
    <w:uiPriority w:val="10"/>
    <w:rsid w:val="005B4BF5"/>
    <w:rPr>
      <w:rFonts w:ascii="Trebuchet MS" w:eastAsiaTheme="majorEastAsia" w:hAnsi="Trebuchet MS" w:cstheme="majorBidi"/>
      <w:bCs/>
      <w:color w:val="C70000" w:themeColor="accent1"/>
      <w:sz w:val="60"/>
      <w:szCs w:val="52"/>
    </w:rPr>
  </w:style>
  <w:style w:type="paragraph" w:styleId="Undertitel">
    <w:name w:val="Subtitle"/>
    <w:next w:val="Normal"/>
    <w:link w:val="UndertitelTegn"/>
    <w:autoRedefine/>
    <w:uiPriority w:val="11"/>
    <w:rsid w:val="005B4BF5"/>
    <w:pPr>
      <w:numPr>
        <w:ilvl w:val="1"/>
      </w:numPr>
      <w:spacing w:after="200" w:line="276" w:lineRule="auto"/>
    </w:pPr>
    <w:rPr>
      <w:rFonts w:ascii="Trebuchet MS" w:eastAsiaTheme="majorEastAsia" w:hAnsi="Trebuchet MS" w:cstheme="majorBidi"/>
      <w:iCs/>
      <w:color w:val="D9DFE2"/>
      <w:sz w:val="48"/>
      <w:szCs w:val="24"/>
    </w:rPr>
  </w:style>
  <w:style w:type="character" w:customStyle="1" w:styleId="UndertitelTegn">
    <w:name w:val="Undertitel Tegn"/>
    <w:basedOn w:val="Standardskrifttypeiafsnit"/>
    <w:link w:val="Undertitel"/>
    <w:uiPriority w:val="11"/>
    <w:rsid w:val="005B4BF5"/>
    <w:rPr>
      <w:rFonts w:ascii="Trebuchet MS" w:eastAsiaTheme="majorEastAsia" w:hAnsi="Trebuchet MS" w:cstheme="majorBidi"/>
      <w:iCs/>
      <w:color w:val="D9DFE2"/>
      <w:sz w:val="48"/>
      <w:szCs w:val="24"/>
    </w:rPr>
  </w:style>
  <w:style w:type="paragraph" w:customStyle="1" w:styleId="rstal-forside">
    <w:name w:val="Årstal - forside"/>
    <w:rsid w:val="005B4BF5"/>
    <w:pPr>
      <w:spacing w:line="240" w:lineRule="auto"/>
      <w:jc w:val="right"/>
    </w:pPr>
    <w:rPr>
      <w:rFonts w:asciiTheme="majorHAnsi" w:eastAsiaTheme="majorEastAsia" w:hAnsiTheme="majorHAnsi" w:cstheme="majorBidi"/>
      <w:b/>
      <w:color w:val="FFFFFF" w:themeColor="background1"/>
      <w:sz w:val="90"/>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2805304">
      <w:bodyDiv w:val="1"/>
      <w:marLeft w:val="0"/>
      <w:marRight w:val="0"/>
      <w:marTop w:val="0"/>
      <w:marBottom w:val="0"/>
      <w:divBdr>
        <w:top w:val="none" w:sz="0" w:space="0" w:color="auto"/>
        <w:left w:val="none" w:sz="0" w:space="0" w:color="auto"/>
        <w:bottom w:val="none" w:sz="0" w:space="0" w:color="auto"/>
        <w:right w:val="none" w:sz="0" w:space="0" w:color="auto"/>
      </w:divBdr>
      <w:divsChild>
        <w:div w:id="762072541">
          <w:marLeft w:val="225"/>
          <w:marRight w:val="225"/>
          <w:marTop w:val="0"/>
          <w:marBottom w:val="0"/>
          <w:divBdr>
            <w:top w:val="none" w:sz="0" w:space="0" w:color="auto"/>
            <w:left w:val="none" w:sz="0" w:space="0" w:color="auto"/>
            <w:bottom w:val="none" w:sz="0" w:space="0" w:color="auto"/>
            <w:right w:val="none" w:sz="0" w:space="0" w:color="auto"/>
          </w:divBdr>
          <w:divsChild>
            <w:div w:id="1643196540">
              <w:marLeft w:val="0"/>
              <w:marRight w:val="0"/>
              <w:marTop w:val="0"/>
              <w:marBottom w:val="0"/>
              <w:divBdr>
                <w:top w:val="none" w:sz="0" w:space="0" w:color="auto"/>
                <w:left w:val="none" w:sz="0" w:space="0" w:color="auto"/>
                <w:bottom w:val="none" w:sz="0" w:space="0" w:color="auto"/>
                <w:right w:val="none" w:sz="0" w:space="0" w:color="auto"/>
              </w:divBdr>
              <w:divsChild>
                <w:div w:id="1187523931">
                  <w:marLeft w:val="0"/>
                  <w:marRight w:val="0"/>
                  <w:marTop w:val="0"/>
                  <w:marBottom w:val="0"/>
                  <w:divBdr>
                    <w:top w:val="none" w:sz="0" w:space="0" w:color="auto"/>
                    <w:left w:val="none" w:sz="0" w:space="0" w:color="auto"/>
                    <w:bottom w:val="none" w:sz="0" w:space="0" w:color="auto"/>
                    <w:right w:val="none" w:sz="0" w:space="0" w:color="auto"/>
                  </w:divBdr>
                </w:div>
                <w:div w:id="699890542">
                  <w:marLeft w:val="0"/>
                  <w:marRight w:val="0"/>
                  <w:marTop w:val="0"/>
                  <w:marBottom w:val="0"/>
                  <w:divBdr>
                    <w:top w:val="none" w:sz="0" w:space="0" w:color="auto"/>
                    <w:left w:val="none" w:sz="0" w:space="0" w:color="auto"/>
                    <w:bottom w:val="none" w:sz="0" w:space="0" w:color="auto"/>
                    <w:right w:val="none" w:sz="0" w:space="0" w:color="auto"/>
                  </w:divBdr>
                  <w:divsChild>
                    <w:div w:id="36294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588993">
      <w:bodyDiv w:val="1"/>
      <w:marLeft w:val="0"/>
      <w:marRight w:val="0"/>
      <w:marTop w:val="0"/>
      <w:marBottom w:val="0"/>
      <w:divBdr>
        <w:top w:val="none" w:sz="0" w:space="0" w:color="auto"/>
        <w:left w:val="none" w:sz="0" w:space="0" w:color="auto"/>
        <w:bottom w:val="none" w:sz="0" w:space="0" w:color="auto"/>
        <w:right w:val="none" w:sz="0" w:space="0" w:color="auto"/>
      </w:divBdr>
      <w:divsChild>
        <w:div w:id="1576279613">
          <w:marLeft w:val="0"/>
          <w:marRight w:val="0"/>
          <w:marTop w:val="0"/>
          <w:marBottom w:val="300"/>
          <w:divBdr>
            <w:top w:val="none" w:sz="0" w:space="0" w:color="auto"/>
            <w:left w:val="none" w:sz="0" w:space="0" w:color="auto"/>
            <w:bottom w:val="none" w:sz="0" w:space="0" w:color="auto"/>
            <w:right w:val="none" w:sz="0" w:space="0" w:color="auto"/>
          </w:divBdr>
          <w:divsChild>
            <w:div w:id="13265843">
              <w:marLeft w:val="0"/>
              <w:marRight w:val="0"/>
              <w:marTop w:val="0"/>
              <w:marBottom w:val="0"/>
              <w:divBdr>
                <w:top w:val="none" w:sz="0" w:space="0" w:color="auto"/>
                <w:left w:val="single" w:sz="6" w:space="1" w:color="FFFFFF"/>
                <w:bottom w:val="none" w:sz="0" w:space="0" w:color="auto"/>
                <w:right w:val="single" w:sz="6" w:space="1" w:color="FFFFFF"/>
              </w:divBdr>
              <w:divsChild>
                <w:div w:id="1695035422">
                  <w:marLeft w:val="0"/>
                  <w:marRight w:val="0"/>
                  <w:marTop w:val="0"/>
                  <w:marBottom w:val="0"/>
                  <w:divBdr>
                    <w:top w:val="none" w:sz="0" w:space="0" w:color="auto"/>
                    <w:left w:val="none" w:sz="0" w:space="0" w:color="auto"/>
                    <w:bottom w:val="none" w:sz="0" w:space="0" w:color="auto"/>
                    <w:right w:val="none" w:sz="0" w:space="0" w:color="auto"/>
                  </w:divBdr>
                  <w:divsChild>
                    <w:div w:id="1685979245">
                      <w:marLeft w:val="0"/>
                      <w:marRight w:val="0"/>
                      <w:marTop w:val="0"/>
                      <w:marBottom w:val="0"/>
                      <w:divBdr>
                        <w:top w:val="none" w:sz="0" w:space="0" w:color="auto"/>
                        <w:left w:val="none" w:sz="0" w:space="0" w:color="auto"/>
                        <w:bottom w:val="none" w:sz="0" w:space="0" w:color="auto"/>
                        <w:right w:val="none" w:sz="0" w:space="0" w:color="auto"/>
                      </w:divBdr>
                      <w:divsChild>
                        <w:div w:id="1954165786">
                          <w:marLeft w:val="0"/>
                          <w:marRight w:val="0"/>
                          <w:marTop w:val="0"/>
                          <w:marBottom w:val="0"/>
                          <w:divBdr>
                            <w:top w:val="none" w:sz="0" w:space="0" w:color="auto"/>
                            <w:left w:val="none" w:sz="0" w:space="0" w:color="auto"/>
                            <w:bottom w:val="none" w:sz="0" w:space="0" w:color="auto"/>
                            <w:right w:val="none" w:sz="0" w:space="0" w:color="auto"/>
                          </w:divBdr>
                          <w:divsChild>
                            <w:div w:id="986855444">
                              <w:marLeft w:val="0"/>
                              <w:marRight w:val="0"/>
                              <w:marTop w:val="0"/>
                              <w:marBottom w:val="0"/>
                              <w:divBdr>
                                <w:top w:val="none" w:sz="0" w:space="0" w:color="auto"/>
                                <w:left w:val="none" w:sz="0" w:space="0" w:color="auto"/>
                                <w:bottom w:val="none" w:sz="0" w:space="0" w:color="auto"/>
                                <w:right w:val="none" w:sz="0" w:space="0" w:color="auto"/>
                              </w:divBdr>
                              <w:divsChild>
                                <w:div w:id="1044987863">
                                  <w:marLeft w:val="0"/>
                                  <w:marRight w:val="0"/>
                                  <w:marTop w:val="0"/>
                                  <w:marBottom w:val="0"/>
                                  <w:divBdr>
                                    <w:top w:val="none" w:sz="0" w:space="0" w:color="auto"/>
                                    <w:left w:val="none" w:sz="0" w:space="0" w:color="auto"/>
                                    <w:bottom w:val="none" w:sz="0" w:space="0" w:color="auto"/>
                                    <w:right w:val="none" w:sz="0" w:space="0" w:color="auto"/>
                                  </w:divBdr>
                                  <w:divsChild>
                                    <w:div w:id="1575779745">
                                      <w:marLeft w:val="0"/>
                                      <w:marRight w:val="0"/>
                                      <w:marTop w:val="0"/>
                                      <w:marBottom w:val="0"/>
                                      <w:divBdr>
                                        <w:top w:val="none" w:sz="0" w:space="0" w:color="auto"/>
                                        <w:left w:val="none" w:sz="0" w:space="0" w:color="auto"/>
                                        <w:bottom w:val="none" w:sz="0" w:space="0" w:color="auto"/>
                                        <w:right w:val="none" w:sz="0" w:space="0" w:color="auto"/>
                                      </w:divBdr>
                                      <w:divsChild>
                                        <w:div w:id="989408945">
                                          <w:marLeft w:val="0"/>
                                          <w:marRight w:val="0"/>
                                          <w:marTop w:val="0"/>
                                          <w:marBottom w:val="0"/>
                                          <w:divBdr>
                                            <w:top w:val="none" w:sz="0" w:space="0" w:color="auto"/>
                                            <w:left w:val="none" w:sz="0" w:space="0" w:color="auto"/>
                                            <w:bottom w:val="none" w:sz="0" w:space="0" w:color="auto"/>
                                            <w:right w:val="none" w:sz="0" w:space="0" w:color="auto"/>
                                          </w:divBdr>
                                          <w:divsChild>
                                            <w:div w:id="1001473566">
                                              <w:marLeft w:val="0"/>
                                              <w:marRight w:val="0"/>
                                              <w:marTop w:val="0"/>
                                              <w:marBottom w:val="0"/>
                                              <w:divBdr>
                                                <w:top w:val="none" w:sz="0" w:space="0" w:color="auto"/>
                                                <w:left w:val="none" w:sz="0" w:space="0" w:color="auto"/>
                                                <w:bottom w:val="none" w:sz="0" w:space="0" w:color="auto"/>
                                                <w:right w:val="none" w:sz="0" w:space="0" w:color="auto"/>
                                              </w:divBdr>
                                            </w:div>
                                            <w:div w:id="34161313">
                                              <w:marLeft w:val="0"/>
                                              <w:marRight w:val="0"/>
                                              <w:marTop w:val="0"/>
                                              <w:marBottom w:val="0"/>
                                              <w:divBdr>
                                                <w:top w:val="none" w:sz="0" w:space="0" w:color="auto"/>
                                                <w:left w:val="none" w:sz="0" w:space="0" w:color="auto"/>
                                                <w:bottom w:val="none" w:sz="0" w:space="0" w:color="auto"/>
                                                <w:right w:val="none" w:sz="0" w:space="0" w:color="auto"/>
                                              </w:divBdr>
                                            </w:div>
                                            <w:div w:id="725179602">
                                              <w:marLeft w:val="0"/>
                                              <w:marRight w:val="0"/>
                                              <w:marTop w:val="0"/>
                                              <w:marBottom w:val="0"/>
                                              <w:divBdr>
                                                <w:top w:val="none" w:sz="0" w:space="0" w:color="auto"/>
                                                <w:left w:val="none" w:sz="0" w:space="0" w:color="auto"/>
                                                <w:bottom w:val="none" w:sz="0" w:space="0" w:color="auto"/>
                                                <w:right w:val="none" w:sz="0" w:space="0" w:color="auto"/>
                                              </w:divBdr>
                                            </w:div>
                                            <w:div w:id="374237433">
                                              <w:marLeft w:val="0"/>
                                              <w:marRight w:val="0"/>
                                              <w:marTop w:val="0"/>
                                              <w:marBottom w:val="0"/>
                                              <w:divBdr>
                                                <w:top w:val="none" w:sz="0" w:space="0" w:color="auto"/>
                                                <w:left w:val="none" w:sz="0" w:space="0" w:color="auto"/>
                                                <w:bottom w:val="none" w:sz="0" w:space="0" w:color="auto"/>
                                                <w:right w:val="none" w:sz="0" w:space="0" w:color="auto"/>
                                              </w:divBdr>
                                            </w:div>
                                            <w:div w:id="1227883987">
                                              <w:marLeft w:val="0"/>
                                              <w:marRight w:val="0"/>
                                              <w:marTop w:val="0"/>
                                              <w:marBottom w:val="0"/>
                                              <w:divBdr>
                                                <w:top w:val="none" w:sz="0" w:space="0" w:color="auto"/>
                                                <w:left w:val="none" w:sz="0" w:space="0" w:color="auto"/>
                                                <w:bottom w:val="none" w:sz="0" w:space="0" w:color="auto"/>
                                                <w:right w:val="none" w:sz="0" w:space="0" w:color="auto"/>
                                              </w:divBdr>
                                            </w:div>
                                            <w:div w:id="1834249732">
                                              <w:marLeft w:val="0"/>
                                              <w:marRight w:val="0"/>
                                              <w:marTop w:val="0"/>
                                              <w:marBottom w:val="0"/>
                                              <w:divBdr>
                                                <w:top w:val="none" w:sz="0" w:space="0" w:color="auto"/>
                                                <w:left w:val="none" w:sz="0" w:space="0" w:color="auto"/>
                                                <w:bottom w:val="none" w:sz="0" w:space="0" w:color="auto"/>
                                                <w:right w:val="none" w:sz="0" w:space="0" w:color="auto"/>
                                              </w:divBdr>
                                            </w:div>
                                            <w:div w:id="1036584967">
                                              <w:marLeft w:val="0"/>
                                              <w:marRight w:val="0"/>
                                              <w:marTop w:val="0"/>
                                              <w:marBottom w:val="0"/>
                                              <w:divBdr>
                                                <w:top w:val="none" w:sz="0" w:space="0" w:color="auto"/>
                                                <w:left w:val="none" w:sz="0" w:space="0" w:color="auto"/>
                                                <w:bottom w:val="none" w:sz="0" w:space="0" w:color="auto"/>
                                                <w:right w:val="none" w:sz="0" w:space="0" w:color="auto"/>
                                              </w:divBdr>
                                            </w:div>
                                            <w:div w:id="221412251">
                                              <w:marLeft w:val="0"/>
                                              <w:marRight w:val="0"/>
                                              <w:marTop w:val="0"/>
                                              <w:marBottom w:val="0"/>
                                              <w:divBdr>
                                                <w:top w:val="none" w:sz="0" w:space="0" w:color="auto"/>
                                                <w:left w:val="none" w:sz="0" w:space="0" w:color="auto"/>
                                                <w:bottom w:val="none" w:sz="0" w:space="0" w:color="auto"/>
                                                <w:right w:val="none" w:sz="0" w:space="0" w:color="auto"/>
                                              </w:divBdr>
                                            </w:div>
                                            <w:div w:id="161164490">
                                              <w:marLeft w:val="0"/>
                                              <w:marRight w:val="0"/>
                                              <w:marTop w:val="0"/>
                                              <w:marBottom w:val="0"/>
                                              <w:divBdr>
                                                <w:top w:val="none" w:sz="0" w:space="0" w:color="auto"/>
                                                <w:left w:val="none" w:sz="0" w:space="0" w:color="auto"/>
                                                <w:bottom w:val="none" w:sz="0" w:space="0" w:color="auto"/>
                                                <w:right w:val="none" w:sz="0" w:space="0" w:color="auto"/>
                                              </w:divBdr>
                                            </w:div>
                                            <w:div w:id="1645313822">
                                              <w:marLeft w:val="0"/>
                                              <w:marRight w:val="0"/>
                                              <w:marTop w:val="0"/>
                                              <w:marBottom w:val="0"/>
                                              <w:divBdr>
                                                <w:top w:val="none" w:sz="0" w:space="0" w:color="auto"/>
                                                <w:left w:val="none" w:sz="0" w:space="0" w:color="auto"/>
                                                <w:bottom w:val="none" w:sz="0" w:space="0" w:color="auto"/>
                                                <w:right w:val="none" w:sz="0" w:space="0" w:color="auto"/>
                                              </w:divBdr>
                                            </w:div>
                                            <w:div w:id="1066341699">
                                              <w:marLeft w:val="0"/>
                                              <w:marRight w:val="0"/>
                                              <w:marTop w:val="0"/>
                                              <w:marBottom w:val="0"/>
                                              <w:divBdr>
                                                <w:top w:val="none" w:sz="0" w:space="0" w:color="auto"/>
                                                <w:left w:val="none" w:sz="0" w:space="0" w:color="auto"/>
                                                <w:bottom w:val="none" w:sz="0" w:space="0" w:color="auto"/>
                                                <w:right w:val="none" w:sz="0" w:space="0" w:color="auto"/>
                                              </w:divBdr>
                                            </w:div>
                                            <w:div w:id="966424362">
                                              <w:marLeft w:val="0"/>
                                              <w:marRight w:val="0"/>
                                              <w:marTop w:val="0"/>
                                              <w:marBottom w:val="0"/>
                                              <w:divBdr>
                                                <w:top w:val="none" w:sz="0" w:space="0" w:color="auto"/>
                                                <w:left w:val="none" w:sz="0" w:space="0" w:color="auto"/>
                                                <w:bottom w:val="none" w:sz="0" w:space="0" w:color="auto"/>
                                                <w:right w:val="none" w:sz="0" w:space="0" w:color="auto"/>
                                              </w:divBdr>
                                            </w:div>
                                            <w:div w:id="74167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8670649">
      <w:bodyDiv w:val="1"/>
      <w:marLeft w:val="0"/>
      <w:marRight w:val="0"/>
      <w:marTop w:val="0"/>
      <w:marBottom w:val="0"/>
      <w:divBdr>
        <w:top w:val="none" w:sz="0" w:space="0" w:color="auto"/>
        <w:left w:val="none" w:sz="0" w:space="0" w:color="auto"/>
        <w:bottom w:val="none" w:sz="0" w:space="0" w:color="auto"/>
        <w:right w:val="none" w:sz="0" w:space="0" w:color="auto"/>
      </w:divBdr>
    </w:div>
    <w:div w:id="1789473467">
      <w:bodyDiv w:val="1"/>
      <w:marLeft w:val="0"/>
      <w:marRight w:val="0"/>
      <w:marTop w:val="0"/>
      <w:marBottom w:val="0"/>
      <w:divBdr>
        <w:top w:val="none" w:sz="0" w:space="0" w:color="auto"/>
        <w:left w:val="none" w:sz="0" w:space="0" w:color="auto"/>
        <w:bottom w:val="none" w:sz="0" w:space="0" w:color="auto"/>
        <w:right w:val="none" w:sz="0" w:space="0" w:color="auto"/>
      </w:divBdr>
    </w:div>
    <w:div w:id="1847087474">
      <w:bodyDiv w:val="1"/>
      <w:marLeft w:val="0"/>
      <w:marRight w:val="0"/>
      <w:marTop w:val="0"/>
      <w:marBottom w:val="0"/>
      <w:divBdr>
        <w:top w:val="none" w:sz="0" w:space="0" w:color="auto"/>
        <w:left w:val="none" w:sz="0" w:space="0" w:color="auto"/>
        <w:bottom w:val="none" w:sz="0" w:space="0" w:color="auto"/>
        <w:right w:val="none" w:sz="0" w:space="0" w:color="auto"/>
      </w:divBdr>
    </w:div>
    <w:div w:id="191712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Www.sundhed.dk"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2.xml"/></Relationships>
</file>

<file path=word/_rels/endnotes.xml.rels><?xml version="1.0" encoding="UTF-8" standalone="yes"?>
<Relationships xmlns="http://schemas.openxmlformats.org/package/2006/relationships"><Relationship Id="rId8" Type="http://schemas.openxmlformats.org/officeDocument/2006/relationships/hyperlink" Target="https://www.sundhed.dk/sundhedsfaglig/laegehaandbogen/lunger/tilstande-og-sygdomme/obstruktive-lungesygdomme/kol/" TargetMode="External"/><Relationship Id="rId13" Type="http://schemas.openxmlformats.org/officeDocument/2006/relationships/hyperlink" Target="http://www.osteoporose-f.dk/om-knogleskoerhed" TargetMode="External"/><Relationship Id="rId18" Type="http://schemas.openxmlformats.org/officeDocument/2006/relationships/hyperlink" Target="http://www.regioner.dk/Sundhed/Medicin/Vederlagsfri+udlevering+af+medicin.aspx" TargetMode="External"/><Relationship Id="rId3" Type="http://schemas.openxmlformats.org/officeDocument/2006/relationships/hyperlink" Target="http://vejledninger.dsam.dk/type2/?mode=visKapitel&amp;cid=532" TargetMode="External"/><Relationship Id="rId21" Type="http://schemas.openxmlformats.org/officeDocument/2006/relationships/hyperlink" Target="http://www.si-folkesundhed.dk/upload/hjertekarsygdomme_i_2011-2_rapport.pdf" TargetMode="External"/><Relationship Id="rId7" Type="http://schemas.openxmlformats.org/officeDocument/2006/relationships/hyperlink" Target="https://sundhedsstyrelsen.dk/da/sundhed/planlaegning-og-beredskab/kommuner/~/media/278C35C3306C418687FB70FAA147E3B5.ashx?m=.pdf" TargetMode="External"/><Relationship Id="rId12" Type="http://schemas.openxmlformats.org/officeDocument/2006/relationships/hyperlink" Target="http://sundhedsstyrelsen.dk/da/nyheder/2011/~/media/BC80FEF67D0348A09A05A62C8CC4A445.ashx?m=.pdf" TargetMode="External"/><Relationship Id="rId17" Type="http://schemas.openxmlformats.org/officeDocument/2006/relationships/hyperlink" Target="http://www.gigtforeningen.dk/viden+om+gigt/diagnoser/leddegigt/hvorfor+f%c3%a5r+man+leddegigt" TargetMode="External"/><Relationship Id="rId2" Type="http://schemas.openxmlformats.org/officeDocument/2006/relationships/hyperlink" Target="http://www.diabetes.dk/presse/diabetes-i-tal/diabetes-i-danmark.aspx" TargetMode="External"/><Relationship Id="rId16" Type="http://schemas.openxmlformats.org/officeDocument/2006/relationships/hyperlink" Target="https://danbio-online.dk/formidling/dokumentmappe/arsrapport-2012-endelig3" TargetMode="External"/><Relationship Id="rId20" Type="http://schemas.openxmlformats.org/officeDocument/2006/relationships/hyperlink" Target="http://www.alz.co.uk/research/files/WorldAlzheimerReport.pdf" TargetMode="External"/><Relationship Id="rId1" Type="http://schemas.openxmlformats.org/officeDocument/2006/relationships/hyperlink" Target="http://www.ssi.dk/~/media/Indhold/DK%20-%20dansk/Sundhedsdata%20og%20it/NSF/Dataformidling/Sundhedsdata/Kommunale%20sundhedsindikatorer/Monitorering%20af%20kronisk%20sygdom.ashx" TargetMode="External"/><Relationship Id="rId6" Type="http://schemas.openxmlformats.org/officeDocument/2006/relationships/hyperlink" Target="http://sundhedsstyrelsen.dk/da/nyheder/2014/national-klinisk-retningslinje-for-polycystisk-ovarie-syndrom-pcos-diagnostik-og-risikovurdering" TargetMode="External"/><Relationship Id="rId11" Type="http://schemas.openxmlformats.org/officeDocument/2006/relationships/hyperlink" Target="https://www.sundhed.dk/sundhedsfaglig/laegehaandbogen/paediatri/tilstande-og-sygdomme/lunger-og-luftveje/astma-hos-boern/" TargetMode="External"/><Relationship Id="rId24" Type="http://schemas.openxmlformats.org/officeDocument/2006/relationships/hyperlink" Target="https://www.sundhed.dk/sundhedsfaglig/laegehaandbogen/hjerte-kar/tilstande-og-sygdomme/hjertesvigt/hjertesvigt-kronisk/" TargetMode="External"/><Relationship Id="rId5" Type="http://schemas.openxmlformats.org/officeDocument/2006/relationships/hyperlink" Target="http://www.ssi.dk/Sundhedsdataogit/Registre/~/media/Indhold/DK%20-%20dansk/Sundhedsdata%20og%20it/NSF/Registre/Diabetesregisteret/S%C3%A5dan%20dannes%20Det%20Nationale%20Diabetesregister.ashx" TargetMode="External"/><Relationship Id="rId15" Type="http://schemas.openxmlformats.org/officeDocument/2006/relationships/hyperlink" Target="http://sum.dk/~/media/Filer%20-%20Publikationer_i_pdf/2009/Forebyggelseskom-rap/Forebyggelseskommissionen__rapport.ashx" TargetMode="External"/><Relationship Id="rId23" Type="http://schemas.openxmlformats.org/officeDocument/2006/relationships/hyperlink" Target="file:///C:\Users\kamg\AppData\Local\Microsoft\Windows\INetCache\Content.Outlook\G4HFX3B7\www.hjerteforeningen.dk\hjertesvigt\fakta_om_hjertesvigt\saa_mange_er_ramt_af_hjertesvigt\" TargetMode="External"/><Relationship Id="rId10" Type="http://schemas.openxmlformats.org/officeDocument/2006/relationships/hyperlink" Target="https://www.sundhed.dk/sundhedsfaglig/praksisinformation/almen-praksis/midtjylland/patientforloeb/forloebsbeskrivelser/r-luftveje/boerneastma/" TargetMode="External"/><Relationship Id="rId19" Type="http://schemas.openxmlformats.org/officeDocument/2006/relationships/hyperlink" Target="http://www.psykiatrifonden.dk/guides/diagnoser/skizofreni.aspx" TargetMode="External"/><Relationship Id="rId4" Type="http://schemas.openxmlformats.org/officeDocument/2006/relationships/hyperlink" Target="http://sundhedsstyrelsen.dk/~/media/1529A4BCF9C64905BAC650B6C45B72A5.ashx" TargetMode="External"/><Relationship Id="rId9" Type="http://schemas.openxmlformats.org/officeDocument/2006/relationships/hyperlink" Target="http://www.irf.dk/download/Maanedsblad/rationelfarmakoterapi_feb14.pdf" TargetMode="External"/><Relationship Id="rId14" Type="http://schemas.openxmlformats.org/officeDocument/2006/relationships/hyperlink" Target="http://www.knogleskor.dk/om_osteoporose-6.aspx" TargetMode="External"/><Relationship Id="rId22" Type="http://schemas.openxmlformats.org/officeDocument/2006/relationships/hyperlink" Target="http://www.irf.dk/dk/publikationer/rationel_farmakoterapi/maanedsblad/2010/kronisk_hjerteinsufficiens.ht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5.png"/></Relationships>
</file>

<file path=word/_rels/header1.xml.rels><?xml version="1.0" encoding="UTF-8" standalone="yes"?>
<Relationships xmlns="http://schemas.openxmlformats.org/package/2006/relationships"><Relationship Id="rId1" Type="http://schemas.openxmlformats.org/officeDocument/2006/relationships/image" Target="media/image33.emf"/></Relationships>
</file>

<file path=word/_rels/header2.xml.rels><?xml version="1.0" encoding="UTF-8" standalone="yes"?>
<Relationships xmlns="http://schemas.openxmlformats.org/package/2006/relationships"><Relationship Id="rId1" Type="http://schemas.openxmlformats.org/officeDocument/2006/relationships/image" Target="media/image34.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sn\Application%20Data\Microsoft\Skabeloner\SSI_Top_og_bund_dk.dotx" TargetMode="External"/></Relationships>
</file>

<file path=word/theme/theme1.xml><?xml version="1.0" encoding="utf-8"?>
<a:theme xmlns:a="http://schemas.openxmlformats.org/drawingml/2006/main" name="_SSI">
  <a:themeElements>
    <a:clrScheme name="_SSI">
      <a:dk1>
        <a:sysClr val="windowText" lastClr="000000"/>
      </a:dk1>
      <a:lt1>
        <a:sysClr val="window" lastClr="FFFFFF"/>
      </a:lt1>
      <a:dk2>
        <a:srgbClr val="414042"/>
      </a:dk2>
      <a:lt2>
        <a:srgbClr val="D9DFE2"/>
      </a:lt2>
      <a:accent1>
        <a:srgbClr val="C70000"/>
      </a:accent1>
      <a:accent2>
        <a:srgbClr val="0079B1"/>
      </a:accent2>
      <a:accent3>
        <a:srgbClr val="F07800"/>
      </a:accent3>
      <a:accent4>
        <a:srgbClr val="00A200"/>
      </a:accent4>
      <a:accent5>
        <a:srgbClr val="5A005A"/>
      </a:accent5>
      <a:accent6>
        <a:srgbClr val="007373"/>
      </a:accent6>
      <a:hlink>
        <a:srgbClr val="0000FF"/>
      </a:hlink>
      <a:folHlink>
        <a:srgbClr val="800080"/>
      </a:folHlink>
    </a:clrScheme>
    <a:fontScheme name="_SSI">
      <a:majorFont>
        <a:latin typeface="Arial"/>
        <a:ea typeface=""/>
        <a:cs typeface=""/>
      </a:majorFont>
      <a:minorFont>
        <a:latin typeface="Arial"/>
        <a:ea typeface=""/>
        <a:cs typeface=""/>
      </a:minorFont>
    </a:fontScheme>
    <a:fmtScheme name="_SSI">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9EBF22-0A6C-4762-9B66-E6C1D68CE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SSI_Top_og_bund_dk</Template>
  <TotalTime>3</TotalTime>
  <Pages>73</Pages>
  <Words>14525</Words>
  <Characters>88604</Characters>
  <Application>Microsoft Office Word</Application>
  <DocSecurity>8</DocSecurity>
  <Lines>738</Lines>
  <Paragraphs>205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Katarina Gesser</dc:creator>
  <cp:lastModifiedBy>Katarina Margareta Gesser</cp:lastModifiedBy>
  <cp:revision>4</cp:revision>
  <cp:lastPrinted>2014-06-27T07:47:00Z</cp:lastPrinted>
  <dcterms:created xsi:type="dcterms:W3CDTF">2014-06-27T07:39:00Z</dcterms:created>
  <dcterms:modified xsi:type="dcterms:W3CDTF">2014-06-27T07:47:00Z</dcterms:modified>
  <cp:contentStatus/>
</cp:coreProperties>
</file>