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1526" w14:textId="77777777" w:rsidR="0078610A" w:rsidRDefault="00451003" w:rsidP="00D27742">
      <w:bookmarkStart w:id="0" w:name="_GoBack"/>
      <w:bookmarkEnd w:id="0"/>
      <w:r>
        <w:t>Fremsat</w:t>
      </w:r>
      <w:r w:rsidR="0078610A" w:rsidRPr="00DA460F">
        <w:t xml:space="preserve"> </w:t>
      </w:r>
      <w:r w:rsidR="0078610A" w:rsidRPr="003E76C9">
        <w:t xml:space="preserve">den </w:t>
      </w:r>
      <w:r>
        <w:t>XXX</w:t>
      </w:r>
      <w:r w:rsidR="0078610A" w:rsidRPr="00DA460F">
        <w:t xml:space="preserve"> af </w:t>
      </w:r>
      <w:r w:rsidR="00924517">
        <w:t>e</w:t>
      </w:r>
      <w:r>
        <w:t xml:space="preserve">nergi-, </w:t>
      </w:r>
      <w:r w:rsidR="00924517">
        <w:t>f</w:t>
      </w:r>
      <w:r>
        <w:t xml:space="preserve">orsynings- og </w:t>
      </w:r>
      <w:r w:rsidR="00924517">
        <w:t>k</w:t>
      </w:r>
      <w:r>
        <w:t>limaministeren</w:t>
      </w:r>
      <w:r w:rsidR="0078610A" w:rsidRPr="00DA460F">
        <w:t xml:space="preserve"> </w:t>
      </w:r>
      <w:r w:rsidR="0078610A">
        <w:t>(</w:t>
      </w:r>
      <w:r>
        <w:t>Lars Chr</w:t>
      </w:r>
      <w:r w:rsidR="00924517">
        <w:t>istian</w:t>
      </w:r>
      <w:r>
        <w:t xml:space="preserve"> Lilleholt</w:t>
      </w:r>
      <w:r w:rsidR="0078610A">
        <w:t>)</w:t>
      </w:r>
    </w:p>
    <w:p w14:paraId="5D80315D" w14:textId="77777777" w:rsidR="0078610A" w:rsidRPr="00DA460F" w:rsidRDefault="0078610A" w:rsidP="00D27742"/>
    <w:tbl>
      <w:tblPr>
        <w:tblW w:w="12774" w:type="dxa"/>
        <w:tblLayout w:type="fixed"/>
        <w:tblCellMar>
          <w:left w:w="0" w:type="dxa"/>
          <w:right w:w="0" w:type="dxa"/>
        </w:tblCellMar>
        <w:tblLook w:val="01E0" w:firstRow="1" w:lastRow="1" w:firstColumn="1" w:lastColumn="1" w:noHBand="0" w:noVBand="0"/>
      </w:tblPr>
      <w:tblGrid>
        <w:gridCol w:w="9498"/>
        <w:gridCol w:w="3276"/>
      </w:tblGrid>
      <w:tr w:rsidR="0078610A" w:rsidRPr="00916991" w14:paraId="6971BE16" w14:textId="77777777" w:rsidTr="007320B6">
        <w:trPr>
          <w:trHeight w:val="3119"/>
        </w:trPr>
        <w:tc>
          <w:tcPr>
            <w:tcW w:w="9498" w:type="dxa"/>
          </w:tcPr>
          <w:p w14:paraId="19F29F78" w14:textId="77777777" w:rsidR="0078610A" w:rsidRPr="00F03DF5" w:rsidRDefault="00F03DF5" w:rsidP="00D27742">
            <w:pPr>
              <w:pStyle w:val="Normal-Dokumentnavn"/>
              <w:rPr>
                <w:rFonts w:ascii="Times New Roman" w:hAnsi="Times New Roman"/>
                <w:sz w:val="32"/>
                <w:szCs w:val="32"/>
              </w:rPr>
            </w:pPr>
            <w:r w:rsidRPr="00F03DF5">
              <w:rPr>
                <w:rFonts w:ascii="Times New Roman" w:hAnsi="Times New Roman"/>
                <w:caps w:val="0"/>
                <w:sz w:val="32"/>
                <w:szCs w:val="32"/>
              </w:rPr>
              <w:t>Forslag t</w:t>
            </w:r>
            <w:r>
              <w:rPr>
                <w:rFonts w:ascii="Times New Roman" w:hAnsi="Times New Roman"/>
                <w:caps w:val="0"/>
                <w:sz w:val="32"/>
                <w:szCs w:val="32"/>
              </w:rPr>
              <w:t>il f</w:t>
            </w:r>
            <w:r w:rsidRPr="00F03DF5">
              <w:rPr>
                <w:rFonts w:ascii="Times New Roman" w:hAnsi="Times New Roman"/>
                <w:caps w:val="0"/>
                <w:sz w:val="32"/>
                <w:szCs w:val="32"/>
              </w:rPr>
              <w:t xml:space="preserve">olketingsbeslutning </w:t>
            </w:r>
          </w:p>
          <w:p w14:paraId="0BDC7A8A" w14:textId="77777777" w:rsidR="0078610A" w:rsidRPr="007342D1" w:rsidRDefault="00F03DF5" w:rsidP="00D27742">
            <w:pPr>
              <w:pStyle w:val="Normal-Dokumentnavn"/>
              <w:rPr>
                <w:rFonts w:cs="Arial"/>
                <w:lang w:val="da-DK"/>
              </w:rPr>
            </w:pPr>
            <w:r w:rsidRPr="00F03DF5">
              <w:rPr>
                <w:rFonts w:ascii="Times New Roman" w:hAnsi="Times New Roman"/>
                <w:caps w:val="0"/>
                <w:sz w:val="32"/>
                <w:szCs w:val="32"/>
              </w:rPr>
              <w:t>om Danmarks ratifikation af Parisaftalen</w:t>
            </w:r>
          </w:p>
        </w:tc>
        <w:tc>
          <w:tcPr>
            <w:tcW w:w="3276" w:type="dxa"/>
          </w:tcPr>
          <w:p w14:paraId="2455BF99" w14:textId="77777777" w:rsidR="0078610A" w:rsidRPr="00916991" w:rsidRDefault="0078610A" w:rsidP="00D27742">
            <w:pPr>
              <w:pStyle w:val="Normal-Infotekst"/>
            </w:pPr>
            <w:bookmarkStart w:id="1" w:name="SD_FLD_JournalNr"/>
            <w:bookmarkStart w:id="2" w:name="HIF_SD_USR_Area"/>
            <w:bookmarkEnd w:id="1"/>
          </w:p>
          <w:bookmarkEnd w:id="2"/>
          <w:p w14:paraId="08A424A8" w14:textId="77777777" w:rsidR="0078610A" w:rsidRPr="00916991" w:rsidRDefault="0078610A" w:rsidP="00D27742">
            <w:pPr>
              <w:pStyle w:val="Normal-Infotekst"/>
            </w:pPr>
          </w:p>
          <w:p w14:paraId="1C1EECDE" w14:textId="77777777" w:rsidR="0078610A" w:rsidRPr="00916991" w:rsidRDefault="0078610A" w:rsidP="00D27742">
            <w:pPr>
              <w:pStyle w:val="Normal-Infotekst"/>
            </w:pPr>
          </w:p>
        </w:tc>
      </w:tr>
    </w:tbl>
    <w:p w14:paraId="4B965019" w14:textId="77777777" w:rsidR="0078610A" w:rsidRDefault="0078610A" w:rsidP="00D27742">
      <w:pPr>
        <w:rPr>
          <w:rStyle w:val="apple-converted-space"/>
        </w:rPr>
      </w:pPr>
      <w:bookmarkStart w:id="3" w:name="PCAStart"/>
      <w:bookmarkEnd w:id="3"/>
      <w:r w:rsidRPr="00E865C9">
        <w:t>Folketinget meddeler sit samtykke til, at Danmark ratificerer</w:t>
      </w:r>
      <w:r w:rsidRPr="00E865C9">
        <w:rPr>
          <w:rStyle w:val="apple-converted-space"/>
        </w:rPr>
        <w:t> </w:t>
      </w:r>
      <w:r w:rsidR="00816909">
        <w:rPr>
          <w:rStyle w:val="apple-converted-space"/>
        </w:rPr>
        <w:t>Parisaftalen under De Forenede Nationers Rammekonvention om Klimaændringer</w:t>
      </w:r>
      <w:r w:rsidR="0091398B">
        <w:rPr>
          <w:rStyle w:val="apple-converted-space"/>
        </w:rPr>
        <w:t xml:space="preserve"> (UNFCCC)</w:t>
      </w:r>
      <w:r w:rsidR="00816909">
        <w:rPr>
          <w:rStyle w:val="apple-converted-space"/>
        </w:rPr>
        <w:t xml:space="preserve">, vedtaget i </w:t>
      </w:r>
      <w:r w:rsidR="00CF2A85">
        <w:rPr>
          <w:rStyle w:val="apple-converted-space"/>
        </w:rPr>
        <w:t>Paris den 12</w:t>
      </w:r>
      <w:r w:rsidR="00451003">
        <w:rPr>
          <w:rStyle w:val="apple-converted-space"/>
        </w:rPr>
        <w:t>. december 2015</w:t>
      </w:r>
      <w:r w:rsidR="00816909">
        <w:rPr>
          <w:rStyle w:val="apple-converted-space"/>
        </w:rPr>
        <w:t xml:space="preserve"> på den 21. partskonference (COP21) </w:t>
      </w:r>
      <w:r w:rsidR="0091398B">
        <w:rPr>
          <w:rStyle w:val="apple-converted-space"/>
        </w:rPr>
        <w:t xml:space="preserve">under UNFCCC </w:t>
      </w:r>
      <w:r w:rsidR="00816909">
        <w:rPr>
          <w:rStyle w:val="apple-converted-space"/>
        </w:rPr>
        <w:t xml:space="preserve">og underskrevet af Danmark i New York den 22. april 2016.  </w:t>
      </w:r>
    </w:p>
    <w:p w14:paraId="608B9D75" w14:textId="77777777" w:rsidR="00BC4673" w:rsidRDefault="00BC4673" w:rsidP="00D27742">
      <w:pPr>
        <w:rPr>
          <w:rStyle w:val="apple-converted-space"/>
        </w:rPr>
      </w:pPr>
    </w:p>
    <w:p w14:paraId="67246B31" w14:textId="77777777" w:rsidR="0078610A" w:rsidRDefault="0078610A" w:rsidP="00D27742">
      <w:pPr>
        <w:rPr>
          <w:rStyle w:val="apple-converted-space"/>
        </w:rPr>
      </w:pPr>
    </w:p>
    <w:p w14:paraId="7B3120E5" w14:textId="77777777" w:rsidR="0078610A" w:rsidRDefault="0078610A" w:rsidP="00D27742"/>
    <w:p w14:paraId="26C7F930" w14:textId="77777777" w:rsidR="0078610A" w:rsidRPr="000D337F" w:rsidRDefault="0078610A" w:rsidP="000D337F">
      <w:pPr>
        <w:jc w:val="center"/>
        <w:rPr>
          <w:b/>
          <w:i/>
        </w:rPr>
      </w:pPr>
      <w:r w:rsidRPr="000D337F">
        <w:rPr>
          <w:b/>
          <w:i/>
        </w:rPr>
        <w:t>Bemærkninger til forslaget</w:t>
      </w:r>
    </w:p>
    <w:p w14:paraId="60AF73FD" w14:textId="77777777" w:rsidR="00BC4673" w:rsidRDefault="00BC4673" w:rsidP="00D27742"/>
    <w:p w14:paraId="46018AAD" w14:textId="77777777" w:rsidR="00BC4673" w:rsidRPr="00911E20" w:rsidRDefault="00BC4673" w:rsidP="00D27742">
      <w:pPr>
        <w:rPr>
          <w:rStyle w:val="apple-converted-space"/>
          <w:b/>
        </w:rPr>
      </w:pPr>
      <w:r w:rsidRPr="00911E20">
        <w:rPr>
          <w:rStyle w:val="apple-converted-space"/>
          <w:b/>
        </w:rPr>
        <w:t>1. Indledning</w:t>
      </w:r>
    </w:p>
    <w:p w14:paraId="4431D98D" w14:textId="77777777" w:rsidR="005E7F1D" w:rsidRDefault="005E7F1D" w:rsidP="00520EB7">
      <w:r w:rsidRPr="00D7028F">
        <w:t xml:space="preserve">Formålet med dette beslutningsforslag er i henhold til grundlovens § 19 at indhente Folketingets samtykke til, at regeringen på Danmarks vegne ratificerer </w:t>
      </w:r>
      <w:r>
        <w:t>Parisaftalen</w:t>
      </w:r>
      <w:r w:rsidRPr="00D7028F">
        <w:t>.</w:t>
      </w:r>
      <w:r>
        <w:t xml:space="preserve"> Selve deponeringen af Danmarks ratifikationsinstrument vil finde sted koordineret og samtidigt med </w:t>
      </w:r>
      <w:r w:rsidRPr="00E33E5D">
        <w:t xml:space="preserve">EU’s og </w:t>
      </w:r>
      <w:r>
        <w:t>de andre medlemsstaters ratifikationsinstrumenter.</w:t>
      </w:r>
    </w:p>
    <w:p w14:paraId="4773D3BC" w14:textId="77777777" w:rsidR="00520EB7" w:rsidRPr="00D7028F" w:rsidRDefault="00520EB7" w:rsidP="00520EB7"/>
    <w:p w14:paraId="418EA126" w14:textId="28987452" w:rsidR="007635B0" w:rsidRDefault="005E7F1D" w:rsidP="00D27742">
      <w:r>
        <w:t>Parisaftalen</w:t>
      </w:r>
      <w:r w:rsidRPr="00D7028F">
        <w:t xml:space="preserve"> er vedlagt i bilag 1</w:t>
      </w:r>
      <w:r>
        <w:t>,</w:t>
      </w:r>
      <w:r w:rsidRPr="00D7028F">
        <w:t xml:space="preserve"> som indeholder den </w:t>
      </w:r>
      <w:r>
        <w:t xml:space="preserve">autoriserede </w:t>
      </w:r>
      <w:r w:rsidRPr="00D7028F">
        <w:t>engelske tekst, der skal ratificeres</w:t>
      </w:r>
      <w:r>
        <w:t>,</w:t>
      </w:r>
      <w:r w:rsidRPr="00D7028F">
        <w:t xml:space="preserve"> samt en dansk oversættelse</w:t>
      </w:r>
      <w:r w:rsidR="00BF6B4F">
        <w:t>, der er udarbejdet i</w:t>
      </w:r>
      <w:r w:rsidR="00DD6247">
        <w:t xml:space="preserve"> </w:t>
      </w:r>
      <w:r w:rsidR="00BF6B4F">
        <w:t>f</w:t>
      </w:r>
      <w:r w:rsidR="00DD6247">
        <w:t xml:space="preserve">orbindelse </w:t>
      </w:r>
      <w:r w:rsidR="00BF6B4F">
        <w:t>m</w:t>
      </w:r>
      <w:r w:rsidR="00DD6247">
        <w:t>ed Europa-Kommissionens fremlæggelse af</w:t>
      </w:r>
      <w:r w:rsidR="00BF6B4F">
        <w:t xml:space="preserve"> forslag til </w:t>
      </w:r>
      <w:r w:rsidR="00DD6247">
        <w:t xml:space="preserve">rådsbeslutning om </w:t>
      </w:r>
      <w:r w:rsidR="00BF6B4F">
        <w:t>EU’s ratifikation af Parisaftalen.</w:t>
      </w:r>
      <w:r w:rsidRPr="00D7028F">
        <w:t xml:space="preserve"> </w:t>
      </w:r>
      <w:r>
        <w:t>Indholdet i de enkelte artikler er refereret i bemærkningernes afsnit 3.</w:t>
      </w:r>
      <w:r>
        <w:br/>
      </w:r>
      <w:r>
        <w:br/>
        <w:t xml:space="preserve">Parisaftalen blev vedtaget den 12. december 2015 i Paris, Frankrig, på </w:t>
      </w:r>
      <w:r w:rsidR="0034781B">
        <w:t>den 21. partskonference (</w:t>
      </w:r>
      <w:r>
        <w:t>COP21</w:t>
      </w:r>
      <w:r w:rsidR="0034781B">
        <w:t>)</w:t>
      </w:r>
      <w:r>
        <w:t xml:space="preserve"> under </w:t>
      </w:r>
      <w:r w:rsidR="0092123F">
        <w:t>De Forenede Nationers Rammekonvention om Klimaændringer (</w:t>
      </w:r>
      <w:r w:rsidR="000849BE">
        <w:t xml:space="preserve">United Nations Framework Convention on Climate Change, </w:t>
      </w:r>
      <w:r w:rsidR="001B20F3">
        <w:t xml:space="preserve">UNFCCC), herefter omtalt som </w:t>
      </w:r>
      <w:r w:rsidR="003C6EDC">
        <w:t>k</w:t>
      </w:r>
      <w:r>
        <w:t>limakonventionen. Danmark underskrev Parisaftalen sammen med 174 andre parter, herunder EU</w:t>
      </w:r>
      <w:r w:rsidR="00D978CB">
        <w:t>’s øvrige</w:t>
      </w:r>
      <w:r>
        <w:t xml:space="preserve"> medlemsstater samt </w:t>
      </w:r>
      <w:r w:rsidR="00157ED0">
        <w:t xml:space="preserve">Europa-Kommissionen </w:t>
      </w:r>
      <w:r>
        <w:t>på EU’s vegne</w:t>
      </w:r>
      <w:r w:rsidR="00005CFA">
        <w:t>,</w:t>
      </w:r>
      <w:r>
        <w:t xml:space="preserve"> ved den officielle </w:t>
      </w:r>
      <w:r w:rsidRPr="00962B28">
        <w:t xml:space="preserve">underskriftsceremoni for Parisaftalen i FN’s hovedkvarter i New York den 22. april 2016. Pr. </w:t>
      </w:r>
      <w:r w:rsidR="00C90234">
        <w:t>27. juni 2016</w:t>
      </w:r>
      <w:r w:rsidRPr="00962B28">
        <w:t xml:space="preserve"> har </w:t>
      </w:r>
      <w:r w:rsidRPr="00C56CC5">
        <w:t>177</w:t>
      </w:r>
      <w:r w:rsidRPr="00962B28">
        <w:t xml:space="preserve"> parter underskrevet Parisaftalen, og </w:t>
      </w:r>
      <w:r w:rsidR="00CB2806">
        <w:t>18</w:t>
      </w:r>
      <w:r w:rsidRPr="00962B28">
        <w:t xml:space="preserve"> </w:t>
      </w:r>
      <w:r w:rsidR="00B70DAA">
        <w:t>parter</w:t>
      </w:r>
      <w:r w:rsidR="00B70DAA" w:rsidRPr="00962B28">
        <w:t xml:space="preserve"> </w:t>
      </w:r>
      <w:r w:rsidRPr="00962B28">
        <w:t>har ratificeret aftalen.</w:t>
      </w:r>
      <w:r>
        <w:t xml:space="preserve">    </w:t>
      </w:r>
      <w:r>
        <w:br/>
      </w:r>
      <w:r>
        <w:br/>
        <w:t xml:space="preserve">Energi-, </w:t>
      </w:r>
      <w:r w:rsidR="00415ACE">
        <w:t>f</w:t>
      </w:r>
      <w:r>
        <w:t xml:space="preserve">orsynings- og </w:t>
      </w:r>
      <w:r w:rsidR="00415ACE">
        <w:t>k</w:t>
      </w:r>
      <w:r>
        <w:t xml:space="preserve">limaministeren orienterede for første gang Folketingets Energi-, Forsynings- og Klimaudvalg om Parisaftalen ved afrapportering fra COP21 af 21. december 2015. </w:t>
      </w:r>
      <w:r>
        <w:lastRenderedPageBreak/>
        <w:t xml:space="preserve">Energi-, Forsynings- og Klimaudvalget og Folketingets Europaudvalg blev forud for indgåelsen af Parisaftalen orienteret i forbindelse med vedtagelsen af </w:t>
      </w:r>
      <w:r w:rsidRPr="009A3121">
        <w:t>EU´s forhandlingsmandat for COP21 på miljør</w:t>
      </w:r>
      <w:r>
        <w:t>ådsmødet den 18. september 2015</w:t>
      </w:r>
      <w:r w:rsidRPr="009A3121">
        <w:t xml:space="preserve">. </w:t>
      </w:r>
      <w:r w:rsidR="00A62933">
        <w:t>Parisaftalen har siden vedtagelsen været debatteret i Folketinget ved en række lejligheder</w:t>
      </w:r>
      <w:r w:rsidR="00837499">
        <w:t xml:space="preserve">, </w:t>
      </w:r>
      <w:r w:rsidR="000775EE">
        <w:t xml:space="preserve">hvor der har været bred opbakning til hurtig ratifikation af Parisaftalen, </w:t>
      </w:r>
      <w:r w:rsidR="00837499">
        <w:t>herunder</w:t>
      </w:r>
      <w:r w:rsidR="00A62933">
        <w:t xml:space="preserve"> i forbindelse med miljørådsmødet den 4. marts 2016</w:t>
      </w:r>
      <w:r w:rsidR="00005CFA">
        <w:t>,</w:t>
      </w:r>
      <w:r w:rsidR="00837499">
        <w:t xml:space="preserve"> hvor Energi-, Forsynings- og Klimaudvalget og Folketingets Europaudvalg blev orienteret omkring opfølgning på Parisaftalen</w:t>
      </w:r>
      <w:r w:rsidR="00A62933">
        <w:t xml:space="preserve">. </w:t>
      </w:r>
    </w:p>
    <w:p w14:paraId="17C8FE15" w14:textId="77777777" w:rsidR="004D79EB" w:rsidRDefault="004D79EB" w:rsidP="00D27742"/>
    <w:p w14:paraId="14C825DA" w14:textId="77777777" w:rsidR="007635B0" w:rsidRDefault="007635B0" w:rsidP="00D27742">
      <w:r w:rsidRPr="00366639">
        <w:t>Parisaftalen blev vedtaget</w:t>
      </w:r>
      <w:r>
        <w:t xml:space="preserve"> ved COP-beslutning 1/CP.21, og optræder som et anneks til denne beslutning. 1/CP.21 indeholder foruden selve vedtagelsen af Parisaftalen en lang række bestemmelser, som vedrører implementeringen af Parisaftalen.</w:t>
      </w:r>
    </w:p>
    <w:p w14:paraId="5D60D4D7" w14:textId="77777777" w:rsidR="00D930C6" w:rsidRDefault="005E7F1D" w:rsidP="00D27742">
      <w:r>
        <w:br/>
        <w:t xml:space="preserve">Med Parisaftalen </w:t>
      </w:r>
      <w:r w:rsidR="00A9219B">
        <w:t xml:space="preserve">forpligter </w:t>
      </w:r>
      <w:r>
        <w:t xml:space="preserve">parterne til </w:t>
      </w:r>
      <w:r w:rsidR="003C6EDC">
        <w:t>klimakonventionen</w:t>
      </w:r>
      <w:r>
        <w:t xml:space="preserve"> </w:t>
      </w:r>
      <w:r w:rsidR="00A9219B">
        <w:t xml:space="preserve">sig til </w:t>
      </w:r>
      <w:r>
        <w:t>globale målsætninger om at</w:t>
      </w:r>
    </w:p>
    <w:p w14:paraId="66D2223B" w14:textId="77777777" w:rsidR="00D930C6" w:rsidRDefault="005E7F1D" w:rsidP="00005CFA">
      <w:pPr>
        <w:pStyle w:val="Listeafsnit"/>
        <w:numPr>
          <w:ilvl w:val="0"/>
          <w:numId w:val="12"/>
        </w:numPr>
      </w:pPr>
      <w:r w:rsidRPr="00613D29">
        <w:t xml:space="preserve">holde den gennemsnitlige globale temperaturstigning et godt stykke under 2 </w:t>
      </w:r>
      <w:r w:rsidR="00005CFA" w:rsidRPr="00005CFA">
        <w:t>°</w:t>
      </w:r>
      <w:r w:rsidR="00005CFA">
        <w:t>C</w:t>
      </w:r>
      <w:r w:rsidRPr="00613D29">
        <w:t xml:space="preserve"> i forhold til førindustrielt niveau og arbejde for at begrænse temperaturstigningen til 1,5 </w:t>
      </w:r>
      <w:r w:rsidR="00005CFA" w:rsidRPr="00005CFA">
        <w:t>°C</w:t>
      </w:r>
    </w:p>
    <w:p w14:paraId="26782161" w14:textId="77777777" w:rsidR="00D930C6" w:rsidRDefault="005E7F1D" w:rsidP="00D27742">
      <w:pPr>
        <w:pStyle w:val="Listeafsnit"/>
        <w:numPr>
          <w:ilvl w:val="0"/>
          <w:numId w:val="12"/>
        </w:numPr>
      </w:pPr>
      <w:r w:rsidRPr="00613D29">
        <w:t xml:space="preserve">øge </w:t>
      </w:r>
      <w:r w:rsidR="00005CFA">
        <w:t xml:space="preserve">tilpasningsevnen </w:t>
      </w:r>
      <w:r w:rsidR="00DD6247">
        <w:t xml:space="preserve">over for </w:t>
      </w:r>
      <w:r w:rsidRPr="00613D29">
        <w:t xml:space="preserve">de </w:t>
      </w:r>
      <w:r w:rsidR="00FF17A9">
        <w:t>skadelige</w:t>
      </w:r>
      <w:r w:rsidR="00FF17A9" w:rsidRPr="00613D29">
        <w:t xml:space="preserve"> </w:t>
      </w:r>
      <w:r w:rsidR="00FF17A9">
        <w:t>virkninger</w:t>
      </w:r>
      <w:r w:rsidR="00FF17A9" w:rsidRPr="00613D29">
        <w:t xml:space="preserve"> </w:t>
      </w:r>
      <w:r w:rsidRPr="00613D29">
        <w:t>af klimaforandringer og fremme modstandsdygtighed</w:t>
      </w:r>
      <w:r w:rsidR="00D930C6">
        <w:t>,</w:t>
      </w:r>
      <w:r w:rsidR="00127CBC">
        <w:t xml:space="preserve"> og</w:t>
      </w:r>
    </w:p>
    <w:p w14:paraId="69A547F3" w14:textId="77777777" w:rsidR="00D930C6" w:rsidRDefault="005E7F1D" w:rsidP="00D27742">
      <w:pPr>
        <w:pStyle w:val="Listeafsnit"/>
        <w:numPr>
          <w:ilvl w:val="0"/>
          <w:numId w:val="12"/>
        </w:numPr>
      </w:pPr>
      <w:r w:rsidRPr="00613D29">
        <w:t>gøre finansieringsstrømmene konsistente med omstillingen til lavemission og modstandsdygtighed</w:t>
      </w:r>
      <w:r w:rsidR="00DD6247">
        <w:t xml:space="preserve"> over for </w:t>
      </w:r>
      <w:r w:rsidR="00AE683B">
        <w:t>klimaforandringer</w:t>
      </w:r>
      <w:r w:rsidRPr="00613D29">
        <w:t>.</w:t>
      </w:r>
    </w:p>
    <w:p w14:paraId="04C61A96" w14:textId="77777777" w:rsidR="00D930C6" w:rsidRDefault="00D930C6" w:rsidP="00D27742">
      <w:pPr>
        <w:pStyle w:val="Listeafsnit"/>
      </w:pPr>
    </w:p>
    <w:p w14:paraId="13F6DAB4" w14:textId="0A6CA96A" w:rsidR="007635B0" w:rsidRDefault="005E7F1D" w:rsidP="00D27742">
      <w:r>
        <w:t xml:space="preserve">Parisaftalen forpligter parterne til at </w:t>
      </w:r>
      <w:r w:rsidR="004444F9">
        <w:t>udarbejde</w:t>
      </w:r>
      <w:r w:rsidR="004444F9" w:rsidRPr="00EC50E9">
        <w:t xml:space="preserve"> </w:t>
      </w:r>
      <w:r w:rsidR="00FF17A9">
        <w:t>meddele</w:t>
      </w:r>
      <w:r w:rsidR="00AE683B">
        <w:t xml:space="preserve"> og håndhæve</w:t>
      </w:r>
      <w:r w:rsidR="00FF17A9" w:rsidRPr="00EC50E9">
        <w:t xml:space="preserve"> </w:t>
      </w:r>
      <w:r w:rsidRPr="00EC50E9">
        <w:t xml:space="preserve">ambitiøse, nationalt bestemte </w:t>
      </w:r>
      <w:r w:rsidR="000C545C">
        <w:t>reduktions</w:t>
      </w:r>
      <w:r>
        <w:t>bidrag (’</w:t>
      </w:r>
      <w:r w:rsidRPr="002B38A1">
        <w:rPr>
          <w:i/>
        </w:rPr>
        <w:t>Nationally Determined Contributions</w:t>
      </w:r>
      <w:r>
        <w:t xml:space="preserve">’, NDC’er) </w:t>
      </w:r>
      <w:r w:rsidRPr="00EC50E9">
        <w:t xml:space="preserve">med henblik på at </w:t>
      </w:r>
      <w:r w:rsidR="00B15310">
        <w:t xml:space="preserve">opfylde </w:t>
      </w:r>
      <w:r w:rsidRPr="00EC50E9">
        <w:t xml:space="preserve">aftalens </w:t>
      </w:r>
      <w:r w:rsidR="00B15310">
        <w:t>målsætninger</w:t>
      </w:r>
      <w:r>
        <w:t xml:space="preserve">. </w:t>
      </w:r>
      <w:r w:rsidRPr="00D930C6">
        <w:t>Parisaftalen indebære</w:t>
      </w:r>
      <w:r w:rsidR="00372A01" w:rsidRPr="00D930C6">
        <w:t>r således</w:t>
      </w:r>
      <w:r w:rsidRPr="00D930C6">
        <w:t xml:space="preserve">, at </w:t>
      </w:r>
      <w:r w:rsidR="00B15310">
        <w:t xml:space="preserve">alle </w:t>
      </w:r>
      <w:r w:rsidRPr="00D930C6">
        <w:t xml:space="preserve">parter hvert femte år skal indmelde eller genindmelde et reduktionsbidrag. </w:t>
      </w:r>
      <w:r>
        <w:t xml:space="preserve">Parisaftalen er dermed den første juridisk bindende klimaaftale, som forpligter alle parter til </w:t>
      </w:r>
      <w:r w:rsidR="003C6EDC">
        <w:t>klimakonventionen</w:t>
      </w:r>
      <w:r>
        <w:t xml:space="preserve"> til at foretage </w:t>
      </w:r>
      <w:r w:rsidR="006B6020">
        <w:t xml:space="preserve">og </w:t>
      </w:r>
      <w:r w:rsidR="00AE683B">
        <w:t>meddele</w:t>
      </w:r>
      <w:r w:rsidR="006B6020">
        <w:t xml:space="preserve"> </w:t>
      </w:r>
      <w:r>
        <w:t>reduktionsindsatser.</w:t>
      </w:r>
      <w:r w:rsidRPr="00D930C6">
        <w:t xml:space="preserve"> Den første runde af reduktionsbidrag under Parisaftalen</w:t>
      </w:r>
      <w:r w:rsidR="004D79EB" w:rsidRPr="00D930C6">
        <w:t xml:space="preserve"> blev indmeldt i 2015</w:t>
      </w:r>
      <w:r w:rsidR="002B64CC">
        <w:t>,</w:t>
      </w:r>
      <w:r w:rsidR="004D79EB" w:rsidRPr="00D930C6">
        <w:t xml:space="preserve"> og</w:t>
      </w:r>
      <w:r w:rsidRPr="00D930C6">
        <w:t xml:space="preserve"> </w:t>
      </w:r>
      <w:r w:rsidR="00837499">
        <w:t xml:space="preserve">langt hovedparten </w:t>
      </w:r>
      <w:r w:rsidRPr="00D930C6">
        <w:t>vil gælde fra 2020</w:t>
      </w:r>
      <w:r w:rsidR="005D17DE" w:rsidRPr="00D930C6">
        <w:t xml:space="preserve"> (og indtil 20</w:t>
      </w:r>
      <w:r w:rsidR="00DD29CB" w:rsidRPr="00D930C6">
        <w:t>25 eller 20</w:t>
      </w:r>
      <w:r w:rsidR="005D17DE" w:rsidRPr="00D930C6">
        <w:t>30</w:t>
      </w:r>
      <w:r w:rsidR="002B64CC">
        <w:t>,</w:t>
      </w:r>
      <w:r w:rsidR="005D17DE" w:rsidRPr="00D930C6">
        <w:t xml:space="preserve"> </w:t>
      </w:r>
      <w:r w:rsidR="00DD29CB" w:rsidRPr="00D930C6">
        <w:t>afhængig af om den enkelte part har valgt en fem- eller tiårig periode)</w:t>
      </w:r>
      <w:r w:rsidRPr="00D930C6">
        <w:t>. Parisaftalen afløser dermed Kyotoprotokollen, hvis anden og sidste forpligtelsesperiode udløber i 2020</w:t>
      </w:r>
      <w:r w:rsidR="00C8662B">
        <w:t xml:space="preserve">, og som udelukkende </w:t>
      </w:r>
      <w:r w:rsidR="00594FB3">
        <w:t xml:space="preserve">pålægger </w:t>
      </w:r>
      <w:r w:rsidR="006B6020">
        <w:t xml:space="preserve">udviklede </w:t>
      </w:r>
      <w:r w:rsidR="00C8662B">
        <w:t>lande</w:t>
      </w:r>
      <w:r w:rsidR="00AE683B">
        <w:t xml:space="preserve"> reduktionsforpligtelser</w:t>
      </w:r>
      <w:r w:rsidR="00DE31F5">
        <w:t xml:space="preserve"> (dog</w:t>
      </w:r>
      <w:r w:rsidR="00FF17A9">
        <w:t xml:space="preserve"> stod enkelte udviklede lande</w:t>
      </w:r>
      <w:r w:rsidR="00AE683B">
        <w:t>,</w:t>
      </w:r>
      <w:r w:rsidR="00F35EA0">
        <w:t xml:space="preserve"> herunder</w:t>
      </w:r>
      <w:r w:rsidR="00DE31F5">
        <w:t xml:space="preserve"> USA</w:t>
      </w:r>
      <w:r w:rsidR="00AE683B">
        <w:t>,</w:t>
      </w:r>
      <w:r w:rsidR="00F35EA0">
        <w:t xml:space="preserve"> udenfor</w:t>
      </w:r>
      <w:r w:rsidR="00DE31F5">
        <w:t>)</w:t>
      </w:r>
      <w:r w:rsidR="00C8662B">
        <w:t xml:space="preserve">. </w:t>
      </w:r>
      <w:r w:rsidRPr="00D930C6">
        <w:br/>
      </w:r>
      <w:r>
        <w:br/>
      </w:r>
      <w:r w:rsidR="007635B0" w:rsidRPr="007A204F">
        <w:t xml:space="preserve">Parisaftalen indebærer også, at alle parter, </w:t>
      </w:r>
      <w:r w:rsidR="00AE683B">
        <w:t>hvor det er relevant</w:t>
      </w:r>
      <w:r w:rsidR="007635B0" w:rsidRPr="00D930C6">
        <w:t>, skal foretage planlægning og implementering af klimatilpasningsindsatser og kommunikere herom til FN. Ligeledes fastsætter Parisaftalen, at alle parter fremadrettet skal indgive information til klimakonvention</w:t>
      </w:r>
      <w:r w:rsidR="004E60F6">
        <w:t>en</w:t>
      </w:r>
      <w:r w:rsidR="007635B0" w:rsidRPr="00D930C6">
        <w:t xml:space="preserve"> om deres klimaindsats</w:t>
      </w:r>
      <w:r w:rsidR="00833DD1">
        <w:t>, og i beslutning 1/CP.21 fastsættes, at dette skal ske</w:t>
      </w:r>
      <w:r w:rsidR="007635B0" w:rsidRPr="00D930C6">
        <w:t xml:space="preserve"> mindst hvert andet år</w:t>
      </w:r>
      <w:r w:rsidR="00833DD1">
        <w:t xml:space="preserve"> (dog med fleksibilitet for de mindst udviklede lande og små østater, som er udviklingslande)</w:t>
      </w:r>
      <w:r w:rsidR="007635B0" w:rsidRPr="00D930C6">
        <w:t>.</w:t>
      </w:r>
    </w:p>
    <w:p w14:paraId="0030E637" w14:textId="77777777" w:rsidR="00B34F20" w:rsidRDefault="005E7F1D" w:rsidP="00D27742">
      <w:r>
        <w:t xml:space="preserve">Parisaftalen sætter </w:t>
      </w:r>
      <w:r w:rsidR="00992D5A">
        <w:t>endvidere</w:t>
      </w:r>
      <w:r>
        <w:t xml:space="preserve"> rammerne for støtte til klimaindsatsen i udviklingslande. I beslutning1/CP.21 bekræftes det, at de </w:t>
      </w:r>
      <w:r w:rsidRPr="007A204F">
        <w:t xml:space="preserve">udviklede lande </w:t>
      </w:r>
      <w:r w:rsidR="00B34F20">
        <w:t>forpligter sig</w:t>
      </w:r>
      <w:r w:rsidRPr="007A204F">
        <w:t xml:space="preserve"> til </w:t>
      </w:r>
      <w:r w:rsidR="00005CFA" w:rsidRPr="007A204F">
        <w:t xml:space="preserve">frem </w:t>
      </w:r>
      <w:r w:rsidR="00B6321E">
        <w:t xml:space="preserve">til </w:t>
      </w:r>
      <w:r w:rsidRPr="007A204F">
        <w:t xml:space="preserve">2025 at </w:t>
      </w:r>
      <w:r w:rsidR="00B34F20">
        <w:t xml:space="preserve">fortsætte </w:t>
      </w:r>
      <w:r w:rsidRPr="007A204F">
        <w:t xml:space="preserve">deres eksisterende kollektive mål om årligt fra 2020 at mobilisere 100 mia. USD i klimafinansiering fra </w:t>
      </w:r>
      <w:r w:rsidR="00B34F20">
        <w:t>bl.a. offentlige og private</w:t>
      </w:r>
      <w:r w:rsidR="00B34F20" w:rsidRPr="007A204F">
        <w:t xml:space="preserve"> </w:t>
      </w:r>
      <w:r w:rsidRPr="007A204F">
        <w:t>kilder samt</w:t>
      </w:r>
      <w:r w:rsidR="00DE31F5">
        <w:t xml:space="preserve"> </w:t>
      </w:r>
      <w:r w:rsidRPr="007A204F">
        <w:t>senest i 2025</w:t>
      </w:r>
      <w:r w:rsidR="00B34F20">
        <w:t xml:space="preserve"> at</w:t>
      </w:r>
      <w:r w:rsidRPr="007A204F">
        <w:t xml:space="preserve"> vedtage et nyt kvantitativt mål </w:t>
      </w:r>
      <w:r w:rsidR="00B34F20">
        <w:t xml:space="preserve">med </w:t>
      </w:r>
      <w:r w:rsidR="00C55D4D">
        <w:t xml:space="preserve">mulighed for </w:t>
      </w:r>
      <w:r w:rsidR="00B34F20">
        <w:t>en bredere donorbase</w:t>
      </w:r>
      <w:r w:rsidRPr="007A204F">
        <w:t>.</w:t>
      </w:r>
      <w:r>
        <w:t xml:space="preserve"> </w:t>
      </w:r>
    </w:p>
    <w:p w14:paraId="6EFC6FA5" w14:textId="77777777" w:rsidR="004B31AF" w:rsidRDefault="004B31AF" w:rsidP="00D27742"/>
    <w:p w14:paraId="6553F877" w14:textId="3AC00D42" w:rsidR="005E7F1D" w:rsidRDefault="005E7F1D" w:rsidP="00D27742">
      <w:r>
        <w:lastRenderedPageBreak/>
        <w:t>I henhold til Parisaftalen kan parter</w:t>
      </w:r>
      <w:r w:rsidR="00493653">
        <w:t>ne</w:t>
      </w:r>
      <w:r>
        <w:t xml:space="preserve"> indgå en aftale om i fællesskab at opfylde f</w:t>
      </w:r>
      <w:r w:rsidRPr="00B571C7">
        <w:t>orpligtelsen til at kommunikere</w:t>
      </w:r>
      <w:r>
        <w:t xml:space="preserve"> en NDC til aftalen. </w:t>
      </w:r>
      <w:r w:rsidRPr="00CB03C1">
        <w:t>EU og medlemsstater</w:t>
      </w:r>
      <w:r w:rsidR="00493653">
        <w:t>ne</w:t>
      </w:r>
      <w:r w:rsidRPr="00CB03C1">
        <w:t xml:space="preserve"> har besluttet at opfylde </w:t>
      </w:r>
      <w:r>
        <w:t xml:space="preserve">denne </w:t>
      </w:r>
      <w:r w:rsidRPr="00CB03C1">
        <w:t xml:space="preserve">forpligtelse </w:t>
      </w:r>
      <w:r>
        <w:t xml:space="preserve">i fællesskab. EU </w:t>
      </w:r>
      <w:r w:rsidR="004D79EB">
        <w:t xml:space="preserve">indmeldte i marts 2015 </w:t>
      </w:r>
      <w:r>
        <w:t xml:space="preserve">sin </w:t>
      </w:r>
      <w:r w:rsidRPr="00CB03C1">
        <w:t xml:space="preserve">første </w:t>
      </w:r>
      <w:r>
        <w:t>NDC</w:t>
      </w:r>
      <w:r w:rsidRPr="00CB03C1">
        <w:t xml:space="preserve"> til aftalen </w:t>
      </w:r>
      <w:r w:rsidR="00146392">
        <w:t xml:space="preserve">med </w:t>
      </w:r>
      <w:r w:rsidRPr="00CB03C1">
        <w:t>en reduktion i drivhusgasudledningerne på mindst 40 pct. i 2030 i forhold til 1990</w:t>
      </w:r>
      <w:r w:rsidR="00D978CB">
        <w:t>-niveau</w:t>
      </w:r>
      <w:r w:rsidRPr="00CB03C1">
        <w:t xml:space="preserve">. </w:t>
      </w:r>
      <w:r w:rsidR="0011731F">
        <w:t>Reduktionsbidraget</w:t>
      </w:r>
      <w:r w:rsidRPr="00CB03C1">
        <w:t xml:space="preserve"> blev vedtaget på Det Europæiske Råd den 24. oktober 2014.</w:t>
      </w:r>
      <w:r>
        <w:br/>
      </w:r>
      <w:r>
        <w:br/>
      </w:r>
      <w:r w:rsidRPr="00962B28">
        <w:t xml:space="preserve">EU’s reduktionsbidrag </w:t>
      </w:r>
      <w:r w:rsidR="0053744D">
        <w:t>skal udmøntes gennem vedtagelse af lovgivning for de</w:t>
      </w:r>
      <w:r w:rsidRPr="00962B28">
        <w:t xml:space="preserve"> kvotebelagte og ikke-kvotebelagte sektorer. </w:t>
      </w:r>
      <w:r w:rsidR="0053744D" w:rsidRPr="00962B28">
        <w:t>Målet for de ikke-kvotebelagte sektorer skal fordeles mellem EU’s medlemsstater</w:t>
      </w:r>
      <w:r w:rsidR="0053744D">
        <w:t>, mens der for kvotesektoren er ét fælles kvoteloft for hele EU.</w:t>
      </w:r>
      <w:r w:rsidR="0053744D" w:rsidRPr="0053744D">
        <w:t xml:space="preserve"> Kommissionen fremlagde d. 15. juli 2015 forslag til revision af kvotehandelsdirektivet, der skal udmønte EU’s klimaindsats inden for kvotehandelssystemet i perioden 2021-2030. Forslaget behandles i øjeblikket i den almindelige lovgivningsprocedure.  </w:t>
      </w:r>
      <w:r w:rsidR="006179F6">
        <w:t>[</w:t>
      </w:r>
      <w:r w:rsidR="005021C1">
        <w:t xml:space="preserve">Europa-Kommissionen </w:t>
      </w:r>
      <w:r w:rsidRPr="00C56CC5">
        <w:t>har den 20. juli</w:t>
      </w:r>
      <w:r w:rsidR="006179F6">
        <w:t xml:space="preserve"> 2016 fremlagt</w:t>
      </w:r>
      <w:r w:rsidRPr="00962B28">
        <w:t xml:space="preserve"> forslag til </w:t>
      </w:r>
      <w:r w:rsidR="00F3678D">
        <w:t xml:space="preserve">en </w:t>
      </w:r>
      <w:r w:rsidRPr="00962B28">
        <w:rPr>
          <w:spacing w:val="6"/>
          <w:szCs w:val="20"/>
        </w:rPr>
        <w:t>byrdefordeling</w:t>
      </w:r>
      <w:r w:rsidR="00F3678D">
        <w:rPr>
          <w:spacing w:val="6"/>
          <w:szCs w:val="20"/>
        </w:rPr>
        <w:t>saftale for de ikke-kvotebelagte sektorer</w:t>
      </w:r>
      <w:r w:rsidR="00760729">
        <w:t>. F</w:t>
      </w:r>
      <w:r w:rsidR="006179F6">
        <w:t xml:space="preserve">orhandlingerne herom </w:t>
      </w:r>
      <w:r w:rsidRPr="00962B28">
        <w:t>ventes påbegyndt i EU i andet halvår af 2016</w:t>
      </w:r>
      <w:r w:rsidR="0053744D">
        <w:t>.</w:t>
      </w:r>
      <w:r w:rsidR="00D240F4">
        <w:t>]</w:t>
      </w:r>
      <w:r w:rsidRPr="00962B28">
        <w:t xml:space="preserve"> </w:t>
      </w:r>
      <w:r w:rsidR="0053744D">
        <w:t xml:space="preserve">Rammerne for </w:t>
      </w:r>
      <w:r w:rsidRPr="00962B28">
        <w:t xml:space="preserve">Danmarks </w:t>
      </w:r>
      <w:r w:rsidRPr="00F44B0C">
        <w:t>første</w:t>
      </w:r>
      <w:r w:rsidR="00CE42C0">
        <w:t xml:space="preserve"> </w:t>
      </w:r>
      <w:r w:rsidRPr="00962B28">
        <w:t>reduktions</w:t>
      </w:r>
      <w:r w:rsidR="0053744D">
        <w:t>indsats</w:t>
      </w:r>
      <w:r w:rsidRPr="00962B28">
        <w:t xml:space="preserve"> </w:t>
      </w:r>
      <w:r w:rsidR="00F44B0C">
        <w:t xml:space="preserve">under </w:t>
      </w:r>
      <w:r w:rsidRPr="00962B28">
        <w:t xml:space="preserve">Parisaftalen vil således først blive </w:t>
      </w:r>
      <w:r w:rsidR="0053744D">
        <w:t xml:space="preserve">endeligt </w:t>
      </w:r>
      <w:r w:rsidRPr="00962B28">
        <w:t xml:space="preserve">fastsat, når </w:t>
      </w:r>
      <w:r w:rsidR="0053744D">
        <w:t>lovgivningen i EU er vedtaget.</w:t>
      </w:r>
      <w:r w:rsidR="00D240F4" w:rsidDel="00D240F4">
        <w:t xml:space="preserve"> </w:t>
      </w:r>
      <w:r>
        <w:br/>
      </w:r>
      <w:r>
        <w:br/>
      </w:r>
      <w:r w:rsidRPr="0001013C">
        <w:t xml:space="preserve">Parisaftalen vil træde i kraft 30 dage efter, at mindst 55 parter dækkende mindst 55 pct. af de globale udledninger har deponeret deres ratifikationsinstrumenter hos FN. </w:t>
      </w:r>
      <w:r w:rsidR="001E5553">
        <w:t>En række lande har indikeret</w:t>
      </w:r>
      <w:r w:rsidRPr="00F233CF">
        <w:t>, at man vil ratificere aftalen i 2016</w:t>
      </w:r>
      <w:r w:rsidR="00AA22A8">
        <w:t xml:space="preserve">, og der er derfor </w:t>
      </w:r>
      <w:r w:rsidR="00AA22A8">
        <w:rPr>
          <w:spacing w:val="5"/>
        </w:rPr>
        <w:t>en vis risiko for, at Parisaftalen kan træde i kraft uden, at EU er part til aftalen</w:t>
      </w:r>
      <w:r w:rsidRPr="00F233CF">
        <w:t>.</w:t>
      </w:r>
      <w:r>
        <w:t xml:space="preserve"> </w:t>
      </w:r>
      <w:r w:rsidRPr="00F233CF">
        <w:t xml:space="preserve">Der </w:t>
      </w:r>
      <w:r>
        <w:t xml:space="preserve">er derfor enighed i EU om at ratificere hurtigst muligt og tids nok til, at </w:t>
      </w:r>
      <w:r w:rsidRPr="00F233CF">
        <w:t>EU kan nå at blive part til aftalen ved dens ikrafttrædelse</w:t>
      </w:r>
      <w:r>
        <w:t>.</w:t>
      </w:r>
      <w:r w:rsidRPr="00F233CF">
        <w:t xml:space="preserve"> </w:t>
      </w:r>
      <w:r>
        <w:t xml:space="preserve">Dette blev understreget i konklusionerne fra Det Europæiske Råd </w:t>
      </w:r>
      <w:r w:rsidRPr="005E7F1D">
        <w:t>den 17.-18. marts 2016 og bekræftes i rådserklæringen fra miljørådsmød</w:t>
      </w:r>
      <w:r w:rsidR="00C90234">
        <w:t>et den 20. juni 2016</w:t>
      </w:r>
      <w:r w:rsidRPr="005E7F1D">
        <w:t>.</w:t>
      </w:r>
      <w:r w:rsidRPr="005E7F1D">
        <w:br/>
      </w:r>
      <w:r w:rsidRPr="005E7F1D">
        <w:br/>
        <w:t>EU og medlemsstater</w:t>
      </w:r>
      <w:r w:rsidR="00244CB6">
        <w:t>ne</w:t>
      </w:r>
      <w:r w:rsidRPr="005E7F1D">
        <w:t>, herunder Danmark, kan først blive part</w:t>
      </w:r>
      <w:r w:rsidR="00005CFA">
        <w:t>er</w:t>
      </w:r>
      <w:r w:rsidRPr="005E7F1D">
        <w:t xml:space="preserve"> til Parisaftalen, når EU og alle medlemsstaterne har afsluttet deres respektive </w:t>
      </w:r>
      <w:r w:rsidR="001B5321">
        <w:t>nationale</w:t>
      </w:r>
      <w:r w:rsidRPr="005E7F1D">
        <w:t xml:space="preserve"> ratifikationsprocesser og har deponeret </w:t>
      </w:r>
      <w:r w:rsidR="005B3C8F">
        <w:t>alle</w:t>
      </w:r>
      <w:r w:rsidRPr="005E7F1D">
        <w:t xml:space="preserve"> ratifikationsinstrumenter</w:t>
      </w:r>
      <w:r w:rsidR="005B3C8F">
        <w:t>ne</w:t>
      </w:r>
      <w:r w:rsidRPr="005E7F1D">
        <w:t xml:space="preserve"> til FN i fællesskab. Danmark kan ved </w:t>
      </w:r>
      <w:r w:rsidR="00005CFA">
        <w:t xml:space="preserve">hurtigt </w:t>
      </w:r>
      <w:r w:rsidRPr="005E7F1D">
        <w:t>at færdiggøre sin ratifikationsproces sikre, at Danmark</w:t>
      </w:r>
      <w:r w:rsidR="00935D55">
        <w:t xml:space="preserve"> ikke</w:t>
      </w:r>
      <w:r w:rsidRPr="005E7F1D">
        <w:t xml:space="preserve"> forsinker EU og medlemsstaternes samlede ratifikation. Danmark kan desuden ved at gennemføre den danske proces </w:t>
      </w:r>
      <w:r w:rsidR="001B5321">
        <w:t>m</w:t>
      </w:r>
      <w:r w:rsidR="00F969C2">
        <w:t xml:space="preserve">ed </w:t>
      </w:r>
      <w:r w:rsidR="001B5321">
        <w:t>h</w:t>
      </w:r>
      <w:r w:rsidR="00F969C2">
        <w:t xml:space="preserve">enblik </w:t>
      </w:r>
      <w:r w:rsidR="001B5321">
        <w:t>p</w:t>
      </w:r>
      <w:r w:rsidR="00F969C2">
        <w:t>å</w:t>
      </w:r>
      <w:r w:rsidR="001B5321">
        <w:t xml:space="preserve"> ratifikation </w:t>
      </w:r>
      <w:r w:rsidRPr="005E7F1D">
        <w:t xml:space="preserve">bidrage til at </w:t>
      </w:r>
      <w:r w:rsidR="001B4A65" w:rsidRPr="005E7F1D">
        <w:t>fremskynde processer</w:t>
      </w:r>
      <w:r w:rsidR="001B4A65">
        <w:t>ne</w:t>
      </w:r>
      <w:r w:rsidR="001B5321">
        <w:t xml:space="preserve"> m</w:t>
      </w:r>
      <w:r w:rsidR="00F969C2">
        <w:t xml:space="preserve">ed </w:t>
      </w:r>
      <w:r w:rsidR="001B5321">
        <w:t>h</w:t>
      </w:r>
      <w:r w:rsidR="00F969C2">
        <w:t xml:space="preserve">enblik </w:t>
      </w:r>
      <w:r w:rsidR="001B5321">
        <w:t>p</w:t>
      </w:r>
      <w:r w:rsidR="00F969C2">
        <w:t>å</w:t>
      </w:r>
      <w:r w:rsidR="001B5321">
        <w:t xml:space="preserve"> ratifikation</w:t>
      </w:r>
      <w:r w:rsidR="001B4A65">
        <w:t xml:space="preserve"> i</w:t>
      </w:r>
      <w:r w:rsidR="001B4A65" w:rsidRPr="005E7F1D">
        <w:t xml:space="preserve"> </w:t>
      </w:r>
      <w:r w:rsidR="002F004D">
        <w:t>de øvrige medlemsstater</w:t>
      </w:r>
      <w:r w:rsidRPr="005E7F1D">
        <w:t xml:space="preserve">. </w:t>
      </w:r>
      <w:r w:rsidR="001E5553" w:rsidRPr="00962B28">
        <w:t xml:space="preserve">Pr. </w:t>
      </w:r>
      <w:r w:rsidR="00410917">
        <w:t>27. juni 2016</w:t>
      </w:r>
      <w:r w:rsidR="001E5553" w:rsidRPr="00962B28">
        <w:t xml:space="preserve"> </w:t>
      </w:r>
      <w:r w:rsidRPr="005E7F1D">
        <w:t>er det blandt EU’s medlemsstater kun Ungarn og Frankrig,</w:t>
      </w:r>
      <w:r>
        <w:t xml:space="preserve"> der har færdiggjort deres nationale processer</w:t>
      </w:r>
      <w:r w:rsidR="001B5321">
        <w:t xml:space="preserve"> m</w:t>
      </w:r>
      <w:r w:rsidR="00F969C2">
        <w:t xml:space="preserve">ed </w:t>
      </w:r>
      <w:r w:rsidR="001B5321">
        <w:t>h</w:t>
      </w:r>
      <w:r w:rsidR="00F969C2">
        <w:t xml:space="preserve">enblik </w:t>
      </w:r>
      <w:r w:rsidR="001B5321">
        <w:t>p</w:t>
      </w:r>
      <w:r w:rsidR="00F969C2">
        <w:t>å</w:t>
      </w:r>
      <w:r w:rsidR="001B5321">
        <w:t xml:space="preserve"> ratifikation</w:t>
      </w:r>
      <w:r>
        <w:t>.</w:t>
      </w:r>
      <w:r>
        <w:br/>
      </w:r>
      <w:r>
        <w:br/>
        <w:t>Med hensyn til Grønland og Færøernes status i forbindelse med Danmarks ratifikation af Parisaftalen henvises til bemærkningernes afsnit 9.</w:t>
      </w:r>
    </w:p>
    <w:p w14:paraId="616FC81E" w14:textId="77777777" w:rsidR="005E7F1D" w:rsidRDefault="005E7F1D" w:rsidP="00D27742"/>
    <w:p w14:paraId="185D0D67" w14:textId="77777777" w:rsidR="00BC4673" w:rsidRPr="000D337F" w:rsidRDefault="00BC4673" w:rsidP="00D27742">
      <w:pPr>
        <w:rPr>
          <w:b/>
        </w:rPr>
      </w:pPr>
      <w:r w:rsidRPr="000D337F">
        <w:rPr>
          <w:b/>
        </w:rPr>
        <w:t xml:space="preserve">2. </w:t>
      </w:r>
      <w:r w:rsidR="00300BFB" w:rsidRPr="000D337F">
        <w:rPr>
          <w:b/>
        </w:rPr>
        <w:t>Parisaftalens his</w:t>
      </w:r>
      <w:r w:rsidR="005E7F1D" w:rsidRPr="000D337F">
        <w:rPr>
          <w:b/>
        </w:rPr>
        <w:t>t</w:t>
      </w:r>
      <w:r w:rsidR="00300BFB" w:rsidRPr="000D337F">
        <w:rPr>
          <w:b/>
        </w:rPr>
        <w:t>orie</w:t>
      </w:r>
    </w:p>
    <w:p w14:paraId="44D7EE7A" w14:textId="77777777" w:rsidR="0091398B" w:rsidRDefault="00196581" w:rsidP="00D27742">
      <w:r>
        <w:t>Ved FN’s konference om miljø og udvikling (</w:t>
      </w:r>
      <w:r w:rsidR="00F6476C" w:rsidRPr="0034781B">
        <w:rPr>
          <w:i/>
        </w:rPr>
        <w:t>’</w:t>
      </w:r>
      <w:r w:rsidR="001E5553" w:rsidRPr="0034781B">
        <w:rPr>
          <w:i/>
        </w:rPr>
        <w:t>The United Nations Conference on Environment and Development</w:t>
      </w:r>
      <w:r w:rsidR="00F6476C" w:rsidRPr="0034781B">
        <w:rPr>
          <w:i/>
        </w:rPr>
        <w:t>’</w:t>
      </w:r>
      <w:r w:rsidR="001E5553">
        <w:t>,</w:t>
      </w:r>
      <w:r w:rsidR="00F6476C">
        <w:t xml:space="preserve"> </w:t>
      </w:r>
      <w:r>
        <w:t>UNCED) i Brasilien i 1992 underskrev Danmark s</w:t>
      </w:r>
      <w:r w:rsidR="005E7F1D">
        <w:t xml:space="preserve">ammen med 153 andre </w:t>
      </w:r>
      <w:r w:rsidR="001E5553">
        <w:t xml:space="preserve">parter </w:t>
      </w:r>
      <w:r w:rsidR="003C6EDC">
        <w:t>klimakonventionen</w:t>
      </w:r>
      <w:r>
        <w:t>.</w:t>
      </w:r>
      <w:r w:rsidR="00C86159">
        <w:t xml:space="preserve"> I dag har </w:t>
      </w:r>
      <w:r w:rsidR="003C6EDC">
        <w:t>klimakonventionen</w:t>
      </w:r>
      <w:r w:rsidR="00C86159">
        <w:t xml:space="preserve"> 196 parter.</w:t>
      </w:r>
      <w:r>
        <w:t xml:space="preserve"> </w:t>
      </w:r>
      <w:r w:rsidR="00481D6E">
        <w:t>M</w:t>
      </w:r>
      <w:r w:rsidR="00C86159" w:rsidRPr="00C86159">
        <w:t xml:space="preserve">ålet med </w:t>
      </w:r>
      <w:r w:rsidR="003C6EDC">
        <w:t>k</w:t>
      </w:r>
      <w:r w:rsidR="00C86159" w:rsidRPr="00C86159">
        <w:t>limakonventionen er at stabilisere atmosfærens indhold af drivhusgasser på et niveau, som forhindrer farlige klimaforandringer</w:t>
      </w:r>
      <w:r>
        <w:t xml:space="preserve">. Forslag til folketingsbeslutning om ratifikation af </w:t>
      </w:r>
      <w:r w:rsidR="003C6EDC">
        <w:t>k</w:t>
      </w:r>
      <w:r>
        <w:t xml:space="preserve">limakonventionen blev med </w:t>
      </w:r>
      <w:r>
        <w:lastRenderedPageBreak/>
        <w:t>beslutningsforsl</w:t>
      </w:r>
      <w:r w:rsidR="00653CC1">
        <w:t>a</w:t>
      </w:r>
      <w:r>
        <w:t xml:space="preserve">g </w:t>
      </w:r>
      <w:r w:rsidR="00CC0E49">
        <w:t xml:space="preserve">nr. </w:t>
      </w:r>
      <w:r>
        <w:t>B 75 vedtaget den 27. ap</w:t>
      </w:r>
      <w:r w:rsidR="005E7F1D">
        <w:t xml:space="preserve">ril 1993. Danmark ratificerede </w:t>
      </w:r>
      <w:r w:rsidR="003C6EDC">
        <w:t>k</w:t>
      </w:r>
      <w:r>
        <w:t xml:space="preserve">limakonventionen </w:t>
      </w:r>
      <w:r w:rsidR="007E0760">
        <w:t>i</w:t>
      </w:r>
      <w:r>
        <w:t xml:space="preserve"> december 1993</w:t>
      </w:r>
      <w:r w:rsidR="00E47396">
        <w:t xml:space="preserve">, og denne </w:t>
      </w:r>
      <w:r w:rsidR="00837A2E">
        <w:t>trådte i kraft den 21. marts 1994</w:t>
      </w:r>
      <w:r w:rsidR="0091398B">
        <w:t>.</w:t>
      </w:r>
    </w:p>
    <w:p w14:paraId="2AE491CB" w14:textId="77777777" w:rsidR="00CB09E6" w:rsidRDefault="00CB09E6" w:rsidP="00D27742"/>
    <w:p w14:paraId="1DB9D990" w14:textId="77777777" w:rsidR="00300ED8" w:rsidRDefault="00CB09E6" w:rsidP="00D27742">
      <w:r w:rsidRPr="00CB09E6">
        <w:t xml:space="preserve">Klimakonventionen er en såkaldt rammekonvention. Det vil sige, at den er </w:t>
      </w:r>
      <w:r w:rsidR="00E42926">
        <w:t>ramme for de</w:t>
      </w:r>
      <w:r w:rsidR="00BE7ADF">
        <w:t>n</w:t>
      </w:r>
      <w:r w:rsidR="00E42926">
        <w:t xml:space="preserve"> </w:t>
      </w:r>
      <w:r w:rsidR="00BE7ADF">
        <w:t xml:space="preserve">globale </w:t>
      </w:r>
      <w:r w:rsidR="00E42926">
        <w:t>klima</w:t>
      </w:r>
      <w:r w:rsidR="00BE7ADF">
        <w:t>indsats</w:t>
      </w:r>
      <w:r w:rsidR="00E42926">
        <w:t xml:space="preserve"> i FN</w:t>
      </w:r>
      <w:r w:rsidRPr="00CB09E6">
        <w:t xml:space="preserve"> men </w:t>
      </w:r>
      <w:r w:rsidR="00E42926">
        <w:t xml:space="preserve">ikke </w:t>
      </w:r>
      <w:r w:rsidRPr="00CB09E6">
        <w:t>indeholder bindende krav om redu</w:t>
      </w:r>
      <w:r w:rsidR="00E42926">
        <w:t>ktion af drivhusgas</w:t>
      </w:r>
      <w:r w:rsidRPr="00CB09E6">
        <w:t>udledning.</w:t>
      </w:r>
      <w:r>
        <w:t xml:space="preserve"> </w:t>
      </w:r>
    </w:p>
    <w:p w14:paraId="7DDC215B" w14:textId="77777777" w:rsidR="00300ED8" w:rsidRDefault="00300ED8" w:rsidP="00D27742"/>
    <w:p w14:paraId="00F89B2C" w14:textId="77777777" w:rsidR="00D7028F" w:rsidRDefault="00CB09E6" w:rsidP="00D27742">
      <w:r w:rsidRPr="00CB09E6">
        <w:t xml:space="preserve">I </w:t>
      </w:r>
      <w:r w:rsidR="00C15EAF">
        <w:t xml:space="preserve">december </w:t>
      </w:r>
      <w:r w:rsidRPr="00CB09E6">
        <w:t xml:space="preserve">1997 </w:t>
      </w:r>
      <w:r w:rsidR="00C15EAF">
        <w:t>på COP3 i Kyoto, Japan</w:t>
      </w:r>
      <w:r w:rsidR="00B62AF4">
        <w:t>,</w:t>
      </w:r>
      <w:r w:rsidR="00C15EAF">
        <w:t xml:space="preserve"> </w:t>
      </w:r>
      <w:r w:rsidR="00D57935">
        <w:t>vedtog</w:t>
      </w:r>
      <w:r w:rsidRPr="00CB09E6">
        <w:t xml:space="preserve"> parterne </w:t>
      </w:r>
      <w:r w:rsidR="000462E3">
        <w:t xml:space="preserve">til </w:t>
      </w:r>
      <w:r w:rsidR="00ED5234">
        <w:t>k</w:t>
      </w:r>
      <w:r w:rsidR="000462E3">
        <w:t xml:space="preserve">limakonventionen </w:t>
      </w:r>
      <w:r w:rsidRPr="00CB09E6">
        <w:t>Kyotoprotokol</w:t>
      </w:r>
      <w:r w:rsidR="00954C6F">
        <w:t>len</w:t>
      </w:r>
      <w:r w:rsidRPr="00CB09E6">
        <w:t>. Kyotoprotokollen er den første juridisk bindende internationale aftale med reduktionsforpligtelser for udledning af drivhusgasser.</w:t>
      </w:r>
      <w:r>
        <w:t xml:space="preserve"> </w:t>
      </w:r>
      <w:r w:rsidRPr="00CB09E6">
        <w:t xml:space="preserve">Kyotoprotokollen trådte i kraft i februar 2005. </w:t>
      </w:r>
      <w:r w:rsidR="004E2942">
        <w:t>Forslag til folketingsbeslutning om ratifikation af Kyotoprotokollen blev med beslutningsforsl</w:t>
      </w:r>
      <w:r w:rsidR="00BF1D0A">
        <w:t>a</w:t>
      </w:r>
      <w:r w:rsidR="004E2942">
        <w:t xml:space="preserve">g </w:t>
      </w:r>
      <w:r w:rsidR="00BF1D0A">
        <w:t xml:space="preserve">nr. </w:t>
      </w:r>
      <w:r w:rsidR="004E2942">
        <w:t xml:space="preserve">B </w:t>
      </w:r>
      <w:r w:rsidR="00942B17">
        <w:t>91</w:t>
      </w:r>
      <w:r w:rsidR="004E2942">
        <w:t xml:space="preserve"> </w:t>
      </w:r>
      <w:r w:rsidR="00942B17">
        <w:t>vedtaget den 16. maj 2002</w:t>
      </w:r>
      <w:r w:rsidR="004E2942">
        <w:t>.</w:t>
      </w:r>
      <w:r w:rsidR="00A37D4C">
        <w:t xml:space="preserve"> </w:t>
      </w:r>
      <w:r w:rsidRPr="00CB09E6">
        <w:t>Danmark</w:t>
      </w:r>
      <w:r w:rsidR="005E7F1D">
        <w:t>s</w:t>
      </w:r>
      <w:r w:rsidRPr="00CB09E6">
        <w:t xml:space="preserve"> ratifi</w:t>
      </w:r>
      <w:r w:rsidR="005E7F1D">
        <w:t xml:space="preserve">kation af </w:t>
      </w:r>
      <w:r w:rsidR="0085536D">
        <w:t>Kyoto</w:t>
      </w:r>
      <w:r w:rsidR="009A495B">
        <w:t>protokollen</w:t>
      </w:r>
      <w:r w:rsidR="005E7F1D">
        <w:t xml:space="preserve"> blev deponeret hos FN sammen med de øvrige EU</w:t>
      </w:r>
      <w:r w:rsidR="00622B19">
        <w:t>-</w:t>
      </w:r>
      <w:r w:rsidR="005E7F1D">
        <w:t>medlemsstaters</w:t>
      </w:r>
      <w:r w:rsidRPr="00CB09E6">
        <w:t xml:space="preserve"> i 2002.</w:t>
      </w:r>
    </w:p>
    <w:p w14:paraId="5C6584E1" w14:textId="77777777" w:rsidR="00E96D50" w:rsidRDefault="00E96D50" w:rsidP="00D27742"/>
    <w:p w14:paraId="3DA797C9" w14:textId="77777777" w:rsidR="000D75A3" w:rsidRDefault="00E96D50" w:rsidP="00D27742">
      <w:r>
        <w:t>Kyotop</w:t>
      </w:r>
      <w:r w:rsidRPr="00E96D50">
        <w:t xml:space="preserve">rotokollen </w:t>
      </w:r>
      <w:r>
        <w:t>sætter</w:t>
      </w:r>
      <w:r w:rsidRPr="00E96D50">
        <w:t xml:space="preserve"> bindende mål for</w:t>
      </w:r>
      <w:r w:rsidR="00954C6F">
        <w:t xml:space="preserve"> </w:t>
      </w:r>
      <w:r w:rsidR="000D75A3">
        <w:t>udledning af drivhusgasser for de udviklede lande, der har ratificeret protokollen.</w:t>
      </w:r>
      <w:r w:rsidRPr="00E96D50">
        <w:t xml:space="preserve"> </w:t>
      </w:r>
      <w:r w:rsidR="000D75A3">
        <w:t>De u</w:t>
      </w:r>
      <w:r w:rsidR="00954C6F">
        <w:t>dviklings</w:t>
      </w:r>
      <w:r w:rsidRPr="00E96D50">
        <w:t>lande</w:t>
      </w:r>
      <w:r w:rsidR="000D75A3">
        <w:t>, der har ratificeret protokollen er</w:t>
      </w:r>
      <w:r w:rsidR="005E7F1D">
        <w:t xml:space="preserve"> </w:t>
      </w:r>
      <w:r w:rsidRPr="00E96D50">
        <w:t xml:space="preserve">kun forpligtede til at gennemføre ’ikke-bindende reduktionsinitiativer, der støtter op om en bæredygtig udvikling’. </w:t>
      </w:r>
    </w:p>
    <w:p w14:paraId="6176DC79" w14:textId="77777777" w:rsidR="000D75A3" w:rsidRDefault="000D75A3" w:rsidP="00D27742"/>
    <w:p w14:paraId="27F501B9" w14:textId="77777777" w:rsidR="004F76C9" w:rsidRDefault="00E96D50" w:rsidP="00D27742">
      <w:r w:rsidRPr="00E96D50">
        <w:t xml:space="preserve">Den første forpligtelsesperiode under Kyotoprotokollen strakte sig fra 2008-2012. </w:t>
      </w:r>
      <w:r w:rsidR="00954C6F">
        <w:t xml:space="preserve">De udviklede </w:t>
      </w:r>
      <w:r w:rsidRPr="00E96D50">
        <w:t>lande forpligtede sig samlet set til at reducere deres udledninger af drivhusgasser med 5,2 procent i forhold til niveauet i 1990. EU forpligtede sig til at reducere med 8 procent</w:t>
      </w:r>
      <w:r>
        <w:t>,</w:t>
      </w:r>
      <w:r w:rsidRPr="00E96D50">
        <w:t xml:space="preserve"> og </w:t>
      </w:r>
      <w:r>
        <w:t>internt</w:t>
      </w:r>
      <w:r w:rsidRPr="00E96D50">
        <w:t xml:space="preserve"> i EU forpligtede Danmark sig til en reduktion på 21 procent.</w:t>
      </w:r>
      <w:r w:rsidR="00765B4A">
        <w:t xml:space="preserve"> </w:t>
      </w:r>
    </w:p>
    <w:p w14:paraId="7D4FE208" w14:textId="77777777" w:rsidR="004F76C9" w:rsidRDefault="004F76C9" w:rsidP="00D27742"/>
    <w:p w14:paraId="7C9F4636" w14:textId="77777777" w:rsidR="00C93CA0" w:rsidRDefault="00C6124E" w:rsidP="00D27742">
      <w:r>
        <w:t xml:space="preserve">I </w:t>
      </w:r>
      <w:r w:rsidR="00A475A2">
        <w:t>december</w:t>
      </w:r>
      <w:r w:rsidR="00424939">
        <w:t xml:space="preserve"> </w:t>
      </w:r>
      <w:r>
        <w:t xml:space="preserve">2007 </w:t>
      </w:r>
      <w:r w:rsidR="00D23B1F">
        <w:t>p</w:t>
      </w:r>
      <w:r w:rsidRPr="00C6124E">
        <w:t>å COP13</w:t>
      </w:r>
      <w:r w:rsidR="00424939">
        <w:t xml:space="preserve"> </w:t>
      </w:r>
      <w:r w:rsidR="00A475A2">
        <w:t>på Bali, Indonesien,</w:t>
      </w:r>
      <w:r w:rsidR="00424939">
        <w:t xml:space="preserve"> </w:t>
      </w:r>
      <w:r w:rsidR="00943B88">
        <w:t xml:space="preserve">vedtog </w:t>
      </w:r>
      <w:r w:rsidR="00954C6F">
        <w:t xml:space="preserve">parterne til </w:t>
      </w:r>
      <w:r w:rsidR="00ED5234">
        <w:t>k</w:t>
      </w:r>
      <w:r w:rsidR="00954C6F">
        <w:t xml:space="preserve">limakonventionen </w:t>
      </w:r>
      <w:r w:rsidRPr="00B6321E">
        <w:rPr>
          <w:i/>
        </w:rPr>
        <w:t>’</w:t>
      </w:r>
      <w:r w:rsidRPr="00BE7ADF">
        <w:rPr>
          <w:i/>
        </w:rPr>
        <w:t>Bali Road Map</w:t>
      </w:r>
      <w:r w:rsidRPr="00C6124E">
        <w:t>’</w:t>
      </w:r>
      <w:r>
        <w:t xml:space="preserve">, som </w:t>
      </w:r>
      <w:r w:rsidR="00424939">
        <w:t>indeholdt</w:t>
      </w:r>
      <w:r w:rsidR="00954C6F">
        <w:t xml:space="preserve"> en køreplan </w:t>
      </w:r>
      <w:r w:rsidR="00A05CF9">
        <w:t xml:space="preserve">frem mod </w:t>
      </w:r>
      <w:r w:rsidR="00A34E6B">
        <w:t xml:space="preserve">indgåelsen af </w:t>
      </w:r>
      <w:r w:rsidR="00D23B1F">
        <w:t xml:space="preserve">en ny </w:t>
      </w:r>
      <w:r w:rsidR="00A05CF9">
        <w:t>klima</w:t>
      </w:r>
      <w:r w:rsidR="00D23B1F">
        <w:t xml:space="preserve">aftale </w:t>
      </w:r>
      <w:r w:rsidR="00A34E6B">
        <w:t xml:space="preserve">- </w:t>
      </w:r>
      <w:r w:rsidR="00954C6F">
        <w:t>som efterfølger til Kyotoprotokollen</w:t>
      </w:r>
      <w:r w:rsidR="00A34E6B">
        <w:t xml:space="preserve"> -</w:t>
      </w:r>
      <w:r w:rsidR="00A03767" w:rsidRPr="00A03767">
        <w:t xml:space="preserve"> </w:t>
      </w:r>
      <w:r w:rsidR="00A03767">
        <w:t>på COP15 i 2009</w:t>
      </w:r>
      <w:r w:rsidR="00424939">
        <w:t xml:space="preserve"> i København</w:t>
      </w:r>
      <w:r w:rsidR="00D23B1F">
        <w:t>.</w:t>
      </w:r>
      <w:r w:rsidR="00943B88">
        <w:t xml:space="preserve"> </w:t>
      </w:r>
      <w:r w:rsidR="005172A2">
        <w:t>Det var derfor forventningen</w:t>
      </w:r>
      <w:r w:rsidR="00954C6F">
        <w:t>,</w:t>
      </w:r>
      <w:r w:rsidR="005172A2">
        <w:t xml:space="preserve"> at der </w:t>
      </w:r>
      <w:r w:rsidR="00954C6F">
        <w:t>på</w:t>
      </w:r>
      <w:r w:rsidR="005172A2">
        <w:t xml:space="preserve"> COP15 kunne </w:t>
      </w:r>
      <w:r w:rsidR="00104B21">
        <w:t>op</w:t>
      </w:r>
      <w:r w:rsidR="005172A2">
        <w:t>nås enighed om en global klimaaftale</w:t>
      </w:r>
      <w:r w:rsidR="00AE7BCC">
        <w:t xml:space="preserve">, som ville forpligte alle parter </w:t>
      </w:r>
      <w:r w:rsidR="00104B21">
        <w:t>til K</w:t>
      </w:r>
      <w:r w:rsidR="00AE7BCC">
        <w:t>limakonventionen</w:t>
      </w:r>
      <w:r w:rsidR="00954C6F">
        <w:t xml:space="preserve"> til at foretage reduktionsindsatser</w:t>
      </w:r>
      <w:r w:rsidR="005172A2">
        <w:t xml:space="preserve">. </w:t>
      </w:r>
      <w:r w:rsidR="00705160">
        <w:t>De</w:t>
      </w:r>
      <w:r w:rsidR="004F51A1">
        <w:t>t</w:t>
      </w:r>
      <w:r w:rsidR="00311A73">
        <w:t xml:space="preserve"> var </w:t>
      </w:r>
      <w:r w:rsidR="00705160">
        <w:t xml:space="preserve">dog </w:t>
      </w:r>
      <w:r w:rsidR="00D452AA">
        <w:t>ikke muligt at skabe enighed om dette</w:t>
      </w:r>
      <w:r w:rsidR="00311A73">
        <w:t xml:space="preserve">, hvorfor </w:t>
      </w:r>
      <w:r w:rsidR="008D53C1">
        <w:t xml:space="preserve">COP15 </w:t>
      </w:r>
      <w:r w:rsidR="00954C6F">
        <w:t xml:space="preserve">i stedet </w:t>
      </w:r>
      <w:r w:rsidR="008D53C1">
        <w:t xml:space="preserve">resulterede i en hensigtserklæring – </w:t>
      </w:r>
      <w:r w:rsidR="008D53C1" w:rsidRPr="00B6321E">
        <w:rPr>
          <w:i/>
        </w:rPr>
        <w:t>’</w:t>
      </w:r>
      <w:r w:rsidR="008D53C1" w:rsidRPr="00BE7ADF">
        <w:rPr>
          <w:i/>
        </w:rPr>
        <w:t>Copenhagen Accord</w:t>
      </w:r>
      <w:r w:rsidR="008D53C1">
        <w:t>’ – s</w:t>
      </w:r>
      <w:r w:rsidR="008D53C1" w:rsidRPr="008D53C1">
        <w:t xml:space="preserve">om 138 </w:t>
      </w:r>
      <w:r w:rsidR="004E2AB6">
        <w:t>lande</w:t>
      </w:r>
      <w:r w:rsidR="008D53C1" w:rsidRPr="008D53C1">
        <w:t xml:space="preserve"> tilslutte</w:t>
      </w:r>
      <w:r w:rsidR="00954C6F">
        <w:t>de</w:t>
      </w:r>
      <w:r w:rsidR="008D53C1" w:rsidRPr="008D53C1">
        <w:t xml:space="preserve"> sig</w:t>
      </w:r>
      <w:r w:rsidR="008D53C1">
        <w:t>.</w:t>
      </w:r>
      <w:r w:rsidR="00954C6F">
        <w:t xml:space="preserve"> </w:t>
      </w:r>
    </w:p>
    <w:p w14:paraId="055588D2" w14:textId="77777777" w:rsidR="00C93CA0" w:rsidRDefault="00C93CA0" w:rsidP="00D27742"/>
    <w:p w14:paraId="3D6E95DD" w14:textId="77777777" w:rsidR="006F3011" w:rsidRDefault="00954C6F" w:rsidP="00D27742">
      <w:r w:rsidRPr="00BE7ADF">
        <w:rPr>
          <w:i/>
        </w:rPr>
        <w:t>Copenhagen Accord</w:t>
      </w:r>
      <w:r>
        <w:t xml:space="preserve"> </w:t>
      </w:r>
      <w:r w:rsidR="00845882">
        <w:t>fastsatte</w:t>
      </w:r>
      <w:r w:rsidR="00153314">
        <w:t xml:space="preserve"> en langsigtet målsætning om </w:t>
      </w:r>
      <w:r w:rsidR="00F80D8D">
        <w:t>at begrænse</w:t>
      </w:r>
      <w:r w:rsidR="00153314">
        <w:t xml:space="preserve"> den </w:t>
      </w:r>
      <w:r w:rsidR="00EF1266">
        <w:t>gennemsnitlige</w:t>
      </w:r>
      <w:r w:rsidR="00EF1266" w:rsidRPr="00BB177D">
        <w:t xml:space="preserve"> globale temperaturstigning </w:t>
      </w:r>
      <w:r w:rsidR="00EF1266">
        <w:t>til</w:t>
      </w:r>
      <w:r w:rsidR="00EF1266" w:rsidRPr="00BB177D">
        <w:t xml:space="preserve"> under 2 grader</w:t>
      </w:r>
      <w:r w:rsidR="00EF1266">
        <w:t xml:space="preserve"> i forhold til førindustrielt niveau. Derudover forpligtigede de udviklede lande sig til et kollektivt mål om årligt fra 2020 at mobilisere 100 mia. USD i klimafinansiering</w:t>
      </w:r>
      <w:r>
        <w:t xml:space="preserve"> til klimaindsatsen i udviklingslandene</w:t>
      </w:r>
      <w:r w:rsidR="00943B88" w:rsidRPr="00943B88">
        <w:t>.</w:t>
      </w:r>
      <w:r w:rsidR="006F3011">
        <w:t xml:space="preserve"> </w:t>
      </w:r>
      <w:r w:rsidR="00B15BC0">
        <w:t xml:space="preserve">Endvidere indmeldte ca. 100 </w:t>
      </w:r>
      <w:r w:rsidR="006F5928">
        <w:t xml:space="preserve">parter </w:t>
      </w:r>
      <w:r w:rsidR="00B15BC0">
        <w:t xml:space="preserve">ikke-bindende reduktionsmål. </w:t>
      </w:r>
      <w:r w:rsidR="006F3011">
        <w:t xml:space="preserve">Selvom det ikke lykkedes at indgå en global aftale, </w:t>
      </w:r>
      <w:r w:rsidR="00A03767">
        <w:t xml:space="preserve">fik </w:t>
      </w:r>
      <w:r w:rsidR="006F3011">
        <w:t xml:space="preserve">man for første gang en </w:t>
      </w:r>
      <w:r w:rsidR="006F3011" w:rsidRPr="006F3011">
        <w:t>tilgang</w:t>
      </w:r>
      <w:r w:rsidR="006F3011">
        <w:t>,</w:t>
      </w:r>
      <w:r w:rsidR="006F3011" w:rsidRPr="006F3011">
        <w:t xml:space="preserve"> hvor alle </w:t>
      </w:r>
      <w:r w:rsidR="006F5928">
        <w:t xml:space="preserve">parter </w:t>
      </w:r>
      <w:r w:rsidR="004E2AB6">
        <w:t>kunne</w:t>
      </w:r>
      <w:r w:rsidR="006F3011" w:rsidRPr="006F3011">
        <w:t xml:space="preserve"> melde </w:t>
      </w:r>
      <w:r w:rsidR="006F5928">
        <w:t>reduktions</w:t>
      </w:r>
      <w:r w:rsidR="006F3011" w:rsidRPr="006F3011">
        <w:t xml:space="preserve">forpligtelser ind. </w:t>
      </w:r>
    </w:p>
    <w:p w14:paraId="56781441" w14:textId="77777777" w:rsidR="004E2AB6" w:rsidRDefault="004E2AB6" w:rsidP="00D27742"/>
    <w:p w14:paraId="57ADDAB4" w14:textId="77777777" w:rsidR="00C93CA0" w:rsidRDefault="009E3EE6" w:rsidP="00D27742">
      <w:r>
        <w:t xml:space="preserve">På </w:t>
      </w:r>
      <w:r w:rsidR="00C750EA">
        <w:t>COP17</w:t>
      </w:r>
      <w:r w:rsidRPr="00BE1156">
        <w:t xml:space="preserve"> i Durban</w:t>
      </w:r>
      <w:r w:rsidR="00C750EA">
        <w:t>,</w:t>
      </w:r>
      <w:r>
        <w:t xml:space="preserve"> Sydafrika</w:t>
      </w:r>
      <w:r w:rsidR="006F5928">
        <w:t>,</w:t>
      </w:r>
      <w:r w:rsidRPr="00BE1156">
        <w:t xml:space="preserve"> </w:t>
      </w:r>
      <w:r w:rsidR="00C750EA">
        <w:t xml:space="preserve">i </w:t>
      </w:r>
      <w:r w:rsidR="00395347">
        <w:t xml:space="preserve">december </w:t>
      </w:r>
      <w:r w:rsidR="00C750EA">
        <w:t xml:space="preserve">2011 </w:t>
      </w:r>
      <w:r w:rsidR="0082413C">
        <w:t>blev</w:t>
      </w:r>
      <w:r>
        <w:t xml:space="preserve"> parterne til </w:t>
      </w:r>
      <w:r w:rsidR="00ED5234">
        <w:t>k</w:t>
      </w:r>
      <w:r>
        <w:t xml:space="preserve">limakonventionen </w:t>
      </w:r>
      <w:r w:rsidR="0082413C">
        <w:t xml:space="preserve">enige </w:t>
      </w:r>
      <w:r>
        <w:t xml:space="preserve">om, at man senest i 2015 </w:t>
      </w:r>
      <w:r w:rsidR="00A03767">
        <w:t>på COP21</w:t>
      </w:r>
      <w:r w:rsidR="0082413C">
        <w:t xml:space="preserve"> </w:t>
      </w:r>
      <w:r>
        <w:t xml:space="preserve">skulle vedtage en global klimaaftale med forpligtelser for alle parter og med ikrafttrædelse senest i 2020. På COP17 </w:t>
      </w:r>
      <w:r w:rsidR="0082413C">
        <w:t xml:space="preserve">blev det endvidere </w:t>
      </w:r>
      <w:r>
        <w:t xml:space="preserve">aftalt, at der skulle vedtages en anden forpligtelsesperiode under Kyotoprotokollen med reduktionsforpligtelser for perioden 2013-2020. </w:t>
      </w:r>
    </w:p>
    <w:p w14:paraId="5D27B833" w14:textId="77777777" w:rsidR="00F969C2" w:rsidRDefault="00F969C2" w:rsidP="00D27742"/>
    <w:p w14:paraId="43AC041B" w14:textId="5218F1F9" w:rsidR="00D157BA" w:rsidRDefault="009E3EE6" w:rsidP="00D27742">
      <w:r>
        <w:t xml:space="preserve">Denne </w:t>
      </w:r>
      <w:r w:rsidR="0082413C">
        <w:t xml:space="preserve">anden forpligtelsesperiode </w:t>
      </w:r>
      <w:r>
        <w:t xml:space="preserve">blev vedtaget </w:t>
      </w:r>
      <w:r w:rsidR="00563827">
        <w:t xml:space="preserve">med Dohaændringen </w:t>
      </w:r>
      <w:r>
        <w:t>på</w:t>
      </w:r>
      <w:r w:rsidR="00984089">
        <w:t xml:space="preserve"> </w:t>
      </w:r>
      <w:r w:rsidR="00B04834">
        <w:t>COP18 i Doha</w:t>
      </w:r>
      <w:r>
        <w:t>, Qatar</w:t>
      </w:r>
      <w:r w:rsidR="00407139">
        <w:t>,</w:t>
      </w:r>
      <w:r w:rsidR="00B04834">
        <w:t xml:space="preserve"> i </w:t>
      </w:r>
      <w:r w:rsidR="0082413C">
        <w:t xml:space="preserve">december </w:t>
      </w:r>
      <w:r w:rsidR="00B04834">
        <w:t>2012</w:t>
      </w:r>
      <w:r w:rsidR="00765B4A" w:rsidRPr="00765B4A">
        <w:t>. Ligesom det var tilfældet</w:t>
      </w:r>
      <w:r w:rsidR="00B15BC0">
        <w:t xml:space="preserve"> under</w:t>
      </w:r>
      <w:r w:rsidR="00765B4A" w:rsidRPr="00765B4A">
        <w:t xml:space="preserve"> første forpligtelsesperiode, er </w:t>
      </w:r>
      <w:r w:rsidR="001D6070">
        <w:t xml:space="preserve">det kun </w:t>
      </w:r>
      <w:r w:rsidR="00B15BC0">
        <w:t>udviklede lande</w:t>
      </w:r>
      <w:r w:rsidR="00765B4A" w:rsidRPr="00765B4A">
        <w:t>, der har reduktionsforpligtelser</w:t>
      </w:r>
      <w:r w:rsidR="00B15BC0">
        <w:t xml:space="preserve"> under </w:t>
      </w:r>
      <w:r w:rsidR="001D6070">
        <w:t>den</w:t>
      </w:r>
      <w:r w:rsidR="00765B4A" w:rsidRPr="00765B4A">
        <w:t xml:space="preserve"> anden forpligtelsesperiode.</w:t>
      </w:r>
      <w:r w:rsidR="00A94B45">
        <w:t xml:space="preserve"> </w:t>
      </w:r>
      <w:r w:rsidR="00765B4A" w:rsidRPr="00765B4A">
        <w:t>De lande, der har påtaget sig</w:t>
      </w:r>
      <w:r w:rsidR="00B15BC0">
        <w:t xml:space="preserve"> en</w:t>
      </w:r>
      <w:r w:rsidR="00765B4A" w:rsidRPr="00765B4A">
        <w:t xml:space="preserve"> anden forpligtelsesperiode under Kyotoprotokollen, står samlet for </w:t>
      </w:r>
      <w:r w:rsidR="00B15BC0">
        <w:t xml:space="preserve">mindre end </w:t>
      </w:r>
      <w:r w:rsidR="00765B4A" w:rsidRPr="00765B4A">
        <w:t xml:space="preserve">15 procent af de globale udledninger. </w:t>
      </w:r>
      <w:r>
        <w:t>Forslag til folketingsbeslutning om Danmarks ratifikation af Kyotoprotokollens anden forpligtigelsesperiode blev med beslutningsforsl</w:t>
      </w:r>
      <w:r w:rsidR="008244E6">
        <w:t>a</w:t>
      </w:r>
      <w:r>
        <w:t xml:space="preserve">g </w:t>
      </w:r>
      <w:r w:rsidR="008244E6">
        <w:t xml:space="preserve">nr. </w:t>
      </w:r>
      <w:r>
        <w:t xml:space="preserve">B 90 </w:t>
      </w:r>
      <w:r w:rsidR="008244E6">
        <w:t>vedtaget den</w:t>
      </w:r>
      <w:r>
        <w:t xml:space="preserve"> 5. maj 2015.</w:t>
      </w:r>
    </w:p>
    <w:p w14:paraId="39265C0C" w14:textId="77777777" w:rsidR="00A94B45" w:rsidRDefault="00A94B45" w:rsidP="00D27742"/>
    <w:p w14:paraId="0FA602D7" w14:textId="77777777" w:rsidR="003517DC" w:rsidRDefault="00E61284" w:rsidP="00D27742">
      <w:r>
        <w:t>På COP19 i Warszawa</w:t>
      </w:r>
      <w:r w:rsidR="00C750EA">
        <w:t>, Polen</w:t>
      </w:r>
      <w:r>
        <w:t xml:space="preserve"> i </w:t>
      </w:r>
      <w:r w:rsidR="00942B17">
        <w:t xml:space="preserve">november </w:t>
      </w:r>
      <w:r>
        <w:t>2013 vedtog</w:t>
      </w:r>
      <w:r w:rsidR="00C750EA">
        <w:t xml:space="preserve"> parterne</w:t>
      </w:r>
      <w:r>
        <w:t>, at a</w:t>
      </w:r>
      <w:r w:rsidRPr="00E61284">
        <w:t xml:space="preserve">lle parter i 2015 </w:t>
      </w:r>
      <w:r>
        <w:t xml:space="preserve">forud for COP21 skulle </w:t>
      </w:r>
      <w:r w:rsidRPr="00E61284">
        <w:t>fremlægge</w:t>
      </w:r>
      <w:r w:rsidR="00C750EA">
        <w:t xml:space="preserve"> nationalt bestemte</w:t>
      </w:r>
      <w:r w:rsidRPr="00E61284">
        <w:t xml:space="preserve"> bidrag</w:t>
      </w:r>
      <w:r w:rsidR="00C750EA">
        <w:t xml:space="preserve"> (</w:t>
      </w:r>
      <w:r w:rsidR="002E01A2">
        <w:t>’</w:t>
      </w:r>
      <w:r w:rsidR="00880C60" w:rsidRPr="00C8662B">
        <w:rPr>
          <w:i/>
        </w:rPr>
        <w:t xml:space="preserve">Intended </w:t>
      </w:r>
      <w:r w:rsidR="00C750EA" w:rsidRPr="00C8662B">
        <w:rPr>
          <w:i/>
        </w:rPr>
        <w:t>Nationally Determined Contributions</w:t>
      </w:r>
      <w:r w:rsidR="002E01A2">
        <w:t>’</w:t>
      </w:r>
      <w:r w:rsidR="00C750EA">
        <w:t xml:space="preserve">, </w:t>
      </w:r>
      <w:r w:rsidR="00880C60">
        <w:t>I</w:t>
      </w:r>
      <w:r w:rsidR="00C750EA">
        <w:t>NDC’er)</w:t>
      </w:r>
      <w:r w:rsidRPr="00E61284">
        <w:t xml:space="preserve"> til </w:t>
      </w:r>
      <w:r w:rsidR="00B15BC0">
        <w:t xml:space="preserve">den </w:t>
      </w:r>
      <w:r w:rsidRPr="00E61284">
        <w:t>ny</w:t>
      </w:r>
      <w:r w:rsidR="00B15BC0">
        <w:t>e</w:t>
      </w:r>
      <w:r>
        <w:t xml:space="preserve"> </w:t>
      </w:r>
      <w:r w:rsidR="002E01A2">
        <w:t>klima</w:t>
      </w:r>
      <w:r w:rsidRPr="00E61284">
        <w:t>aftale</w:t>
      </w:r>
      <w:r>
        <w:t xml:space="preserve">. </w:t>
      </w:r>
    </w:p>
    <w:p w14:paraId="6EC7BAB5" w14:textId="77777777" w:rsidR="003517DC" w:rsidRDefault="003517DC" w:rsidP="00D27742"/>
    <w:p w14:paraId="7F52B254" w14:textId="711F47B0" w:rsidR="0024036A" w:rsidRPr="008E69A6" w:rsidRDefault="00E61284" w:rsidP="00D27742">
      <w:r>
        <w:t>På</w:t>
      </w:r>
      <w:r w:rsidR="00142EB9">
        <w:t xml:space="preserve"> COP20 i Lima, Peru</w:t>
      </w:r>
      <w:r w:rsidR="004F51A1">
        <w:t>,</w:t>
      </w:r>
      <w:r w:rsidR="00142EB9">
        <w:t xml:space="preserve"> i </w:t>
      </w:r>
      <w:r w:rsidR="00942B17">
        <w:t xml:space="preserve">december </w:t>
      </w:r>
      <w:r w:rsidR="00142EB9">
        <w:t xml:space="preserve">2014 </w:t>
      </w:r>
      <w:r>
        <w:t>fremlagdes det første tekstudkast til en global klimaaftale, som</w:t>
      </w:r>
      <w:r w:rsidR="00142EB9" w:rsidRPr="00B51C7D">
        <w:t xml:space="preserve"> klimaforhandlingerne </w:t>
      </w:r>
      <w:r>
        <w:t xml:space="preserve">frem mod COP21 var </w:t>
      </w:r>
      <w:r w:rsidR="00142EB9" w:rsidRPr="00B51C7D">
        <w:t xml:space="preserve">centreret </w:t>
      </w:r>
      <w:r>
        <w:t>omkring</w:t>
      </w:r>
      <w:r w:rsidR="00142EB9">
        <w:t xml:space="preserve">. </w:t>
      </w:r>
      <w:r w:rsidR="00C750EA">
        <w:t>I løbet af 2015 indmeldte 1</w:t>
      </w:r>
      <w:r w:rsidR="00A93388">
        <w:t>84</w:t>
      </w:r>
      <w:r w:rsidR="00C750EA">
        <w:t xml:space="preserve"> parter deres </w:t>
      </w:r>
      <w:r w:rsidR="00CE1F7C">
        <w:t>reduktions</w:t>
      </w:r>
      <w:r w:rsidR="003019A2" w:rsidRPr="003019A2">
        <w:t>bidrag til den globale klimaaftale</w:t>
      </w:r>
      <w:r w:rsidR="00C750EA">
        <w:t xml:space="preserve">, og med enkelte senere bidrag er der pr. </w:t>
      </w:r>
      <w:r w:rsidR="00511EB8">
        <w:t>27. juni 2016</w:t>
      </w:r>
      <w:r w:rsidR="00C750EA">
        <w:t xml:space="preserve"> indmeldt </w:t>
      </w:r>
      <w:r w:rsidR="00A93388">
        <w:t>189</w:t>
      </w:r>
      <w:r w:rsidR="00C750EA">
        <w:t xml:space="preserve"> bidrag til Parisaftalen</w:t>
      </w:r>
      <w:r w:rsidR="009A43AC">
        <w:t xml:space="preserve">, som dækker mere end 96 pct. af de globale </w:t>
      </w:r>
      <w:r w:rsidR="00AA4B8E">
        <w:t>drivhusgas</w:t>
      </w:r>
      <w:r w:rsidR="009A43AC">
        <w:t>udledninger.</w:t>
      </w:r>
      <w:r w:rsidR="003019A2" w:rsidRPr="003019A2">
        <w:t xml:space="preserve"> </w:t>
      </w:r>
      <w:r w:rsidR="00D24471">
        <w:t xml:space="preserve">EU </w:t>
      </w:r>
      <w:r w:rsidR="00C750EA">
        <w:t>indmeldte den 6. marts 2015 sin NDC med et</w:t>
      </w:r>
      <w:r w:rsidR="00D24471">
        <w:t xml:space="preserve"> reduktionsbidrag </w:t>
      </w:r>
      <w:r w:rsidR="00D24471" w:rsidRPr="005A65A1">
        <w:t xml:space="preserve">på mindst 40 </w:t>
      </w:r>
      <w:r w:rsidR="00D24471">
        <w:t>pct. i 2030 i forhold til 1990</w:t>
      </w:r>
      <w:r w:rsidR="00C750EA">
        <w:t>. Dette mål var b</w:t>
      </w:r>
      <w:r w:rsidR="00EE2EF4">
        <w:t>lev</w:t>
      </w:r>
      <w:r w:rsidR="00C750EA">
        <w:t xml:space="preserve">et vedtaget af </w:t>
      </w:r>
      <w:r w:rsidR="00EE2EF4">
        <w:t xml:space="preserve">Det Europæiske Råd </w:t>
      </w:r>
      <w:r w:rsidR="00514146">
        <w:t>den 24.</w:t>
      </w:r>
      <w:r w:rsidR="00C750EA">
        <w:t xml:space="preserve"> </w:t>
      </w:r>
      <w:r w:rsidR="00F05933">
        <w:t xml:space="preserve">oktober </w:t>
      </w:r>
      <w:r w:rsidR="00EE2EF4">
        <w:t>2014</w:t>
      </w:r>
      <w:r w:rsidR="004F51A1">
        <w:t xml:space="preserve"> og forelagt</w:t>
      </w:r>
      <w:r w:rsidR="008E69A6">
        <w:t xml:space="preserve"> </w:t>
      </w:r>
      <w:r w:rsidR="0024036A" w:rsidRPr="00956BCA">
        <w:t>Folketingets Europaudvalg til forhandlingsoplæg den 28. februar 2014</w:t>
      </w:r>
      <w:r w:rsidR="008E69A6">
        <w:t>.</w:t>
      </w:r>
    </w:p>
    <w:p w14:paraId="22903508" w14:textId="77777777" w:rsidR="00EE2EF4" w:rsidRDefault="00EE2EF4" w:rsidP="00D27742"/>
    <w:p w14:paraId="114F38C5" w14:textId="77777777" w:rsidR="004E2942" w:rsidRDefault="00A229B3" w:rsidP="00D27742">
      <w:r>
        <w:t>På COP21</w:t>
      </w:r>
      <w:r w:rsidR="004F51A1">
        <w:t xml:space="preserve"> i </w:t>
      </w:r>
      <w:r>
        <w:t>Paris vedtog p</w:t>
      </w:r>
      <w:r w:rsidR="00D3272C">
        <w:t xml:space="preserve">arterne til </w:t>
      </w:r>
      <w:r w:rsidR="00ED5234">
        <w:t>k</w:t>
      </w:r>
      <w:r w:rsidR="00D3272C">
        <w:t>limakonvention</w:t>
      </w:r>
      <w:r w:rsidR="008700CA">
        <w:t>en</w:t>
      </w:r>
      <w:r w:rsidR="00D3272C">
        <w:t xml:space="preserve"> den 12. december 2015 en juridisk bindende global klimaaftale, </w:t>
      </w:r>
      <w:r w:rsidR="004A318D">
        <w:t>den såkaldte Parisaftale</w:t>
      </w:r>
      <w:r w:rsidR="00D3272C">
        <w:t>.</w:t>
      </w:r>
      <w:r w:rsidR="005477AF">
        <w:t xml:space="preserve"> </w:t>
      </w:r>
      <w:r w:rsidR="00A37D4C">
        <w:t xml:space="preserve">EU´s forhandlingsmandat for COP21 blev </w:t>
      </w:r>
      <w:r w:rsidR="00F76439">
        <w:t xml:space="preserve">i form af rådskonklusioner </w:t>
      </w:r>
      <w:r w:rsidR="00A37D4C">
        <w:t>vedtaget på</w:t>
      </w:r>
      <w:r w:rsidR="00A37D4C" w:rsidRPr="00EE2EF4">
        <w:t xml:space="preserve"> </w:t>
      </w:r>
      <w:r w:rsidR="00A37D4C">
        <w:t xml:space="preserve">miljørådsmødet den 18. september 2015 og blev forud herfor forelagt </w:t>
      </w:r>
      <w:r w:rsidR="003E4A9D">
        <w:t xml:space="preserve">Folketingets </w:t>
      </w:r>
      <w:r w:rsidR="00A37D4C" w:rsidRPr="00956BCA">
        <w:t xml:space="preserve">Europaudvalg </w:t>
      </w:r>
      <w:r w:rsidR="00A37D4C">
        <w:t>og Folketingets Energi</w:t>
      </w:r>
      <w:r w:rsidR="001D71B7">
        <w:t>-</w:t>
      </w:r>
      <w:r w:rsidR="00A37D4C">
        <w:t xml:space="preserve">, Forsynings- og Klimaudvalg </w:t>
      </w:r>
      <w:r w:rsidR="00F76439">
        <w:t xml:space="preserve">til orientering </w:t>
      </w:r>
      <w:r w:rsidR="00A37D4C">
        <w:t xml:space="preserve">i henhold til den danske EU-beslutningsprocedure. EU´s position på klimafinansiering blev forud for COP21 fastlagt på rådsmødet for finansministre (ECOFIN) den 10. november 2015, hvor Folketingets Europaudvalg ligeledes blev forelagt sagen forud </w:t>
      </w:r>
      <w:r w:rsidR="00C750EA">
        <w:t xml:space="preserve">for </w:t>
      </w:r>
      <w:r w:rsidR="00A37D4C">
        <w:t>rådsmødet.</w:t>
      </w:r>
    </w:p>
    <w:p w14:paraId="27418E46" w14:textId="77777777" w:rsidR="00A37D4C" w:rsidRDefault="00A37D4C" w:rsidP="00D27742"/>
    <w:p w14:paraId="18FBC975" w14:textId="77777777" w:rsidR="00CB09E6" w:rsidRDefault="00480A50" w:rsidP="00D27742">
      <w:r>
        <w:t xml:space="preserve">Der udestår </w:t>
      </w:r>
      <w:r w:rsidR="00D27AB2">
        <w:t xml:space="preserve">fortsat </w:t>
      </w:r>
      <w:r>
        <w:t>forhandling af en række spørgsmål, som skal udmønte Parisaftalen</w:t>
      </w:r>
      <w:r w:rsidR="00D27AB2">
        <w:t xml:space="preserve">. Der henvises til </w:t>
      </w:r>
      <w:r w:rsidR="00431518">
        <w:t>beskrivelse</w:t>
      </w:r>
      <w:r w:rsidR="00D27AB2">
        <w:t>n</w:t>
      </w:r>
      <w:r w:rsidR="00431518">
        <w:t xml:space="preserve"> af aftalens indhold i bemærkningernes afsnit 3</w:t>
      </w:r>
      <w:r w:rsidR="00D27AB2">
        <w:t xml:space="preserve"> nedenfor</w:t>
      </w:r>
      <w:r>
        <w:t xml:space="preserve">. </w:t>
      </w:r>
    </w:p>
    <w:p w14:paraId="0E6C3F8F" w14:textId="77777777" w:rsidR="00431518" w:rsidRDefault="00431518" w:rsidP="00D27742"/>
    <w:p w14:paraId="69CF114F" w14:textId="77777777" w:rsidR="0095686B" w:rsidRPr="000D337F" w:rsidRDefault="0095686B" w:rsidP="00D27742">
      <w:pPr>
        <w:rPr>
          <w:b/>
        </w:rPr>
      </w:pPr>
      <w:r w:rsidRPr="000D337F">
        <w:rPr>
          <w:b/>
        </w:rPr>
        <w:t xml:space="preserve">3. </w:t>
      </w:r>
      <w:r w:rsidR="00300BFB" w:rsidRPr="000D337F">
        <w:rPr>
          <w:b/>
        </w:rPr>
        <w:t>Parisaftalens indhold</w:t>
      </w:r>
    </w:p>
    <w:p w14:paraId="47D80506" w14:textId="77777777" w:rsidR="008C39A2" w:rsidRDefault="00366639" w:rsidP="00D27742">
      <w:r w:rsidRPr="00366639">
        <w:t>Parisaftalen blev vedtaget</w:t>
      </w:r>
      <w:r>
        <w:t xml:space="preserve"> af parterne til </w:t>
      </w:r>
      <w:r w:rsidR="001353A5">
        <w:t>k</w:t>
      </w:r>
      <w:r>
        <w:t xml:space="preserve">limakonvention ved </w:t>
      </w:r>
      <w:r w:rsidR="00E903CC">
        <w:t>COP-</w:t>
      </w:r>
      <w:r>
        <w:t>beslutning 1/CP.21, og optræder som et anneks til</w:t>
      </w:r>
      <w:r w:rsidR="00E57B2C">
        <w:t xml:space="preserve"> denne</w:t>
      </w:r>
      <w:r>
        <w:t xml:space="preserve"> beslutning. </w:t>
      </w:r>
    </w:p>
    <w:p w14:paraId="4545A4A6" w14:textId="77777777" w:rsidR="008C39A2" w:rsidRDefault="008C39A2" w:rsidP="00D27742"/>
    <w:p w14:paraId="1BCA5C9B" w14:textId="77777777" w:rsidR="00366639" w:rsidRDefault="00E903CC" w:rsidP="00D27742">
      <w:r>
        <w:t>COP-b</w:t>
      </w:r>
      <w:r w:rsidR="00366639">
        <w:t xml:space="preserve">eslutning 1/CP.21 indeholder foruden selve vedtagelsen af Parisaftalen en lang række bestemmelser, som </w:t>
      </w:r>
      <w:r w:rsidR="00157CE0">
        <w:t>vedrører</w:t>
      </w:r>
      <w:r w:rsidR="008C39A2">
        <w:t xml:space="preserve"> </w:t>
      </w:r>
      <w:r w:rsidR="00366639">
        <w:t>implementeringen af Parisaftalen. I den følgende beskrivelse af Parisaftalen</w:t>
      </w:r>
      <w:r w:rsidR="008C39A2">
        <w:t xml:space="preserve"> refereres</w:t>
      </w:r>
      <w:r w:rsidR="00366639">
        <w:t xml:space="preserve"> derfor til indholdet i </w:t>
      </w:r>
      <w:r>
        <w:t xml:space="preserve">COP-beslutning </w:t>
      </w:r>
      <w:r w:rsidR="00366639">
        <w:t xml:space="preserve">1/CP.21, </w:t>
      </w:r>
      <w:r w:rsidR="008C39A2">
        <w:t>hvor det er relevant</w:t>
      </w:r>
      <w:r>
        <w:t>.</w:t>
      </w:r>
    </w:p>
    <w:p w14:paraId="3D4F7A27" w14:textId="77777777" w:rsidR="0091398B" w:rsidRPr="00BB177D" w:rsidRDefault="00366639" w:rsidP="00D27742">
      <w:pPr>
        <w:rPr>
          <w:i/>
        </w:rPr>
      </w:pPr>
      <w:r>
        <w:br/>
      </w:r>
      <w:r w:rsidR="0091398B" w:rsidRPr="00EE08C2">
        <w:rPr>
          <w:b/>
          <w:i/>
        </w:rPr>
        <w:t>Artikel 1</w:t>
      </w:r>
      <w:r w:rsidR="0091398B">
        <w:rPr>
          <w:i/>
        </w:rPr>
        <w:t xml:space="preserve"> </w:t>
      </w:r>
      <w:r w:rsidR="0091398B" w:rsidRPr="00BB177D">
        <w:t xml:space="preserve">indeholder </w:t>
      </w:r>
      <w:r w:rsidR="0091398B" w:rsidRPr="0010336D">
        <w:rPr>
          <w:u w:val="single"/>
        </w:rPr>
        <w:t>definitioner</w:t>
      </w:r>
      <w:r w:rsidR="0091398B" w:rsidRPr="0010336D">
        <w:t xml:space="preserve"> </w:t>
      </w:r>
      <w:r w:rsidR="0091398B">
        <w:t>af de anvendte termer i aftalen.</w:t>
      </w:r>
    </w:p>
    <w:p w14:paraId="2D0E0DD3" w14:textId="77777777" w:rsidR="0091398B" w:rsidRDefault="0091398B" w:rsidP="00D27742"/>
    <w:p w14:paraId="0F352176" w14:textId="77777777" w:rsidR="0091398B" w:rsidRPr="00BB177D" w:rsidRDefault="0091398B" w:rsidP="00D27742">
      <w:pPr>
        <w:rPr>
          <w:u w:val="single"/>
        </w:rPr>
      </w:pPr>
      <w:r w:rsidRPr="00EE08C2">
        <w:rPr>
          <w:b/>
          <w:i/>
        </w:rPr>
        <w:lastRenderedPageBreak/>
        <w:t xml:space="preserve">Artikel 2 </w:t>
      </w:r>
      <w:r>
        <w:t xml:space="preserve">beskriver </w:t>
      </w:r>
      <w:r w:rsidRPr="0010336D">
        <w:rPr>
          <w:u w:val="single"/>
        </w:rPr>
        <w:t>aftalens formål</w:t>
      </w:r>
      <w:r>
        <w:t xml:space="preserve">: At fremme implementeringen af </w:t>
      </w:r>
      <w:r w:rsidR="00ED5234">
        <w:t>k</w:t>
      </w:r>
      <w:r>
        <w:t xml:space="preserve">limakonventionen </w:t>
      </w:r>
      <w:r w:rsidR="00033380">
        <w:t xml:space="preserve">og dens formål </w:t>
      </w:r>
      <w:r>
        <w:t>ved at styrke den globale reaktion på truslen fra klimaforandringer i</w:t>
      </w:r>
      <w:r w:rsidR="00A34E6B">
        <w:t>nden for rammerne</w:t>
      </w:r>
      <w:r>
        <w:t xml:space="preserve"> af bæredygtig udvikling og indsatsen for at udrydde fattigdom, herunder ved</w:t>
      </w:r>
      <w:r w:rsidR="00AC3FD9">
        <w:t xml:space="preserve"> at</w:t>
      </w:r>
      <w:r>
        <w:t>: a) holde den gennemsnitlige</w:t>
      </w:r>
      <w:r w:rsidRPr="00BB177D">
        <w:t xml:space="preserve"> globale temperaturstigning et godt stykke under 2 </w:t>
      </w:r>
      <w:r w:rsidR="004F51A1" w:rsidRPr="00005CFA">
        <w:t>°</w:t>
      </w:r>
      <w:r w:rsidR="004F51A1">
        <w:t>C</w:t>
      </w:r>
      <w:r>
        <w:t xml:space="preserve"> i forhold til førindustrielt niveau og </w:t>
      </w:r>
      <w:r w:rsidRPr="00BB177D">
        <w:t xml:space="preserve">arbejde for at begrænse </w:t>
      </w:r>
      <w:r>
        <w:t xml:space="preserve">temperaturstigningen til 1,5 </w:t>
      </w:r>
      <w:r w:rsidR="004F51A1" w:rsidRPr="00005CFA">
        <w:t>°</w:t>
      </w:r>
      <w:r w:rsidR="004F51A1">
        <w:t>C</w:t>
      </w:r>
      <w:r>
        <w:t xml:space="preserve"> b) øge </w:t>
      </w:r>
      <w:r w:rsidR="004F51A1">
        <w:t>tilpasnings</w:t>
      </w:r>
      <w:r>
        <w:t xml:space="preserve">evnen </w:t>
      </w:r>
      <w:r w:rsidR="004F51A1">
        <w:t>til</w:t>
      </w:r>
      <w:r w:rsidRPr="00BB177D">
        <w:t xml:space="preserve"> de </w:t>
      </w:r>
      <w:r w:rsidR="00B81D00">
        <w:t>skadelige</w:t>
      </w:r>
      <w:r w:rsidR="00B81D00" w:rsidRPr="00BB177D">
        <w:t xml:space="preserve"> </w:t>
      </w:r>
      <w:r w:rsidR="00B81D00">
        <w:t>virkninger</w:t>
      </w:r>
      <w:r w:rsidR="00B81D00" w:rsidRPr="00BB177D">
        <w:t xml:space="preserve"> </w:t>
      </w:r>
      <w:r w:rsidRPr="00BB177D">
        <w:t xml:space="preserve">af klimaforandringer </w:t>
      </w:r>
      <w:r>
        <w:t xml:space="preserve">og fremme </w:t>
      </w:r>
      <w:r w:rsidRPr="00BB177D">
        <w:t xml:space="preserve">modstandsdygtighed og </w:t>
      </w:r>
      <w:r>
        <w:t>en udvikling med lav</w:t>
      </w:r>
      <w:r w:rsidR="00A34E6B">
        <w:t xml:space="preserve">e </w:t>
      </w:r>
      <w:r>
        <w:t>drivhusgasudledninger på en måde, som ikke</w:t>
      </w:r>
      <w:r w:rsidR="00A34E6B">
        <w:t xml:space="preserve"> er til fare for</w:t>
      </w:r>
      <w:r>
        <w:t xml:space="preserve"> fødevareproduktionen</w:t>
      </w:r>
      <w:r w:rsidR="00AC3FD9">
        <w:t xml:space="preserve"> og</w:t>
      </w:r>
      <w:r>
        <w:t xml:space="preserve"> c) at gøre finansieringsstrømmene konsistente </w:t>
      </w:r>
      <w:r w:rsidRPr="00BB177D">
        <w:t>med omstillingen til lavemission og modstandsdygtighed</w:t>
      </w:r>
      <w:r w:rsidR="00A34E6B">
        <w:t xml:space="preserve"> over for klimaforandringer</w:t>
      </w:r>
      <w:r w:rsidRPr="00BB177D">
        <w:t>.</w:t>
      </w:r>
    </w:p>
    <w:p w14:paraId="04515C20" w14:textId="77777777" w:rsidR="0091398B" w:rsidRDefault="0091398B" w:rsidP="009A43AC">
      <w:pPr>
        <w:pStyle w:val="Ingenafstand"/>
        <w:spacing w:line="276" w:lineRule="auto"/>
        <w:rPr>
          <w:rFonts w:ascii="Times New Roman" w:hAnsi="Times New Roman" w:cs="Times New Roman"/>
          <w:sz w:val="24"/>
          <w:szCs w:val="24"/>
          <w:u w:val="single"/>
        </w:rPr>
      </w:pPr>
    </w:p>
    <w:p w14:paraId="4047EA34" w14:textId="77777777" w:rsidR="0091398B" w:rsidRPr="005C0844" w:rsidRDefault="0091398B" w:rsidP="009A43AC">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Det fastslås også, at aftalen vil blive implementeret, så den afspejler </w:t>
      </w:r>
      <w:r w:rsidR="00845882">
        <w:rPr>
          <w:rFonts w:ascii="Times New Roman" w:hAnsi="Times New Roman" w:cs="Times New Roman"/>
          <w:sz w:val="24"/>
          <w:szCs w:val="24"/>
        </w:rPr>
        <w:t>lighed</w:t>
      </w:r>
      <w:r>
        <w:rPr>
          <w:rFonts w:ascii="Times New Roman" w:hAnsi="Times New Roman" w:cs="Times New Roman"/>
          <w:sz w:val="24"/>
          <w:szCs w:val="24"/>
        </w:rPr>
        <w:t xml:space="preserve"> (</w:t>
      </w:r>
      <w:r w:rsidR="00F6476C">
        <w:rPr>
          <w:rFonts w:ascii="Times New Roman" w:hAnsi="Times New Roman" w:cs="Times New Roman"/>
          <w:sz w:val="24"/>
          <w:szCs w:val="24"/>
        </w:rPr>
        <w:t>’</w:t>
      </w:r>
      <w:r w:rsidRPr="003B28CA">
        <w:rPr>
          <w:rFonts w:ascii="Times New Roman" w:hAnsi="Times New Roman" w:cs="Times New Roman"/>
          <w:i/>
          <w:sz w:val="24"/>
          <w:szCs w:val="24"/>
        </w:rPr>
        <w:t>equity</w:t>
      </w:r>
      <w:r w:rsidR="00F6476C">
        <w:rPr>
          <w:rFonts w:ascii="Times New Roman" w:hAnsi="Times New Roman" w:cs="Times New Roman"/>
          <w:sz w:val="24"/>
          <w:szCs w:val="24"/>
        </w:rPr>
        <w:t>’</w:t>
      </w:r>
      <w:r>
        <w:rPr>
          <w:rFonts w:ascii="Times New Roman" w:hAnsi="Times New Roman" w:cs="Times New Roman"/>
          <w:sz w:val="24"/>
          <w:szCs w:val="24"/>
        </w:rPr>
        <w:t xml:space="preserve">) og princippet om </w:t>
      </w:r>
      <w:r w:rsidR="00F6476C">
        <w:rPr>
          <w:rFonts w:ascii="Times New Roman" w:hAnsi="Times New Roman" w:cs="Times New Roman"/>
          <w:sz w:val="24"/>
          <w:szCs w:val="24"/>
        </w:rPr>
        <w:t>’</w:t>
      </w:r>
      <w:r>
        <w:rPr>
          <w:rFonts w:ascii="Times New Roman" w:hAnsi="Times New Roman" w:cs="Times New Roman"/>
          <w:sz w:val="24"/>
          <w:szCs w:val="24"/>
        </w:rPr>
        <w:t>fælles men differentieret ansvar og respektive kapaciteter</w:t>
      </w:r>
      <w:r w:rsidR="00F6476C">
        <w:rPr>
          <w:rFonts w:ascii="Times New Roman" w:hAnsi="Times New Roman" w:cs="Times New Roman"/>
          <w:sz w:val="24"/>
          <w:szCs w:val="24"/>
        </w:rPr>
        <w:t>’</w:t>
      </w:r>
      <w:r>
        <w:rPr>
          <w:rFonts w:ascii="Times New Roman" w:hAnsi="Times New Roman" w:cs="Times New Roman"/>
          <w:sz w:val="24"/>
          <w:szCs w:val="24"/>
        </w:rPr>
        <w:t xml:space="preserve"> i lyset af forskellige nationale omstændigheder.</w:t>
      </w:r>
    </w:p>
    <w:p w14:paraId="21F097AC" w14:textId="77777777" w:rsidR="0091398B" w:rsidRDefault="0091398B" w:rsidP="00D27742"/>
    <w:p w14:paraId="25F75F9A" w14:textId="77777777" w:rsidR="0091398B" w:rsidRPr="005C0844" w:rsidRDefault="0091398B" w:rsidP="00D27742">
      <w:pPr>
        <w:rPr>
          <w:i/>
        </w:rPr>
      </w:pPr>
      <w:r w:rsidRPr="00EE08C2">
        <w:rPr>
          <w:b/>
          <w:i/>
        </w:rPr>
        <w:t>Artikel 3</w:t>
      </w:r>
      <w:r>
        <w:rPr>
          <w:i/>
        </w:rPr>
        <w:t xml:space="preserve"> </w:t>
      </w:r>
      <w:r>
        <w:t>pålægger a</w:t>
      </w:r>
      <w:r w:rsidRPr="005C0844">
        <w:t>lle parter</w:t>
      </w:r>
      <w:r>
        <w:t xml:space="preserve"> til aftalen at </w:t>
      </w:r>
      <w:r w:rsidR="006E49F9">
        <w:rPr>
          <w:u w:val="single"/>
        </w:rPr>
        <w:t>iværksætte</w:t>
      </w:r>
      <w:r w:rsidR="006E49F9" w:rsidRPr="0010336D">
        <w:rPr>
          <w:u w:val="single"/>
        </w:rPr>
        <w:t xml:space="preserve"> </w:t>
      </w:r>
      <w:r w:rsidRPr="0010336D">
        <w:rPr>
          <w:u w:val="single"/>
        </w:rPr>
        <w:t xml:space="preserve">og </w:t>
      </w:r>
      <w:r w:rsidR="006E49F9">
        <w:rPr>
          <w:u w:val="single"/>
        </w:rPr>
        <w:t>meddele</w:t>
      </w:r>
      <w:r w:rsidR="006E49F9" w:rsidRPr="0010336D">
        <w:rPr>
          <w:u w:val="single"/>
        </w:rPr>
        <w:t xml:space="preserve"> </w:t>
      </w:r>
      <w:r w:rsidRPr="0010336D">
        <w:rPr>
          <w:u w:val="single"/>
        </w:rPr>
        <w:t>ambitiøse, nationalt bestemte indsatser</w:t>
      </w:r>
      <w:r w:rsidRPr="005C0844">
        <w:rPr>
          <w:b/>
        </w:rPr>
        <w:t xml:space="preserve"> </w:t>
      </w:r>
      <w:r w:rsidRPr="005C0844">
        <w:t xml:space="preserve">jf. </w:t>
      </w:r>
      <w:r>
        <w:t xml:space="preserve">de </w:t>
      </w:r>
      <w:r w:rsidRPr="005C0844">
        <w:t>øvrige artikler i aftalen</w:t>
      </w:r>
      <w:r>
        <w:t xml:space="preserve"> (</w:t>
      </w:r>
      <w:r w:rsidR="00E13A89">
        <w:t>a</w:t>
      </w:r>
      <w:r>
        <w:t xml:space="preserve">rtikel 4, 7, 9, 10, 11 og 13) med henblik på at nå aftalens formål som beskrevet i </w:t>
      </w:r>
      <w:r w:rsidR="00E13A89">
        <w:t>a</w:t>
      </w:r>
      <w:r>
        <w:t xml:space="preserve">rtikel 2. Alle parters indsatser skal </w:t>
      </w:r>
      <w:r w:rsidRPr="005C0844">
        <w:t>over tid blive mere ambitiøse</w:t>
      </w:r>
      <w:r w:rsidR="00BF5698">
        <w:t xml:space="preserve">. I den forbindelse anerkendes det, at </w:t>
      </w:r>
      <w:r w:rsidRPr="005C0844">
        <w:t>u</w:t>
      </w:r>
      <w:r>
        <w:t>dviklingslande</w:t>
      </w:r>
      <w:r w:rsidRPr="005C0844">
        <w:t xml:space="preserve"> </w:t>
      </w:r>
      <w:r w:rsidR="00BF5698">
        <w:t xml:space="preserve">har behov for støtte </w:t>
      </w:r>
      <w:r w:rsidR="00994C91">
        <w:t>med henblik på en</w:t>
      </w:r>
      <w:r w:rsidR="00BF5698">
        <w:t xml:space="preserve"> effektiv implementer</w:t>
      </w:r>
      <w:r w:rsidR="00006184">
        <w:t>ing af</w:t>
      </w:r>
      <w:r w:rsidR="00BF5698">
        <w:t xml:space="preserve"> Parisaftalen</w:t>
      </w:r>
      <w:r w:rsidRPr="005C0844">
        <w:t>.</w:t>
      </w:r>
    </w:p>
    <w:p w14:paraId="1E1B60AD" w14:textId="77777777" w:rsidR="0091398B" w:rsidRDefault="0091398B" w:rsidP="00D27742"/>
    <w:p w14:paraId="1B589C80" w14:textId="77777777" w:rsidR="0091398B" w:rsidRDefault="0091398B" w:rsidP="00D27742">
      <w:r w:rsidRPr="00EE08C2">
        <w:rPr>
          <w:b/>
          <w:i/>
        </w:rPr>
        <w:t>Artikel 4</w:t>
      </w:r>
      <w:r>
        <w:rPr>
          <w:i/>
        </w:rPr>
        <w:t xml:space="preserve"> </w:t>
      </w:r>
      <w:r w:rsidRPr="00DF1C7F">
        <w:t>indeholder</w:t>
      </w:r>
      <w:r>
        <w:t xml:space="preserve"> målsætninger og bestemmelser vedrørende parternes </w:t>
      </w:r>
      <w:r w:rsidRPr="00DF1C7F">
        <w:rPr>
          <w:u w:val="single"/>
        </w:rPr>
        <w:t>reduktionsindsats.</w:t>
      </w:r>
      <w:r>
        <w:rPr>
          <w:u w:val="single"/>
        </w:rPr>
        <w:t xml:space="preserve"> </w:t>
      </w:r>
      <w:r>
        <w:t xml:space="preserve"> Det anføres, at parterne søger at opnå, at de g</w:t>
      </w:r>
      <w:r w:rsidRPr="00E7183C">
        <w:t>lobale udledninger toppe</w:t>
      </w:r>
      <w:r>
        <w:t>r</w:t>
      </w:r>
      <w:r w:rsidRPr="00E7183C">
        <w:t xml:space="preserve"> hurtigst muligt og derefter reduceres hurtigt m</w:t>
      </w:r>
      <w:r>
        <w:t xml:space="preserve">ed </w:t>
      </w:r>
      <w:r w:rsidRPr="00E7183C">
        <w:t>h</w:t>
      </w:r>
      <w:r>
        <w:t xml:space="preserve">enblik på </w:t>
      </w:r>
      <w:r w:rsidRPr="00E7183C">
        <w:t xml:space="preserve">i anden halvdel af </w:t>
      </w:r>
      <w:r w:rsidR="00994C91">
        <w:t xml:space="preserve">dette </w:t>
      </w:r>
      <w:r w:rsidRPr="00E7183C">
        <w:t xml:space="preserve">århundrede at opnå </w:t>
      </w:r>
      <w:r>
        <w:t xml:space="preserve">en </w:t>
      </w:r>
      <w:r w:rsidRPr="00E7183C">
        <w:t>balance, hvor der ikke udledes flere drivhusgass</w:t>
      </w:r>
      <w:r>
        <w:t>er, end der optages i skove, have mm</w:t>
      </w:r>
      <w:r w:rsidRPr="00E7183C">
        <w:t>.</w:t>
      </w:r>
      <w:r>
        <w:t xml:space="preserve"> </w:t>
      </w:r>
    </w:p>
    <w:p w14:paraId="31789133" w14:textId="77777777" w:rsidR="0091398B" w:rsidRDefault="0091398B" w:rsidP="00D27742"/>
    <w:p w14:paraId="79671BEE" w14:textId="77777777" w:rsidR="007F3FF9" w:rsidRDefault="0091398B" w:rsidP="00D27742">
      <w:r w:rsidRPr="00DF1C7F">
        <w:t>Endvidere forpligtes parter</w:t>
      </w:r>
      <w:r>
        <w:t>ne</w:t>
      </w:r>
      <w:r w:rsidRPr="00DF1C7F">
        <w:t xml:space="preserve"> til at </w:t>
      </w:r>
      <w:r w:rsidR="006E49F9">
        <w:t>udarbejde</w:t>
      </w:r>
      <w:r w:rsidRPr="00DF1C7F">
        <w:t xml:space="preserve">, </w:t>
      </w:r>
      <w:r w:rsidR="006E49F9">
        <w:t>meddele</w:t>
      </w:r>
      <w:r w:rsidR="006E49F9" w:rsidRPr="00DF1C7F">
        <w:t xml:space="preserve"> </w:t>
      </w:r>
      <w:r w:rsidRPr="00DF1C7F">
        <w:t xml:space="preserve">og </w:t>
      </w:r>
      <w:r w:rsidR="00994C91">
        <w:t>håndhæve</w:t>
      </w:r>
      <w:r w:rsidRPr="00DF1C7F">
        <w:t xml:space="preserve"> nationalt bestemte bidrag</w:t>
      </w:r>
      <w:r>
        <w:t xml:space="preserve"> (NDC’er) </w:t>
      </w:r>
      <w:r w:rsidRPr="00E7183C">
        <w:t>samt gennemføre nationale reduktionsindsatser m</w:t>
      </w:r>
      <w:r>
        <w:t xml:space="preserve">ed </w:t>
      </w:r>
      <w:r w:rsidRPr="00E7183C">
        <w:t>h</w:t>
      </w:r>
      <w:r>
        <w:t xml:space="preserve">enblik </w:t>
      </w:r>
      <w:r w:rsidRPr="00E7183C">
        <w:t>p</w:t>
      </w:r>
      <w:r>
        <w:t>å</w:t>
      </w:r>
      <w:r w:rsidRPr="00E7183C">
        <w:t xml:space="preserve"> at opfylde disse.</w:t>
      </w:r>
      <w:r>
        <w:t xml:space="preserve"> Alle parter skal kommunikere en NDC hvert femte år, </w:t>
      </w:r>
      <w:r w:rsidR="00723D5E">
        <w:t>som</w:t>
      </w:r>
      <w:r>
        <w:t xml:space="preserve"> skal være informeret af det globale </w:t>
      </w:r>
      <w:r w:rsidR="00F6476C" w:rsidRPr="00326CBA">
        <w:rPr>
          <w:i/>
        </w:rPr>
        <w:t>’</w:t>
      </w:r>
      <w:r w:rsidRPr="00326CBA">
        <w:rPr>
          <w:i/>
        </w:rPr>
        <w:t>stocktake</w:t>
      </w:r>
      <w:r w:rsidR="00F6476C" w:rsidRPr="00326CBA">
        <w:rPr>
          <w:i/>
        </w:rPr>
        <w:t>’</w:t>
      </w:r>
      <w:r>
        <w:t xml:space="preserve"> jf. aftalens </w:t>
      </w:r>
      <w:r w:rsidR="00723D5E">
        <w:t>a</w:t>
      </w:r>
      <w:r>
        <w:t>rtikel 14. I overensstemmelse</w:t>
      </w:r>
      <w:r w:rsidR="00366639">
        <w:t xml:space="preserve"> </w:t>
      </w:r>
      <w:r w:rsidR="00E903CC">
        <w:t>med COP-</w:t>
      </w:r>
      <w:r w:rsidR="00366639">
        <w:t xml:space="preserve">beslutning </w:t>
      </w:r>
      <w:r>
        <w:t>1/CP.21 skal parter med en tiårig NDC</w:t>
      </w:r>
      <w:r w:rsidR="000164F8">
        <w:t>,</w:t>
      </w:r>
      <w:r>
        <w:t xml:space="preserve"> gældende for perioden 2020-2030</w:t>
      </w:r>
      <w:r w:rsidR="000164F8">
        <w:t>,</w:t>
      </w:r>
      <w:r>
        <w:t xml:space="preserve"> senest i 2020 genbekræfte eller opdatere deres NDC for perioden 2020-2030, mens parter med en femårig NDC</w:t>
      </w:r>
      <w:r w:rsidR="000164F8">
        <w:t>,</w:t>
      </w:r>
      <w:r>
        <w:t xml:space="preserve"> gældende for perioden 2020-2025</w:t>
      </w:r>
      <w:r w:rsidR="000164F8">
        <w:t>,</w:t>
      </w:r>
      <w:r>
        <w:t xml:space="preserve"> </w:t>
      </w:r>
      <w:r w:rsidR="00017266">
        <w:t xml:space="preserve">opfordres til </w:t>
      </w:r>
      <w:r>
        <w:t xml:space="preserve">senest i 2020 </w:t>
      </w:r>
      <w:r w:rsidR="00017266">
        <w:t>at</w:t>
      </w:r>
      <w:r>
        <w:t xml:space="preserve"> fremlæg</w:t>
      </w:r>
      <w:r w:rsidR="00017266">
        <w:t>g</w:t>
      </w:r>
      <w:r>
        <w:t>e en ny NDC for perioden efter 2025. Alle parter skal senest i 2025 fremlægge en ny NDC for perioden efter 2030. NDC’en skal i hvert tilfælde kommunikeres mindst 9-12 måneder før den relevante COP. Det anføres desuden, at parterne på de</w:t>
      </w:r>
      <w:r w:rsidR="00B608B8">
        <w:t>n</w:t>
      </w:r>
      <w:r>
        <w:t xml:space="preserve"> første COP efter Parisaftalens ikrafttrædelse skal drøfte en fælles tidsramme for fremtidige NDC’er.</w:t>
      </w:r>
    </w:p>
    <w:p w14:paraId="03A76177" w14:textId="77777777" w:rsidR="0091398B" w:rsidRDefault="0091398B" w:rsidP="00D27742"/>
    <w:p w14:paraId="4752CA34" w14:textId="2FC2969F" w:rsidR="0091398B" w:rsidRDefault="0091398B" w:rsidP="00D27742">
      <w:r>
        <w:t xml:space="preserve">Artiklen fastlægger </w:t>
      </w:r>
      <w:r w:rsidR="00363325">
        <w:t xml:space="preserve">endvidere </w:t>
      </w:r>
      <w:r>
        <w:t xml:space="preserve">en række principper for NDC’erne, herunder at en </w:t>
      </w:r>
      <w:r w:rsidRPr="00E7183C">
        <w:t xml:space="preserve">NDC altid </w:t>
      </w:r>
      <w:r>
        <w:t xml:space="preserve">skal </w:t>
      </w:r>
      <w:r w:rsidRPr="00E7183C">
        <w:t>være me</w:t>
      </w:r>
      <w:r>
        <w:t>re ambitiøs end de</w:t>
      </w:r>
      <w:r w:rsidR="00267EB6">
        <w:t>n</w:t>
      </w:r>
      <w:r>
        <w:t xml:space="preserve"> forrige. Alle parter forpligtes til (ex ante) at kommunikere tilstrækkelig information om NDC</w:t>
      </w:r>
      <w:r w:rsidR="00706367">
        <w:t>’en</w:t>
      </w:r>
      <w:r>
        <w:t xml:space="preserve"> til at opnå klarhed, transparens og forståelse af </w:t>
      </w:r>
      <w:r w:rsidR="00706367">
        <w:t>d</w:t>
      </w:r>
      <w:r>
        <w:t xml:space="preserve">en samt til (ex post) at </w:t>
      </w:r>
      <w:r w:rsidRPr="00E7183C">
        <w:t>redegøre for</w:t>
      </w:r>
      <w:r w:rsidR="00B256E7">
        <w:t>,</w:t>
      </w:r>
      <w:r w:rsidR="00C91989">
        <w:t xml:space="preserve"> hvordan</w:t>
      </w:r>
      <w:r w:rsidRPr="00E7183C">
        <w:t xml:space="preserve"> de</w:t>
      </w:r>
      <w:r w:rsidR="00706367">
        <w:t>n</w:t>
      </w:r>
      <w:r w:rsidRPr="00E7183C">
        <w:t xml:space="preserve"> </w:t>
      </w:r>
      <w:r w:rsidR="00C91989">
        <w:t xml:space="preserve">opfyldes </w:t>
      </w:r>
      <w:r w:rsidRPr="00E7183C">
        <w:t>i overensstemmelse med retningslinjer</w:t>
      </w:r>
      <w:r>
        <w:t xml:space="preserve">, som skal </w:t>
      </w:r>
      <w:r w:rsidRPr="00E7183C">
        <w:t>vedtage</w:t>
      </w:r>
      <w:r>
        <w:t xml:space="preserve">s af parterne. </w:t>
      </w:r>
      <w:r w:rsidR="00C13586">
        <w:t>Artiklen fastlægger</w:t>
      </w:r>
      <w:r>
        <w:t xml:space="preserve"> også</w:t>
      </w:r>
      <w:r w:rsidRPr="001B376B">
        <w:t xml:space="preserve">, at </w:t>
      </w:r>
      <w:r w:rsidRPr="00E7183C">
        <w:t>NDC’er</w:t>
      </w:r>
      <w:r>
        <w:t>ne</w:t>
      </w:r>
      <w:r w:rsidRPr="00E7183C">
        <w:t xml:space="preserve"> skal </w:t>
      </w:r>
      <w:r w:rsidR="0073556F">
        <w:t>registreres</w:t>
      </w:r>
      <w:r w:rsidR="0073556F" w:rsidRPr="00E7183C">
        <w:t xml:space="preserve"> </w:t>
      </w:r>
      <w:r w:rsidRPr="00E7183C">
        <w:t xml:space="preserve">i et </w:t>
      </w:r>
      <w:r w:rsidR="00A07737">
        <w:t xml:space="preserve">offentligt </w:t>
      </w:r>
      <w:r w:rsidRPr="00E7183C">
        <w:t xml:space="preserve">register administreret </w:t>
      </w:r>
      <w:r w:rsidRPr="00E7183C">
        <w:lastRenderedPageBreak/>
        <w:t xml:space="preserve">af </w:t>
      </w:r>
      <w:r>
        <w:t>klima</w:t>
      </w:r>
      <w:r w:rsidR="00F61883">
        <w:t xml:space="preserve">konventionens </w:t>
      </w:r>
      <w:r w:rsidRPr="00E7183C">
        <w:t>sekretariat.</w:t>
      </w:r>
      <w:r w:rsidR="002F7374">
        <w:t xml:space="preserve"> Således vil NDC’erne ikke være </w:t>
      </w:r>
      <w:r w:rsidR="002F7374" w:rsidRPr="005A65A1">
        <w:t xml:space="preserve">indeholdt i selve </w:t>
      </w:r>
      <w:r w:rsidR="002F7374">
        <w:t>den juridisk bindende aftale, men komme til at fremgå af et særskilt register, der ikke har en juridisk bindende karakter</w:t>
      </w:r>
      <w:r w:rsidR="002F7374" w:rsidRPr="005A65A1">
        <w:t>.</w:t>
      </w:r>
      <w:r>
        <w:t xml:space="preserve"> </w:t>
      </w:r>
      <w:r w:rsidR="00C13586">
        <w:t>Ifølge</w:t>
      </w:r>
      <w:r>
        <w:t xml:space="preserve"> </w:t>
      </w:r>
      <w:r w:rsidR="00E903CC">
        <w:t xml:space="preserve">COP-beslutning </w:t>
      </w:r>
      <w:r>
        <w:t xml:space="preserve">1/CP.21 skal parterne frem mod aftalens ikrafttrædelse færdigforhandle både yderligere retningslinjer for selve NDC’erne, for den information som (ex ante) skal fremlægges om NDC’erne, for hvordan parterne (ex post) skal redegøre for </w:t>
      </w:r>
      <w:r w:rsidR="00C91989">
        <w:t xml:space="preserve">opfyldelsen af </w:t>
      </w:r>
      <w:r>
        <w:t xml:space="preserve">deres NDC og for det register, som NDC’erne skal </w:t>
      </w:r>
      <w:r w:rsidR="00071A7B">
        <w:t>registreres</w:t>
      </w:r>
      <w:r w:rsidR="005246A8">
        <w:t xml:space="preserve"> </w:t>
      </w:r>
      <w:r>
        <w:t>i.</w:t>
      </w:r>
    </w:p>
    <w:p w14:paraId="4E23FAAA" w14:textId="77777777" w:rsidR="0091398B" w:rsidRDefault="0091398B" w:rsidP="00D27742"/>
    <w:p w14:paraId="55543A6D" w14:textId="77777777" w:rsidR="00E52A9E" w:rsidRDefault="00E52A9E" w:rsidP="00D27742">
      <w:r>
        <w:t>Artiklen fastslår, at p</w:t>
      </w:r>
      <w:r w:rsidRPr="00E7183C">
        <w:t>arter</w:t>
      </w:r>
      <w:r>
        <w:t>ne</w:t>
      </w:r>
      <w:r w:rsidRPr="00E7183C">
        <w:t xml:space="preserve"> ved implementering af aftalen </w:t>
      </w:r>
      <w:r>
        <w:t xml:space="preserve">skal </w:t>
      </w:r>
      <w:r w:rsidRPr="00E7183C">
        <w:t xml:space="preserve">tage højde for bekymringer hos de parter, </w:t>
      </w:r>
      <w:r w:rsidR="00071A7B">
        <w:t xml:space="preserve">hvis økonomier </w:t>
      </w:r>
      <w:r w:rsidRPr="00E7183C">
        <w:t>er mest påvirket af effekten af</w:t>
      </w:r>
      <w:r>
        <w:t xml:space="preserve"> klimatiltag (</w:t>
      </w:r>
      <w:r w:rsidRPr="00326CBA">
        <w:rPr>
          <w:i/>
        </w:rPr>
        <w:t>´response measures’</w:t>
      </w:r>
      <w:r>
        <w:t>).</w:t>
      </w:r>
      <w:r w:rsidR="003B4245">
        <w:t xml:space="preserve"> Det drejer sig f.eks. om parter, hvis økonomi i høj grad er baseret på produktionen af fossile brændsler.</w:t>
      </w:r>
      <w:r>
        <w:t xml:space="preserve"> I COP-beslutning 1/CP.21 </w:t>
      </w:r>
      <w:r w:rsidR="00AA22A8">
        <w:t>fastlægges</w:t>
      </w:r>
      <w:r>
        <w:t>, at det eksisterende forum under klimakonventionen, som adresserer disse spørgsmål, skal fortsætte og tjene Parisaftalen, og at arbejdsprogram og funktioner for dette forum skal færdigforhandles med henblik på vedtagelse på den første COP efter aftalens ikrafttrædelse.</w:t>
      </w:r>
    </w:p>
    <w:p w14:paraId="1B524C4E" w14:textId="77777777" w:rsidR="00E52A9E" w:rsidRPr="00E52A9E" w:rsidRDefault="00E52A9E" w:rsidP="00D27742"/>
    <w:p w14:paraId="3F46049C" w14:textId="77777777" w:rsidR="0091398B" w:rsidRDefault="0091398B" w:rsidP="00D27742">
      <w:r>
        <w:t xml:space="preserve">Artiklen </w:t>
      </w:r>
      <w:r w:rsidR="00AA22A8">
        <w:t xml:space="preserve">giver </w:t>
      </w:r>
      <w:r>
        <w:t xml:space="preserve">mulighed for fælles målopfyldelse, hvor flere parter kan gå sammen om at opfylde forpligtelsen til at kommunikere og opretholde en NDC. Dette gør det muligt for fællesskaber som EU at opfylde medlemsstaternes målsætninger </w:t>
      </w:r>
      <w:r w:rsidR="0073556F">
        <w:t>i fællesskab</w:t>
      </w:r>
      <w:r>
        <w:t>. Det fastslås, at både den individuelle part og fællesskabet som helhed vil være ansvarlig for parternes respektive andele af udledninger</w:t>
      </w:r>
      <w:r w:rsidR="00C91989">
        <w:t>,</w:t>
      </w:r>
      <w:r>
        <w:t xml:space="preserve"> som fastsættes i aftalen om fælles målopfyldelse. </w:t>
      </w:r>
    </w:p>
    <w:p w14:paraId="7C2B97F4" w14:textId="77777777" w:rsidR="0091398B" w:rsidRDefault="00431518" w:rsidP="00D27742">
      <w:r>
        <w:br/>
      </w:r>
      <w:r w:rsidR="0091398B" w:rsidRPr="00E7183C">
        <w:t>A</w:t>
      </w:r>
      <w:r w:rsidR="0091398B">
        <w:t>rtiklen angiver, at a</w:t>
      </w:r>
      <w:r w:rsidR="0091398B" w:rsidRPr="00E7183C">
        <w:t xml:space="preserve">lle parter </w:t>
      </w:r>
      <w:r w:rsidR="00CD4EEC">
        <w:t xml:space="preserve">bør </w:t>
      </w:r>
      <w:r w:rsidR="0091398B" w:rsidRPr="00E7183C">
        <w:t>søge at formulere og kommunikere</w:t>
      </w:r>
      <w:r w:rsidR="0091398B">
        <w:t xml:space="preserve"> langsigtede </w:t>
      </w:r>
      <w:r w:rsidR="009732EE">
        <w:t>udviklings</w:t>
      </w:r>
      <w:r w:rsidR="0091398B">
        <w:t xml:space="preserve">strategier for </w:t>
      </w:r>
      <w:r w:rsidR="009732EE">
        <w:t>lavemission</w:t>
      </w:r>
      <w:r w:rsidR="0091398B">
        <w:t xml:space="preserve">. </w:t>
      </w:r>
      <w:r w:rsidR="0013446C">
        <w:t>Ifølge</w:t>
      </w:r>
      <w:r w:rsidR="0091398B">
        <w:t xml:space="preserve"> COP-beslutning 1/CP.21 inviteres parterne til senest i 2020 at fremlægge strategier med en tidshorisont for midten af århundredet.  </w:t>
      </w:r>
    </w:p>
    <w:p w14:paraId="2F717031" w14:textId="77777777" w:rsidR="0091398B" w:rsidRDefault="0091398B" w:rsidP="00D27742"/>
    <w:p w14:paraId="2DE9C7B7" w14:textId="13EDAF2A" w:rsidR="0091398B" w:rsidRPr="006E3515" w:rsidRDefault="0091398B" w:rsidP="00D27742">
      <w:r w:rsidRPr="006E3515">
        <w:rPr>
          <w:b/>
          <w:i/>
        </w:rPr>
        <w:t>Artikel 5</w:t>
      </w:r>
      <w:r>
        <w:t xml:space="preserve"> anfører, </w:t>
      </w:r>
      <w:r w:rsidR="006D3C66">
        <w:t xml:space="preserve">at </w:t>
      </w:r>
      <w:r>
        <w:t xml:space="preserve">parterne bør </w:t>
      </w:r>
      <w:r w:rsidR="003B7F54">
        <w:t xml:space="preserve">handle </w:t>
      </w:r>
      <w:r>
        <w:t xml:space="preserve">for at </w:t>
      </w:r>
      <w:r w:rsidRPr="00B6321E">
        <w:t>bevare og</w:t>
      </w:r>
      <w:r w:rsidR="005D0CE3">
        <w:t xml:space="preserve"> forøge</w:t>
      </w:r>
      <w:r w:rsidR="00CD4EEC" w:rsidRPr="00B6321E">
        <w:t>, hvor det er relevant,</w:t>
      </w:r>
      <w:r w:rsidRPr="00B6321E">
        <w:t xml:space="preserve"> </w:t>
      </w:r>
      <w:r w:rsidRPr="00430A82">
        <w:rPr>
          <w:u w:val="single"/>
        </w:rPr>
        <w:t xml:space="preserve">optag </w:t>
      </w:r>
      <w:r w:rsidR="00CD4EEC">
        <w:rPr>
          <w:u w:val="single"/>
        </w:rPr>
        <w:t xml:space="preserve">og </w:t>
      </w:r>
      <w:r w:rsidR="00705956">
        <w:rPr>
          <w:u w:val="single"/>
        </w:rPr>
        <w:t xml:space="preserve">lagre </w:t>
      </w:r>
      <w:r w:rsidR="00240646">
        <w:rPr>
          <w:u w:val="single"/>
        </w:rPr>
        <w:t xml:space="preserve">af </w:t>
      </w:r>
      <w:r w:rsidRPr="00430A82">
        <w:rPr>
          <w:u w:val="single"/>
        </w:rPr>
        <w:t>drivhusgasser</w:t>
      </w:r>
      <w:r w:rsidR="00240646">
        <w:rPr>
          <w:u w:val="single"/>
        </w:rPr>
        <w:t xml:space="preserve"> i bl.a. skove og jorde</w:t>
      </w:r>
      <w:r w:rsidR="005D0CE3">
        <w:rPr>
          <w:u w:val="single"/>
        </w:rPr>
        <w:t>r</w:t>
      </w:r>
      <w:r>
        <w:t>. Endvidere opfordres parter</w:t>
      </w:r>
      <w:r w:rsidR="00C23554">
        <w:t>ne</w:t>
      </w:r>
      <w:r>
        <w:t xml:space="preserve"> til at implementere og støtte handlinger under </w:t>
      </w:r>
      <w:r w:rsidR="00ED5234">
        <w:t>k</w:t>
      </w:r>
      <w:r w:rsidR="00074647">
        <w:t>limak</w:t>
      </w:r>
      <w:r>
        <w:t xml:space="preserve">onventionens eksisterende ramme </w:t>
      </w:r>
      <w:r w:rsidR="005D0CE3">
        <w:t xml:space="preserve">vedrørende </w:t>
      </w:r>
      <w:r>
        <w:t>redu</w:t>
      </w:r>
      <w:r w:rsidR="005D0CE3">
        <w:t xml:space="preserve">ktion af </w:t>
      </w:r>
      <w:r>
        <w:t>udledninger fra skov</w:t>
      </w:r>
      <w:r w:rsidR="00CD4EEC">
        <w:t>ryd</w:t>
      </w:r>
      <w:r>
        <w:t xml:space="preserve">ning og </w:t>
      </w:r>
      <w:r w:rsidR="005D0CE3">
        <w:t xml:space="preserve">forarmelse </w:t>
      </w:r>
      <w:r>
        <w:t>af skove</w:t>
      </w:r>
      <w:r w:rsidR="005D0CE3">
        <w:t>, og betydningen af bevaring, bæredygtig forvaltning af skove og forøgelse af kulstoflagre i skove</w:t>
      </w:r>
      <w:r w:rsidR="00ED5234">
        <w:t xml:space="preserve"> i udviklingslande</w:t>
      </w:r>
      <w:r>
        <w:t xml:space="preserve">. </w:t>
      </w:r>
    </w:p>
    <w:p w14:paraId="7C9F8EFE" w14:textId="77777777" w:rsidR="0091398B" w:rsidRDefault="0091398B" w:rsidP="00D27742"/>
    <w:p w14:paraId="103DAC79" w14:textId="77777777" w:rsidR="00C13688" w:rsidRDefault="0091398B" w:rsidP="00D27742">
      <w:r w:rsidRPr="006E3515">
        <w:rPr>
          <w:b/>
          <w:i/>
        </w:rPr>
        <w:t>Artikel 6</w:t>
      </w:r>
      <w:r>
        <w:rPr>
          <w:b/>
          <w:i/>
        </w:rPr>
        <w:t xml:space="preserve"> </w:t>
      </w:r>
      <w:r>
        <w:t xml:space="preserve">vedrører </w:t>
      </w:r>
      <w:r w:rsidRPr="00E743B0">
        <w:rPr>
          <w:u w:val="single"/>
        </w:rPr>
        <w:t>international overførsel af reduktionsenheder</w:t>
      </w:r>
      <w:r>
        <w:t xml:space="preserve"> (ofte betegnet handel med udledningstilladelser). Det anføres, at parter, der benytter internationalt overførte enheder, skal efterleve </w:t>
      </w:r>
      <w:r w:rsidR="00CD4EEC">
        <w:t>solide</w:t>
      </w:r>
      <w:r>
        <w:t xml:space="preserve"> principper for opgørelse af enhederne. Endvidere etableres en </w:t>
      </w:r>
      <w:r w:rsidR="000D16A0">
        <w:t xml:space="preserve">UNFCCC-overvåget </w:t>
      </w:r>
      <w:r>
        <w:t>mekanisme</w:t>
      </w:r>
      <w:r w:rsidR="005B2482">
        <w:t xml:space="preserve"> for handel med udledningstilladelser</w:t>
      </w:r>
      <w:r>
        <w:t xml:space="preserve">. </w:t>
      </w:r>
      <w:r w:rsidR="000D16A0">
        <w:t>P</w:t>
      </w:r>
      <w:r>
        <w:t>arterne</w:t>
      </w:r>
      <w:r w:rsidR="000D16A0">
        <w:t xml:space="preserve"> skal</w:t>
      </w:r>
      <w:r>
        <w:t xml:space="preserve"> færdigforhandle retningslinjer for mekanismen samt principper for opgørelse af internationalt overførte enheder med henblik på vedtagelse på de</w:t>
      </w:r>
      <w:r w:rsidR="000D16A0">
        <w:t>n</w:t>
      </w:r>
      <w:r>
        <w:t xml:space="preserve"> første COP efter aftalens ikrafttrædelse. </w:t>
      </w:r>
    </w:p>
    <w:p w14:paraId="290E5DB9" w14:textId="77777777" w:rsidR="00C13688" w:rsidRDefault="00C13688" w:rsidP="00D27742"/>
    <w:p w14:paraId="361E4619" w14:textId="4D54FC93" w:rsidR="006D1ECE" w:rsidRDefault="006D1ECE" w:rsidP="00D27742">
      <w:r w:rsidRPr="00EE08C2">
        <w:rPr>
          <w:b/>
          <w:i/>
        </w:rPr>
        <w:t>Artikel 7</w:t>
      </w:r>
      <w:r w:rsidRPr="00D40D62">
        <w:rPr>
          <w:i/>
        </w:rPr>
        <w:t xml:space="preserve"> </w:t>
      </w:r>
      <w:r>
        <w:t xml:space="preserve">indeholder bestemmelser vedr. </w:t>
      </w:r>
      <w:r w:rsidRPr="0047103A">
        <w:rPr>
          <w:u w:val="single"/>
        </w:rPr>
        <w:t>klimatilpasningsindsatsen.</w:t>
      </w:r>
      <w:r>
        <w:t xml:space="preserve"> Der etableres</w:t>
      </w:r>
      <w:r w:rsidRPr="00D40D62">
        <w:t xml:space="preserve"> et globalt mål om at øge </w:t>
      </w:r>
      <w:r w:rsidR="00FD7622">
        <w:t>tilpasnings</w:t>
      </w:r>
      <w:r w:rsidR="00B6321E">
        <w:t>kapaciteten</w:t>
      </w:r>
      <w:r w:rsidRPr="00D40D62">
        <w:t xml:space="preserve">, </w:t>
      </w:r>
      <w:r w:rsidR="0073556F">
        <w:t>styrke</w:t>
      </w:r>
      <w:r w:rsidR="0073556F" w:rsidRPr="00D40D62">
        <w:t xml:space="preserve"> </w:t>
      </w:r>
      <w:r w:rsidRPr="00D40D62">
        <w:t>mo</w:t>
      </w:r>
      <w:r>
        <w:t>d</w:t>
      </w:r>
      <w:r w:rsidRPr="00D40D62">
        <w:t>standsdygtigheden samt reducere sårbarheden over for klimaforandringer</w:t>
      </w:r>
      <w:r>
        <w:t>. Alle parter forpligtes til</w:t>
      </w:r>
      <w:r w:rsidR="00FD7622">
        <w:t>, hvor det er relevant,</w:t>
      </w:r>
      <w:r w:rsidR="00A52D93">
        <w:t xml:space="preserve"> </w:t>
      </w:r>
      <w:r>
        <w:t xml:space="preserve">at foretage planlægning og implementering af klimatilpasningsplaner og periodisk kommunikere herom til klimakonventionens </w:t>
      </w:r>
      <w:r>
        <w:lastRenderedPageBreak/>
        <w:t xml:space="preserve">sekretariat, som skal samle informationen i et offentligt register. </w:t>
      </w:r>
      <w:r w:rsidR="00BE2FCB">
        <w:t>D</w:t>
      </w:r>
      <w:r>
        <w:t xml:space="preserve">er skal </w:t>
      </w:r>
      <w:r w:rsidR="00BE2FCB">
        <w:t xml:space="preserve">desuden </w:t>
      </w:r>
      <w:r>
        <w:t>udvikles retningslinjer for anerkende</w:t>
      </w:r>
      <w:r w:rsidR="0073556F">
        <w:t>lse af</w:t>
      </w:r>
      <w:r>
        <w:t xml:space="preserve"> udviklingslandes klimatilpasningsindsats.  Endvidere </w:t>
      </w:r>
      <w:r w:rsidRPr="00A55B30">
        <w:t xml:space="preserve">bestemmes, at parterne </w:t>
      </w:r>
      <w:r w:rsidR="00FD7622">
        <w:t>bør</w:t>
      </w:r>
      <w:r w:rsidRPr="00A55B30">
        <w:t xml:space="preserve"> styrke samarbejdet omkring klimatilpasning gennem bl.a. videndeling, styrkede internationale institutioner og støtte til udviklingslande i at identificere mangler og behov. I</w:t>
      </w:r>
      <w:r>
        <w:t xml:space="preserve"> </w:t>
      </w:r>
      <w:r w:rsidRPr="00A55B30">
        <w:t>COP-beslutning</w:t>
      </w:r>
      <w:r>
        <w:t xml:space="preserve"> 1/CP.21</w:t>
      </w:r>
      <w:r w:rsidRPr="00A55B30">
        <w:t xml:space="preserve"> anføres, at Tilpasningskomitéen under </w:t>
      </w:r>
      <w:r w:rsidR="00ED5234">
        <w:t>k</w:t>
      </w:r>
      <w:r w:rsidRPr="00A55B30">
        <w:t>limakonventionen skal</w:t>
      </w:r>
      <w:r w:rsidR="00C07801">
        <w:t>:</w:t>
      </w:r>
      <w:r w:rsidRPr="00A55B30">
        <w:t xml:space="preserve"> 1) foretage en gennemgang a</w:t>
      </w:r>
      <w:r w:rsidR="00C07801">
        <w:t>f</w:t>
      </w:r>
      <w:r w:rsidRPr="00A55B30">
        <w:t xml:space="preserve"> de tilpasningsrelaterede institutioner under </w:t>
      </w:r>
      <w:r w:rsidR="00BE2FCB">
        <w:t>klima</w:t>
      </w:r>
      <w:r w:rsidRPr="00A55B30">
        <w:t>konventionen og komme med anbefalinger til at styrke sammenhænge mellem disse og 2) overveje metode</w:t>
      </w:r>
      <w:r>
        <w:t>r til at vurdere ulandes behov</w:t>
      </w:r>
      <w:r w:rsidRPr="00A55B30">
        <w:t>. Begge dele med henblik på vedtagelse af anbefalinger</w:t>
      </w:r>
      <w:r>
        <w:t xml:space="preserve"> herom</w:t>
      </w:r>
      <w:r w:rsidRPr="00A55B30">
        <w:t xml:space="preserve"> på det første COP-møde</w:t>
      </w:r>
      <w:r>
        <w:t xml:space="preserve"> efter aftalens ikrafttrædelse.</w:t>
      </w:r>
      <w:r>
        <w:br/>
      </w:r>
    </w:p>
    <w:p w14:paraId="4273EC06" w14:textId="77777777" w:rsidR="006D1ECE" w:rsidRDefault="006D1ECE" w:rsidP="00D27742">
      <w:r w:rsidRPr="00D40D62">
        <w:t>Det anføres, at de</w:t>
      </w:r>
      <w:r w:rsidR="00FD7622">
        <w:t>r skal ydes løbende og øget</w:t>
      </w:r>
      <w:r w:rsidRPr="00D40D62">
        <w:t xml:space="preserve"> international støtte til udviklingslandenes tilpasningsindsats</w:t>
      </w:r>
      <w:r>
        <w:t>. I COP-beslutning 1/CP.21</w:t>
      </w:r>
      <w:r w:rsidRPr="00A55B30">
        <w:t xml:space="preserve"> </w:t>
      </w:r>
      <w:r>
        <w:t xml:space="preserve">bestemmes, at der skal </w:t>
      </w:r>
      <w:r w:rsidRPr="00D40D62">
        <w:t xml:space="preserve">udvikles </w:t>
      </w:r>
      <w:r>
        <w:t>anbefalinger vedr</w:t>
      </w:r>
      <w:r w:rsidR="003B61E0">
        <w:t>ørende</w:t>
      </w:r>
      <w:r>
        <w:t xml:space="preserve"> hvilke skridt, der skal tages for at mobilisere finansiering </w:t>
      </w:r>
      <w:r w:rsidRPr="00D40D62">
        <w:t>til</w:t>
      </w:r>
      <w:r>
        <w:t xml:space="preserve"> indsatsen i udviklingslande</w:t>
      </w:r>
      <w:r w:rsidRPr="00D40D62">
        <w:t xml:space="preserve"> samt</w:t>
      </w:r>
      <w:r>
        <w:t xml:space="preserve"> metoder</w:t>
      </w:r>
      <w:r w:rsidRPr="00D40D62">
        <w:t xml:space="preserve"> til at evaluere tilstrækkeligheden og effektiviteten af tilpasningsindsatsen og støtten hertil,</w:t>
      </w:r>
      <w:r>
        <w:t xml:space="preserve"> og at disse </w:t>
      </w:r>
      <w:r w:rsidRPr="00D40D62">
        <w:t>skal vedtages på det første COP-møde efter aftalens ikrafttrædelse.</w:t>
      </w:r>
    </w:p>
    <w:p w14:paraId="74326BD5" w14:textId="5CF2BB26" w:rsidR="0091398B" w:rsidRDefault="0091398B" w:rsidP="00D27742">
      <w:r>
        <w:br/>
      </w:r>
      <w:r w:rsidRPr="00EE08C2">
        <w:rPr>
          <w:b/>
          <w:i/>
        </w:rPr>
        <w:t>Artikel 8</w:t>
      </w:r>
      <w:r>
        <w:rPr>
          <w:i/>
        </w:rPr>
        <w:t xml:space="preserve"> </w:t>
      </w:r>
      <w:r>
        <w:t xml:space="preserve">anerkender vigtigheden af at undgå, minimere og adressere </w:t>
      </w:r>
      <w:r w:rsidRPr="00EE08C2">
        <w:rPr>
          <w:u w:val="single"/>
        </w:rPr>
        <w:t>tab og skader</w:t>
      </w:r>
      <w:r w:rsidRPr="00B6321E">
        <w:t xml:space="preserve"> </w:t>
      </w:r>
      <w:r w:rsidR="00D136AA">
        <w:rPr>
          <w:i/>
        </w:rPr>
        <w:t xml:space="preserve">(’loss and damage’) </w:t>
      </w:r>
      <w:r w:rsidRPr="00B52906">
        <w:t>som følge</w:t>
      </w:r>
      <w:r>
        <w:t xml:space="preserve"> af klimaforandringerne</w:t>
      </w:r>
      <w:r w:rsidR="007D7E7D">
        <w:t>. D</w:t>
      </w:r>
      <w:r>
        <w:t xml:space="preserve">et anføres, at parterne bør øge deres forståelse, </w:t>
      </w:r>
      <w:r w:rsidR="0073556F">
        <w:t xml:space="preserve">indsats </w:t>
      </w:r>
      <w:r>
        <w:t>og støtte med hensyn til tab og ska</w:t>
      </w:r>
      <w:r w:rsidR="007D7E7D">
        <w:t>d</w:t>
      </w:r>
      <w:r>
        <w:t>er på e</w:t>
      </w:r>
      <w:r w:rsidR="007D7E7D">
        <w:t>t</w:t>
      </w:r>
      <w:r>
        <w:t xml:space="preserve"> samarbejdende og faciliterende </w:t>
      </w:r>
      <w:r w:rsidR="007D7E7D">
        <w:t>grundlag</w:t>
      </w:r>
      <w:r>
        <w:t>. I COP-beslutning 1/CP.21 besluttes det at fortsætte arbejdet i</w:t>
      </w:r>
      <w:r w:rsidRPr="00B52906">
        <w:t xml:space="preserve"> </w:t>
      </w:r>
      <w:r w:rsidRPr="00326CBA">
        <w:rPr>
          <w:i/>
        </w:rPr>
        <w:t>’</w:t>
      </w:r>
      <w:r w:rsidRPr="006B656A">
        <w:rPr>
          <w:i/>
        </w:rPr>
        <w:t>Warsaw International Mechanism for Loss &amp; Damage associated with Climate Change Impacts</w:t>
      </w:r>
      <w:r>
        <w:t>’</w:t>
      </w:r>
      <w:r w:rsidRPr="00B52906">
        <w:t xml:space="preserve"> (WIM)</w:t>
      </w:r>
      <w:r w:rsidR="00682281">
        <w:t>, og det præciseres</w:t>
      </w:r>
      <w:r w:rsidR="00062702">
        <w:t>,</w:t>
      </w:r>
      <w:r w:rsidR="00682281">
        <w:t xml:space="preserve"> at artikel 8 ikke giver basis for retligt ansvar eller kompensation</w:t>
      </w:r>
    </w:p>
    <w:p w14:paraId="4D5FB96C" w14:textId="77777777" w:rsidR="0091398B" w:rsidRDefault="0091398B" w:rsidP="00D27742"/>
    <w:p w14:paraId="6C59456A" w14:textId="77777777" w:rsidR="0091398B" w:rsidRDefault="0091398B" w:rsidP="00D27742">
      <w:r w:rsidRPr="00EE08C2">
        <w:rPr>
          <w:b/>
          <w:i/>
        </w:rPr>
        <w:t>Artikel 9</w:t>
      </w:r>
      <w:r>
        <w:rPr>
          <w:i/>
        </w:rPr>
        <w:t xml:space="preserve"> </w:t>
      </w:r>
      <w:r>
        <w:t xml:space="preserve">indeholder bestemmelser vedrørende </w:t>
      </w:r>
      <w:r w:rsidRPr="0010336D">
        <w:rPr>
          <w:u w:val="single"/>
        </w:rPr>
        <w:t>finansiering til klimaindsatsen i u</w:t>
      </w:r>
      <w:r>
        <w:rPr>
          <w:u w:val="single"/>
        </w:rPr>
        <w:t>dviklings</w:t>
      </w:r>
      <w:r w:rsidRPr="0010336D">
        <w:rPr>
          <w:u w:val="single"/>
        </w:rPr>
        <w:t>lande</w:t>
      </w:r>
      <w:r>
        <w:t xml:space="preserve">. Det fastslås, at udviklede lande </w:t>
      </w:r>
      <w:r w:rsidR="009E2793">
        <w:t>–</w:t>
      </w:r>
      <w:r>
        <w:t xml:space="preserve"> som en fortsættelse af deres eksisterende forpligtelser under klimakonventionen </w:t>
      </w:r>
      <w:r w:rsidR="009E2793">
        <w:t>–</w:t>
      </w:r>
      <w:r>
        <w:t xml:space="preserve"> </w:t>
      </w:r>
      <w:r w:rsidRPr="0050341C">
        <w:t>skal bidrage med finansiering til u</w:t>
      </w:r>
      <w:r>
        <w:t>dviklings</w:t>
      </w:r>
      <w:r w:rsidRPr="0050341C">
        <w:t>landene</w:t>
      </w:r>
      <w:r>
        <w:t xml:space="preserve">s klimaindsats, og at der skal søges opnået en balance mellem finansieringen til reduktionsindsatsen og klimatilpasningsindsatsen. Endvidere skal udviklede lande gå forrest i at mobilisere klimafinansiering fra forskellige kilder, instrumenter og kanaler, </w:t>
      </w:r>
      <w:r w:rsidR="0062507C">
        <w:t>som et led i en global indsats og med fremhævning af, at offentlig finansiering spiller en central rolle. O</w:t>
      </w:r>
      <w:r>
        <w:t xml:space="preserve">g denne indsats skal repræsentere fremskridt i forhold til tidligere. I </w:t>
      </w:r>
      <w:r w:rsidR="00E903CC">
        <w:t xml:space="preserve">COP-beslutning </w:t>
      </w:r>
      <w:r>
        <w:t xml:space="preserve">1/CP.21 anføres, at udviklede lande </w:t>
      </w:r>
      <w:r w:rsidR="0062507C">
        <w:t>forpligter sig til</w:t>
      </w:r>
      <w:r w:rsidR="0062507C" w:rsidDel="0062507C">
        <w:t xml:space="preserve"> </w:t>
      </w:r>
      <w:r>
        <w:t xml:space="preserve">frem til 2025 at fortsætte deres eksisterende kollektive mål om årligt fra 2020 at mobilisere 100 mia. USD i klimafinansiering fra </w:t>
      </w:r>
      <w:r w:rsidR="0062507C">
        <w:t xml:space="preserve">bl.a. offentlige og private </w:t>
      </w:r>
      <w:r>
        <w:t>kilder samt senest i 2025 at vedtage et nyt kvantitativt mål</w:t>
      </w:r>
      <w:r w:rsidR="0062507C">
        <w:t xml:space="preserve"> med </w:t>
      </w:r>
      <w:r w:rsidR="00C55D4D">
        <w:t xml:space="preserve">mulighed for </w:t>
      </w:r>
      <w:r w:rsidR="0062507C">
        <w:t>en bredere donorbase</w:t>
      </w:r>
      <w:r>
        <w:t>.</w:t>
      </w:r>
    </w:p>
    <w:p w14:paraId="37C8E3E7" w14:textId="77777777" w:rsidR="0091398B" w:rsidRDefault="0091398B" w:rsidP="00D27742">
      <w:r>
        <w:rPr>
          <w:u w:val="single"/>
        </w:rPr>
        <w:br/>
      </w:r>
      <w:r>
        <w:t>Artiklen forpligter endvidere de udviklede lande til hvert andet år</w:t>
      </w:r>
      <w:r w:rsidR="00157DD1">
        <w:t>:</w:t>
      </w:r>
      <w:r>
        <w:t xml:space="preserve"> 1) at kommunikere </w:t>
      </w:r>
      <w:r w:rsidR="00C4707F">
        <w:t>vejledende</w:t>
      </w:r>
      <w:r>
        <w:t xml:space="preserve"> kvantitativ og kvalitativ (ex ante) information om deres </w:t>
      </w:r>
      <w:r w:rsidR="00880B6B">
        <w:t xml:space="preserve">fremtidige </w:t>
      </w:r>
      <w:r>
        <w:t xml:space="preserve">klimafinansiering, herunder </w:t>
      </w:r>
      <w:r w:rsidR="009E2793">
        <w:t>–</w:t>
      </w:r>
      <w:r>
        <w:t xml:space="preserve"> hvis denne information er tilgængelig </w:t>
      </w:r>
      <w:r w:rsidR="009E2793">
        <w:t>–</w:t>
      </w:r>
      <w:r>
        <w:t xml:space="preserve"> fremskrivninger for den offentlige finansiering til udviklingslande og 2) at </w:t>
      </w:r>
      <w:r w:rsidR="0073556F">
        <w:t>fremlægge</w:t>
      </w:r>
      <w:r w:rsidR="0073556F" w:rsidRPr="0050341C">
        <w:t xml:space="preserve"> </w:t>
      </w:r>
      <w:r w:rsidRPr="0050341C">
        <w:t>transparent og konsistent</w:t>
      </w:r>
      <w:r>
        <w:t xml:space="preserve"> (ex post)</w:t>
      </w:r>
      <w:r w:rsidRPr="0050341C">
        <w:t xml:space="preserve"> information om</w:t>
      </w:r>
      <w:r>
        <w:t xml:space="preserve"> den </w:t>
      </w:r>
      <w:r w:rsidRPr="0050341C">
        <w:t>klimafinansiering</w:t>
      </w:r>
      <w:r>
        <w:t xml:space="preserve">, som </w:t>
      </w:r>
      <w:r w:rsidRPr="00430A82">
        <w:rPr>
          <w:i/>
        </w:rPr>
        <w:t>er</w:t>
      </w:r>
      <w:r>
        <w:t xml:space="preserve"> leveret og mobiliseret. </w:t>
      </w:r>
      <w:r w:rsidR="00157DD1">
        <w:t>Ifølge</w:t>
      </w:r>
      <w:r w:rsidR="00E903CC">
        <w:t xml:space="preserve"> COP-beslutning 1/CP.21</w:t>
      </w:r>
      <w:r>
        <w:t xml:space="preserve"> skal parterne færdigforhandle retningslinjer for begge typer af information (ex ante og ex post) samt nærmere </w:t>
      </w:r>
      <w:r>
        <w:lastRenderedPageBreak/>
        <w:t>retningslinjer for, hvordan klimafinansiering opgøres med henblik på vedtagelse på det første COP-møde efter aftalens ikrafttrædelse.</w:t>
      </w:r>
    </w:p>
    <w:p w14:paraId="30DBDA14" w14:textId="77777777" w:rsidR="007637DF" w:rsidRDefault="007637DF" w:rsidP="00D27742"/>
    <w:p w14:paraId="7D49FDD7" w14:textId="77777777" w:rsidR="0091398B" w:rsidRPr="001C7537" w:rsidRDefault="0091398B" w:rsidP="00D27742">
      <w:r w:rsidRPr="00EE08C2">
        <w:rPr>
          <w:b/>
          <w:i/>
        </w:rPr>
        <w:t>Artikel 10</w:t>
      </w:r>
      <w:r w:rsidRPr="001C7537">
        <w:rPr>
          <w:i/>
        </w:rPr>
        <w:t xml:space="preserve"> </w:t>
      </w:r>
      <w:r w:rsidRPr="001C7537">
        <w:t xml:space="preserve">fastslår en fælles langsigtet vision om </w:t>
      </w:r>
      <w:r w:rsidR="00C4707F">
        <w:t xml:space="preserve">betydningen </w:t>
      </w:r>
      <w:r w:rsidRPr="001C7537">
        <w:t xml:space="preserve">af </w:t>
      </w:r>
      <w:r w:rsidRPr="001C7537">
        <w:rPr>
          <w:u w:val="single"/>
        </w:rPr>
        <w:t>teknologiudvikling og -overførsel</w:t>
      </w:r>
      <w:r w:rsidRPr="001C7537">
        <w:t xml:space="preserve"> med henblik på at øge modstandsdygtigheden og reducere udledningerne, og det anføres</w:t>
      </w:r>
      <w:r w:rsidR="00681195">
        <w:t>,</w:t>
      </w:r>
      <w:r w:rsidRPr="001C7537">
        <w:t xml:space="preserve"> at parterne skal styrke deres samarbejde herom. Endvidere slås fast, at </w:t>
      </w:r>
      <w:r w:rsidR="00ED5234">
        <w:t>k</w:t>
      </w:r>
      <w:r w:rsidR="00157DD1">
        <w:t>limak</w:t>
      </w:r>
      <w:r w:rsidRPr="001C7537">
        <w:t>onventionens Teknologimekanisme</w:t>
      </w:r>
      <w:r w:rsidR="007D51C7">
        <w:t xml:space="preserve">, som omfatter </w:t>
      </w:r>
      <w:r w:rsidR="007D51C7">
        <w:rPr>
          <w:i/>
        </w:rPr>
        <w:t>”Technology Executive Committee” (TEC)</w:t>
      </w:r>
      <w:r w:rsidR="007D51C7">
        <w:t xml:space="preserve"> og </w:t>
      </w:r>
      <w:r w:rsidR="007D51C7">
        <w:rPr>
          <w:i/>
        </w:rPr>
        <w:t>”Climate Technology Centre and Network</w:t>
      </w:r>
      <w:r w:rsidR="002A7406">
        <w:rPr>
          <w:i/>
        </w:rPr>
        <w:t>”</w:t>
      </w:r>
      <w:r w:rsidR="007D51C7">
        <w:rPr>
          <w:i/>
        </w:rPr>
        <w:t xml:space="preserve"> (CTCN)</w:t>
      </w:r>
      <w:r w:rsidR="002A7406">
        <w:t>,</w:t>
      </w:r>
      <w:r w:rsidRPr="001C7537">
        <w:t xml:space="preserve"> skal tjene aftalen</w:t>
      </w:r>
      <w:r w:rsidR="007D51C7">
        <w:t xml:space="preserve">. Derudover </w:t>
      </w:r>
      <w:r w:rsidRPr="001C7537">
        <w:t>etableres en teknologiramme (</w:t>
      </w:r>
      <w:r w:rsidRPr="00FA4CD8">
        <w:rPr>
          <w:i/>
        </w:rPr>
        <w:t>’</w:t>
      </w:r>
      <w:r w:rsidRPr="006B656A">
        <w:rPr>
          <w:i/>
        </w:rPr>
        <w:t>technology framework</w:t>
      </w:r>
      <w:r w:rsidRPr="001C7537">
        <w:t xml:space="preserve">’), som skal </w:t>
      </w:r>
      <w:r w:rsidR="00C4707F">
        <w:t xml:space="preserve">udstikke overordnede retningslinjer for </w:t>
      </w:r>
      <w:r w:rsidRPr="001C7537">
        <w:t xml:space="preserve">Teknologimekanismens arbejde. Artiklen anfører også, at der skal </w:t>
      </w:r>
      <w:r w:rsidR="00C4707F">
        <w:t>ydes</w:t>
      </w:r>
      <w:r w:rsidRPr="001C7537">
        <w:t xml:space="preserve"> finansiel støtte til udviklingslande med henblik på teknologiudvikling- og overførsel. COP-beslutning</w:t>
      </w:r>
      <w:r w:rsidR="00E903CC">
        <w:t xml:space="preserve"> 1/CP.21</w:t>
      </w:r>
      <w:r w:rsidRPr="001C7537">
        <w:t xml:space="preserve"> fastslår</w:t>
      </w:r>
      <w:r>
        <w:t xml:space="preserve"> endvidere</w:t>
      </w:r>
      <w:r w:rsidRPr="001C7537">
        <w:t xml:space="preserve">, at parterne frem mod aftalens ikrafttrædelse skal færdigforhandle de nærmere detaljer i teknologirammen samt retningslinjerne for en periodisk vurdering af effektiviteten og tilstrækkeligheden af støtten til Teknologimekanismen. </w:t>
      </w:r>
    </w:p>
    <w:p w14:paraId="1A9C1360" w14:textId="77777777" w:rsidR="0091398B" w:rsidRDefault="0091398B" w:rsidP="00D27742"/>
    <w:p w14:paraId="709FFD7F" w14:textId="1FF31DEB" w:rsidR="0091398B" w:rsidRDefault="0091398B" w:rsidP="00D27742">
      <w:r w:rsidRPr="00EE08C2">
        <w:rPr>
          <w:b/>
          <w:i/>
        </w:rPr>
        <w:t>Artikel 11</w:t>
      </w:r>
      <w:r w:rsidRPr="001C7537">
        <w:rPr>
          <w:i/>
        </w:rPr>
        <w:t xml:space="preserve"> </w:t>
      </w:r>
      <w:r w:rsidRPr="001C7537">
        <w:t xml:space="preserve">anfører, at </w:t>
      </w:r>
      <w:r w:rsidRPr="00F31CED">
        <w:rPr>
          <w:u w:val="single"/>
        </w:rPr>
        <w:t xml:space="preserve">kapacitetsopbygning </w:t>
      </w:r>
      <w:r w:rsidRPr="001C7537">
        <w:t xml:space="preserve">under aftalen </w:t>
      </w:r>
      <w:r w:rsidR="00084D2D">
        <w:t>bør</w:t>
      </w:r>
      <w:r w:rsidR="00084D2D" w:rsidRPr="001C7537">
        <w:t xml:space="preserve"> </w:t>
      </w:r>
      <w:r w:rsidRPr="001C7537">
        <w:t xml:space="preserve">øge udviklingslandenes og </w:t>
      </w:r>
      <w:r w:rsidR="00821361">
        <w:t>især</w:t>
      </w:r>
      <w:r w:rsidR="00821361" w:rsidRPr="001C7537">
        <w:t xml:space="preserve"> </w:t>
      </w:r>
      <w:r w:rsidRPr="001C7537">
        <w:t>de mindst udviklede landes og de små østaters kapacitet og evne til effektiv klimahandling</w:t>
      </w:r>
      <w:r>
        <w:t xml:space="preserve"> samt</w:t>
      </w:r>
      <w:r w:rsidR="00681195">
        <w:t>,</w:t>
      </w:r>
      <w:r>
        <w:t xml:space="preserve"> at alle parter </w:t>
      </w:r>
      <w:r w:rsidRPr="001C7537">
        <w:t xml:space="preserve">bør bidrage </w:t>
      </w:r>
      <w:r>
        <w:t>her</w:t>
      </w:r>
      <w:r w:rsidRPr="001C7537">
        <w:t xml:space="preserve">til </w:t>
      </w:r>
      <w:r>
        <w:t>o</w:t>
      </w:r>
      <w:r w:rsidRPr="001C7537">
        <w:t>g regelmæssigt kommunikere om denne indsats</w:t>
      </w:r>
      <w:r>
        <w:t xml:space="preserve">. Endvidere </w:t>
      </w:r>
      <w:r w:rsidR="00055E60">
        <w:t xml:space="preserve">anføres, </w:t>
      </w:r>
      <w:r>
        <w:t>at</w:t>
      </w:r>
      <w:r w:rsidRPr="001C7537">
        <w:t xml:space="preserve"> de udviklede lande bør øge støtten til kapacitetsopbygning. </w:t>
      </w:r>
      <w:r>
        <w:t>Samtidigt etableres med</w:t>
      </w:r>
      <w:r w:rsidR="00E903CC">
        <w:t xml:space="preserve"> </w:t>
      </w:r>
      <w:r w:rsidRPr="001C7537">
        <w:t>COP-beslutning 1/CP.21</w:t>
      </w:r>
      <w:r>
        <w:t xml:space="preserve"> ’Pariskomitéen for Kapacitetsopbygning’, som skal understøtte arbejdet med kapacitetsopbygning. På</w:t>
      </w:r>
      <w:r w:rsidR="00101848">
        <w:t xml:space="preserve"> </w:t>
      </w:r>
      <w:r>
        <w:t xml:space="preserve">COP25 i 2019 skal komitéen evalueres med henblik på at komme med anbefalinger til de institutionelle rammer for det fremadrettede arbejde med kapacitetsopbygning, som skal vedtages på det første COP-møde efter aftalens ikrafttrædelse. </w:t>
      </w:r>
      <w:r>
        <w:br/>
      </w:r>
      <w:r>
        <w:br/>
      </w:r>
      <w:r w:rsidRPr="008421D1">
        <w:rPr>
          <w:b/>
          <w:i/>
        </w:rPr>
        <w:t>Artikel 12</w:t>
      </w:r>
      <w:r>
        <w:rPr>
          <w:b/>
          <w:i/>
        </w:rPr>
        <w:t xml:space="preserve"> </w:t>
      </w:r>
      <w:r>
        <w:t>anfører, at parterne</w:t>
      </w:r>
      <w:r w:rsidR="00A52D93">
        <w:t xml:space="preserve"> i passende omfang</w:t>
      </w:r>
      <w:r>
        <w:t xml:space="preserve"> skal samarbejde om at fremme </w:t>
      </w:r>
      <w:r w:rsidRPr="007631D0">
        <w:rPr>
          <w:u w:val="single"/>
        </w:rPr>
        <w:t xml:space="preserve">uddannelse, </w:t>
      </w:r>
      <w:r w:rsidR="00C4707F">
        <w:rPr>
          <w:u w:val="single"/>
        </w:rPr>
        <w:t>folkeoplysning</w:t>
      </w:r>
      <w:r w:rsidRPr="007631D0">
        <w:rPr>
          <w:u w:val="single"/>
        </w:rPr>
        <w:t>,</w:t>
      </w:r>
      <w:r w:rsidRPr="00B6321E">
        <w:t xml:space="preserve"> offentlig</w:t>
      </w:r>
      <w:r w:rsidR="0018782C" w:rsidRPr="00B6321E">
        <w:t>hedens</w:t>
      </w:r>
      <w:r w:rsidR="00C4707F" w:rsidRPr="00B6321E">
        <w:t xml:space="preserve"> </w:t>
      </w:r>
      <w:r w:rsidRPr="001136C0">
        <w:t xml:space="preserve">deltagelse og adgang </w:t>
      </w:r>
      <w:r>
        <w:t>til information o</w:t>
      </w:r>
      <w:r w:rsidR="00821361">
        <w:t>m</w:t>
      </w:r>
      <w:r>
        <w:t xml:space="preserve"> klimaforandringerne.</w:t>
      </w:r>
      <w:r>
        <w:br/>
      </w:r>
      <w:r>
        <w:br/>
      </w:r>
      <w:r w:rsidRPr="003E2A57">
        <w:rPr>
          <w:b/>
          <w:i/>
        </w:rPr>
        <w:t>Artikel 13</w:t>
      </w:r>
      <w:r>
        <w:t xml:space="preserve"> etablerer et forbedret </w:t>
      </w:r>
      <w:r w:rsidRPr="007631D0">
        <w:rPr>
          <w:u w:val="single"/>
        </w:rPr>
        <w:t xml:space="preserve">system </w:t>
      </w:r>
      <w:r w:rsidR="0018782C">
        <w:rPr>
          <w:u w:val="single"/>
        </w:rPr>
        <w:t>med øget gennemsigtighed vedrørende</w:t>
      </w:r>
      <w:r w:rsidR="0089752E">
        <w:rPr>
          <w:u w:val="single"/>
        </w:rPr>
        <w:t xml:space="preserve"> </w:t>
      </w:r>
      <w:r w:rsidRPr="007631D0">
        <w:rPr>
          <w:u w:val="single"/>
        </w:rPr>
        <w:t>klimaindsatsen</w:t>
      </w:r>
      <w:r>
        <w:t xml:space="preserve"> (</w:t>
      </w:r>
      <w:r w:rsidR="0089752E">
        <w:t>’</w:t>
      </w:r>
      <w:r w:rsidRPr="006B656A">
        <w:rPr>
          <w:i/>
        </w:rPr>
        <w:t>enhanced transparency framework</w:t>
      </w:r>
      <w:r w:rsidR="0089752E" w:rsidRPr="006B656A">
        <w:rPr>
          <w:i/>
        </w:rPr>
        <w:t>’</w:t>
      </w:r>
      <w:r>
        <w:t xml:space="preserve">), som skal bygge på og forbedre de eksisterende rammer for </w:t>
      </w:r>
      <w:r w:rsidR="0018782C">
        <w:t xml:space="preserve">gennemsigtighed </w:t>
      </w:r>
      <w:r>
        <w:t xml:space="preserve">under </w:t>
      </w:r>
      <w:r w:rsidR="00ED5234">
        <w:t>k</w:t>
      </w:r>
      <w:r w:rsidR="00417008">
        <w:t>limak</w:t>
      </w:r>
      <w:r>
        <w:t>onventionen</w:t>
      </w:r>
      <w:r w:rsidR="00D157B8">
        <w:t xml:space="preserve">, </w:t>
      </w:r>
      <w:r w:rsidR="00084D2D">
        <w:t xml:space="preserve">der </w:t>
      </w:r>
      <w:r w:rsidR="00D157B8">
        <w:t>omfatter krav til metoder, rapporteringer og evalueringer</w:t>
      </w:r>
      <w:r>
        <w:t xml:space="preserve">. Der skal gives fleksibilitet til udviklingslande, der har behov for det i lyset af deres kapaciteter. Systemet skal </w:t>
      </w:r>
      <w:r w:rsidR="00084D2D">
        <w:t>give</w:t>
      </w:r>
      <w:r>
        <w:t xml:space="preserve"> en klar forståelse af reduktionsindsatsen,</w:t>
      </w:r>
      <w:r w:rsidR="00971EB8">
        <w:t xml:space="preserve"> herunder bl.a. med nationale udledningsopgørelser,</w:t>
      </w:r>
      <w:r>
        <w:t xml:space="preserve"> tilpasningsindsatsen og støtten til klimaindsatsen (både givet og modtaget støtte). Information om støtte omfatter både finansiering, teknologioverførsel og kapacitetsopbygning. Information om effekten af og tilpasninger til klimaforandringerne skal gives</w:t>
      </w:r>
      <w:r w:rsidR="005246A8">
        <w:t>,</w:t>
      </w:r>
      <w:r w:rsidR="00A52D93">
        <w:t xml:space="preserve"> </w:t>
      </w:r>
      <w:r w:rsidR="001136C0">
        <w:t>hvor det er relevant</w:t>
      </w:r>
      <w:r>
        <w:t>. Parterne skal fremlægge informationen mindst hvert andet år (dog med fleksibilitet for de mindst udviklede lande og de små</w:t>
      </w:r>
      <w:r w:rsidR="0082439D">
        <w:t xml:space="preserve"> østater, som er</w:t>
      </w:r>
      <w:r>
        <w:t xml:space="preserve"> udviklings</w:t>
      </w:r>
      <w:r w:rsidR="0082439D">
        <w:t>lande</w:t>
      </w:r>
      <w:r>
        <w:t>). Informationen skal undergå en teknisk ekspertevaluering (</w:t>
      </w:r>
      <w:r w:rsidR="006B656A">
        <w:t>’</w:t>
      </w:r>
      <w:r w:rsidRPr="006B656A">
        <w:rPr>
          <w:i/>
        </w:rPr>
        <w:t>review</w:t>
      </w:r>
      <w:r w:rsidR="006B656A">
        <w:t>’</w:t>
      </w:r>
      <w:r>
        <w:t xml:space="preserve">) og skal informere det globale </w:t>
      </w:r>
      <w:r w:rsidR="006B656A">
        <w:t>’</w:t>
      </w:r>
      <w:r w:rsidRPr="006B656A">
        <w:rPr>
          <w:i/>
        </w:rPr>
        <w:t>stocktake</w:t>
      </w:r>
      <w:r w:rsidR="006B656A">
        <w:t>’</w:t>
      </w:r>
      <w:r>
        <w:t xml:space="preserve"> jf. aftalens </w:t>
      </w:r>
      <w:r w:rsidR="000221BA">
        <w:t>a</w:t>
      </w:r>
      <w:r>
        <w:t xml:space="preserve">rtikel 14. </w:t>
      </w:r>
      <w:r w:rsidR="000221BA">
        <w:t>Ifølge</w:t>
      </w:r>
      <w:r>
        <w:t xml:space="preserve"> </w:t>
      </w:r>
      <w:r w:rsidR="00E903CC">
        <w:t>CO</w:t>
      </w:r>
      <w:r>
        <w:t xml:space="preserve">P-beslutning 1/CP.21 skal parterne færdigforhandle de nærmere retningslinjer for </w:t>
      </w:r>
      <w:r w:rsidR="005F563E">
        <w:t xml:space="preserve">metoder, rapporteringer og evalueringer i </w:t>
      </w:r>
      <w:r>
        <w:t xml:space="preserve">det nye system til drøftelse på COP24 i 2018 med henblik på vedtagelse på det første COP-møde efter aftalens ikrafttrædelse. </w:t>
      </w:r>
      <w:r>
        <w:lastRenderedPageBreak/>
        <w:t>Beslutningen etablerer</w:t>
      </w:r>
      <w:r w:rsidRPr="00593A60">
        <w:t xml:space="preserve"> ligeledes </w:t>
      </w:r>
      <w:r w:rsidR="00F6476C">
        <w:t>’</w:t>
      </w:r>
      <w:r w:rsidRPr="00593A60">
        <w:t>Kapacitetsopbygningsinitiativet for Transparens</w:t>
      </w:r>
      <w:r w:rsidR="00F6476C">
        <w:t>’</w:t>
      </w:r>
      <w:r w:rsidRPr="00593A60">
        <w:t>, som skal øge udviklingslandenes kapacitet til at tilvejebringe inf</w:t>
      </w:r>
      <w:r>
        <w:t>ormationen om deres klimaindsats.</w:t>
      </w:r>
    </w:p>
    <w:p w14:paraId="44CCF71C" w14:textId="77777777" w:rsidR="007637DF" w:rsidRDefault="007637DF" w:rsidP="00D27742"/>
    <w:p w14:paraId="0630BE53" w14:textId="515C324F" w:rsidR="0091398B" w:rsidRDefault="0091398B" w:rsidP="00D27742">
      <w:pPr>
        <w:rPr>
          <w:iCs/>
        </w:rPr>
      </w:pPr>
      <w:r w:rsidRPr="00CF5B4D">
        <w:rPr>
          <w:b/>
          <w:i/>
        </w:rPr>
        <w:t>Artikel 14</w:t>
      </w:r>
      <w:r>
        <w:rPr>
          <w:b/>
          <w:i/>
        </w:rPr>
        <w:t xml:space="preserve"> </w:t>
      </w:r>
      <w:r>
        <w:t xml:space="preserve">bestemmer, at der hvert femte år, og første gang i 2023, skal afholdes et </w:t>
      </w:r>
      <w:r w:rsidRPr="007631D0">
        <w:rPr>
          <w:u w:val="single"/>
        </w:rPr>
        <w:t xml:space="preserve">globalt </w:t>
      </w:r>
      <w:r w:rsidRPr="00FA4CD8">
        <w:rPr>
          <w:i/>
          <w:u w:val="single"/>
        </w:rPr>
        <w:t>’stocktake’</w:t>
      </w:r>
      <w:r>
        <w:t xml:space="preserve">, som skal gøre status over det kollektive fremskridt </w:t>
      </w:r>
      <w:r w:rsidR="00084D2D">
        <w:t>hen imod</w:t>
      </w:r>
      <w:r>
        <w:t xml:space="preserve"> at </w:t>
      </w:r>
      <w:r w:rsidR="001136C0">
        <w:t>opfylde</w:t>
      </w:r>
      <w:r>
        <w:t xml:space="preserve"> aftalens formål og langsigtede målsætninger </w:t>
      </w:r>
      <w:r w:rsidR="001136C0">
        <w:t>jf.</w:t>
      </w:r>
      <w:r w:rsidR="004527BB">
        <w:t xml:space="preserve"> a</w:t>
      </w:r>
      <w:r>
        <w:t xml:space="preserve">rtikel 2. Både reduktionsindsatsen, klimatilpasningsindsatsen og støtten til klimaindsatsen skal tages i betragtning. Resultatet af </w:t>
      </w:r>
      <w:r w:rsidRPr="00FA4CD8">
        <w:rPr>
          <w:i/>
        </w:rPr>
        <w:t>stocktaket</w:t>
      </w:r>
      <w:r>
        <w:t xml:space="preserve"> skal informere parterne</w:t>
      </w:r>
      <w:r w:rsidR="00760241">
        <w:t>s arbejde med</w:t>
      </w:r>
      <w:r>
        <w:t xml:space="preserve"> at opdatere og forøge deres klimaindsats </w:t>
      </w:r>
      <w:r w:rsidR="002F7374">
        <w:t xml:space="preserve">under </w:t>
      </w:r>
      <w:r>
        <w:t xml:space="preserve">aftalen. </w:t>
      </w:r>
      <w:r w:rsidR="005F0AF7">
        <w:t>Ifølge</w:t>
      </w:r>
      <w:r>
        <w:t xml:space="preserve"> </w:t>
      </w:r>
      <w:r w:rsidR="00E903CC">
        <w:t xml:space="preserve">COP-beslutning </w:t>
      </w:r>
      <w:r>
        <w:t xml:space="preserve">1/CP.21 skal parterne færdigforhandle kilder til input til </w:t>
      </w:r>
      <w:r w:rsidRPr="00FA4CD8">
        <w:rPr>
          <w:i/>
        </w:rPr>
        <w:t>stocktaket</w:t>
      </w:r>
      <w:r>
        <w:t xml:space="preserve"> samt de nærmere retningslinjer for afholdelse af </w:t>
      </w:r>
      <w:r w:rsidRPr="00FA4CD8">
        <w:rPr>
          <w:i/>
        </w:rPr>
        <w:t>stocktaket</w:t>
      </w:r>
      <w:r>
        <w:t xml:space="preserve"> med henblik på vedtagelse på det første COP-møde efter aftalens ikrafttrædelse. I COP-beslutning</w:t>
      </w:r>
      <w:r w:rsidR="00E903CC">
        <w:t xml:space="preserve"> 1/CP.21</w:t>
      </w:r>
      <w:r>
        <w:t xml:space="preserve"> bestemmes også, at der allerede i</w:t>
      </w:r>
      <w:r w:rsidRPr="00E7183C">
        <w:t xml:space="preserve"> </w:t>
      </w:r>
      <w:r w:rsidRPr="00E7183C">
        <w:rPr>
          <w:iCs/>
        </w:rPr>
        <w:t xml:space="preserve">2018 </w:t>
      </w:r>
      <w:r>
        <w:rPr>
          <w:iCs/>
        </w:rPr>
        <w:t xml:space="preserve">skal </w:t>
      </w:r>
      <w:r w:rsidRPr="00E7183C">
        <w:rPr>
          <w:iCs/>
        </w:rPr>
        <w:t xml:space="preserve">afholdes en </w:t>
      </w:r>
      <w:r w:rsidR="00F6476C">
        <w:rPr>
          <w:iCs/>
        </w:rPr>
        <w:t>’</w:t>
      </w:r>
      <w:r w:rsidRPr="00E7183C">
        <w:rPr>
          <w:iCs/>
        </w:rPr>
        <w:t>faciliterende dialog</w:t>
      </w:r>
      <w:r w:rsidR="00F6476C">
        <w:rPr>
          <w:iCs/>
        </w:rPr>
        <w:t>’</w:t>
      </w:r>
      <w:r w:rsidRPr="00E7183C">
        <w:rPr>
          <w:iCs/>
        </w:rPr>
        <w:t xml:space="preserve">, </w:t>
      </w:r>
      <w:r>
        <w:rPr>
          <w:iCs/>
        </w:rPr>
        <w:t>der</w:t>
      </w:r>
      <w:r w:rsidRPr="00E7183C">
        <w:rPr>
          <w:iCs/>
        </w:rPr>
        <w:t xml:space="preserve"> skal gøre status over det kollektive fremskridt i</w:t>
      </w:r>
      <w:r>
        <w:rPr>
          <w:iCs/>
        </w:rPr>
        <w:t xml:space="preserve"> </w:t>
      </w:r>
      <w:r w:rsidRPr="00E7183C">
        <w:rPr>
          <w:iCs/>
        </w:rPr>
        <w:t>f</w:t>
      </w:r>
      <w:r>
        <w:rPr>
          <w:iCs/>
        </w:rPr>
        <w:t xml:space="preserve">orhold til </w:t>
      </w:r>
      <w:r w:rsidRPr="00E7183C">
        <w:rPr>
          <w:iCs/>
        </w:rPr>
        <w:t xml:space="preserve">at nå det langsigtede reduktionsmål </w:t>
      </w:r>
      <w:r>
        <w:rPr>
          <w:iCs/>
        </w:rPr>
        <w:t xml:space="preserve">som fremsat i aftalens </w:t>
      </w:r>
      <w:r w:rsidR="001A6AA2">
        <w:rPr>
          <w:iCs/>
        </w:rPr>
        <w:t>a</w:t>
      </w:r>
      <w:r>
        <w:rPr>
          <w:iCs/>
        </w:rPr>
        <w:t>rtikel 4 samt</w:t>
      </w:r>
      <w:r w:rsidRPr="00E7183C">
        <w:rPr>
          <w:iCs/>
        </w:rPr>
        <w:t xml:space="preserve"> informere</w:t>
      </w:r>
      <w:r w:rsidR="001A6AA2">
        <w:rPr>
          <w:iCs/>
        </w:rPr>
        <w:t xml:space="preserve"> </w:t>
      </w:r>
      <w:r w:rsidRPr="00E7183C">
        <w:rPr>
          <w:iCs/>
        </w:rPr>
        <w:t>forberedelse</w:t>
      </w:r>
      <w:r w:rsidR="001A6AA2">
        <w:rPr>
          <w:iCs/>
        </w:rPr>
        <w:t>n</w:t>
      </w:r>
      <w:r w:rsidRPr="00E7183C">
        <w:rPr>
          <w:iCs/>
        </w:rPr>
        <w:t xml:space="preserve"> af</w:t>
      </w:r>
      <w:r>
        <w:rPr>
          <w:iCs/>
        </w:rPr>
        <w:t xml:space="preserve"> de</w:t>
      </w:r>
      <w:r w:rsidRPr="00E7183C">
        <w:rPr>
          <w:iCs/>
        </w:rPr>
        <w:t xml:space="preserve"> </w:t>
      </w:r>
      <w:r>
        <w:rPr>
          <w:iCs/>
        </w:rPr>
        <w:t xml:space="preserve">NDC’er, som skal kommunikeres i </w:t>
      </w:r>
      <w:r w:rsidRPr="00E7183C">
        <w:rPr>
          <w:iCs/>
        </w:rPr>
        <w:t xml:space="preserve">2020.  </w:t>
      </w:r>
    </w:p>
    <w:p w14:paraId="17021EC4" w14:textId="77777777" w:rsidR="0091398B" w:rsidRDefault="0091398B" w:rsidP="00D27742"/>
    <w:p w14:paraId="476309EA" w14:textId="77777777" w:rsidR="0091398B" w:rsidRPr="009023F6" w:rsidRDefault="0091398B" w:rsidP="00D27742">
      <w:r w:rsidRPr="009023F6">
        <w:rPr>
          <w:b/>
          <w:i/>
          <w:iCs/>
        </w:rPr>
        <w:t>Artikel 15</w:t>
      </w:r>
      <w:r w:rsidRPr="009023F6">
        <w:rPr>
          <w:iCs/>
        </w:rPr>
        <w:t xml:space="preserve"> etablerer en mekanisme, der skal </w:t>
      </w:r>
      <w:r w:rsidRPr="00035D6F">
        <w:rPr>
          <w:u w:val="single"/>
        </w:rPr>
        <w:t>facilitere implementering og fremme overholdelse</w:t>
      </w:r>
      <w:r w:rsidRPr="009023F6">
        <w:t xml:space="preserve"> (</w:t>
      </w:r>
      <w:r w:rsidR="00F6476C" w:rsidRPr="00FA4CD8">
        <w:rPr>
          <w:i/>
        </w:rPr>
        <w:t>’</w:t>
      </w:r>
      <w:r w:rsidRPr="00FA4CD8">
        <w:rPr>
          <w:i/>
        </w:rPr>
        <w:t>compliance</w:t>
      </w:r>
      <w:r w:rsidR="00F6476C" w:rsidRPr="00FA4CD8">
        <w:rPr>
          <w:i/>
        </w:rPr>
        <w:t>’</w:t>
      </w:r>
      <w:r w:rsidRPr="009023F6">
        <w:t>) af bestemmelserne i Parisaftalen. Mekanismen skal bestå af en ekspertkomité, som i sin virkemåde skal være faciliterende, transparent</w:t>
      </w:r>
      <w:r w:rsidR="00BB39AE">
        <w:t xml:space="preserve"> og</w:t>
      </w:r>
      <w:r w:rsidRPr="009023F6">
        <w:t xml:space="preserve"> </w:t>
      </w:r>
      <w:r w:rsidR="001136C0">
        <w:t>baseret på frivillighed uden anvendelse af sanktioner</w:t>
      </w:r>
      <w:r>
        <w:t>.</w:t>
      </w:r>
      <w:r w:rsidR="002F7374">
        <w:t xml:space="preserve"> </w:t>
      </w:r>
      <w:r w:rsidRPr="009023F6">
        <w:t>Komitéen skal årligt afrapportere til COP’</w:t>
      </w:r>
      <w:r>
        <w:t>en. Parterne skal færdigforhandle retningslinjer for k</w:t>
      </w:r>
      <w:r w:rsidRPr="009023F6">
        <w:t>omitéens arbejde</w:t>
      </w:r>
      <w:r>
        <w:t xml:space="preserve"> med henblik på vedtagelse på de</w:t>
      </w:r>
      <w:r w:rsidR="006E5E7A">
        <w:t>n</w:t>
      </w:r>
      <w:r>
        <w:t xml:space="preserve"> første COP efter aftalens ikrafttrædelse. </w:t>
      </w:r>
      <w:r w:rsidRPr="009023F6">
        <w:t xml:space="preserve"> </w:t>
      </w:r>
    </w:p>
    <w:p w14:paraId="3D801F23" w14:textId="77777777" w:rsidR="0091398B" w:rsidRDefault="0091398B" w:rsidP="00D27742"/>
    <w:p w14:paraId="77376657" w14:textId="77777777" w:rsidR="0091398B" w:rsidRDefault="0091398B" w:rsidP="00D27742">
      <w:r w:rsidRPr="00A073E4">
        <w:rPr>
          <w:b/>
          <w:i/>
        </w:rPr>
        <w:t>Artikel 16-19</w:t>
      </w:r>
      <w:r w:rsidRPr="00A073E4">
        <w:rPr>
          <w:b/>
        </w:rPr>
        <w:t xml:space="preserve"> </w:t>
      </w:r>
      <w:r w:rsidRPr="00A073E4">
        <w:t xml:space="preserve">fastsætter de </w:t>
      </w:r>
      <w:r w:rsidRPr="00A073E4">
        <w:rPr>
          <w:u w:val="single"/>
        </w:rPr>
        <w:t>institutionelle rammer</w:t>
      </w:r>
      <w:r w:rsidRPr="00A073E4">
        <w:t xml:space="preserve"> for Parisaftalen, herunder</w:t>
      </w:r>
      <w:r w:rsidR="003B10CC">
        <w:t xml:space="preserve"> at</w:t>
      </w:r>
      <w:r>
        <w:t xml:space="preserve"> </w:t>
      </w:r>
      <w:r w:rsidRPr="00A073E4">
        <w:t>COP’en etableres som beslutningsorgan for aftalen (</w:t>
      </w:r>
      <w:r w:rsidR="003B10CC">
        <w:t>a</w:t>
      </w:r>
      <w:r w:rsidRPr="00A073E4">
        <w:t>rtikel 16)</w:t>
      </w:r>
      <w:r w:rsidR="003B10CC">
        <w:t>, at</w:t>
      </w:r>
      <w:r w:rsidRPr="00A073E4">
        <w:t xml:space="preserve"> </w:t>
      </w:r>
      <w:r w:rsidR="00F61883">
        <w:t xml:space="preserve">klimakonventionens </w:t>
      </w:r>
      <w:r w:rsidRPr="00A073E4">
        <w:t>sekretariat skal tjene som sekretariat for afta</w:t>
      </w:r>
      <w:r>
        <w:t xml:space="preserve">len </w:t>
      </w:r>
      <w:r w:rsidRPr="00A073E4">
        <w:t>(</w:t>
      </w:r>
      <w:r w:rsidR="003B10CC">
        <w:t>a</w:t>
      </w:r>
      <w:r w:rsidRPr="00A073E4">
        <w:t>rtikel 17)</w:t>
      </w:r>
      <w:r w:rsidR="003B10CC">
        <w:t>, at</w:t>
      </w:r>
      <w:r w:rsidRPr="00A073E4">
        <w:t xml:space="preserve"> </w:t>
      </w:r>
      <w:r w:rsidRPr="00FA4CD8">
        <w:rPr>
          <w:i/>
        </w:rPr>
        <w:t>’The Subsidiary Body for Scientific and Technological</w:t>
      </w:r>
      <w:r w:rsidRPr="00A073E4">
        <w:t xml:space="preserve"> Advice’ (SBSTA) og </w:t>
      </w:r>
      <w:r w:rsidRPr="00FA4CD8">
        <w:rPr>
          <w:i/>
        </w:rPr>
        <w:t>’The Subsidiary Body for Implementation’</w:t>
      </w:r>
      <w:r w:rsidRPr="00A073E4">
        <w:t xml:space="preserve"> (SBI) skal tjene som de subs</w:t>
      </w:r>
      <w:r>
        <w:t>idiære organer for Parisaftalen</w:t>
      </w:r>
      <w:r w:rsidR="003B10CC">
        <w:t xml:space="preserve">, og at </w:t>
      </w:r>
      <w:r w:rsidRPr="00A073E4">
        <w:t xml:space="preserve">andre subsidiære organer etableret under </w:t>
      </w:r>
      <w:r>
        <w:t xml:space="preserve">FN’s klimakonvention </w:t>
      </w:r>
      <w:r w:rsidRPr="00A073E4">
        <w:t>kan tjene Parisaftalen, såfremt COP</w:t>
      </w:r>
      <w:r>
        <w:t>’en beslutter dette (</w:t>
      </w:r>
      <w:r w:rsidR="003B10CC">
        <w:t>a</w:t>
      </w:r>
      <w:r>
        <w:t>rtikel 19).</w:t>
      </w:r>
    </w:p>
    <w:p w14:paraId="235E15A3" w14:textId="77777777" w:rsidR="009A43AC" w:rsidRPr="00A073E4" w:rsidRDefault="009A43AC" w:rsidP="00D27742"/>
    <w:p w14:paraId="6B70D59F" w14:textId="5E27AA90" w:rsidR="0091398B" w:rsidRDefault="0091398B" w:rsidP="00D27742">
      <w:pPr>
        <w:rPr>
          <w:b/>
        </w:rPr>
      </w:pPr>
      <w:r w:rsidRPr="00A073E4">
        <w:rPr>
          <w:b/>
          <w:i/>
        </w:rPr>
        <w:t>Artikel 20-21</w:t>
      </w:r>
      <w:r w:rsidRPr="00A073E4">
        <w:t xml:space="preserve">vedrører </w:t>
      </w:r>
      <w:r w:rsidRPr="007631D0">
        <w:rPr>
          <w:u w:val="single"/>
        </w:rPr>
        <w:t>underskrift, ratifikation og ikrafttrædelse</w:t>
      </w:r>
      <w:r>
        <w:t xml:space="preserve"> og fastsætter bestemmelser i de</w:t>
      </w:r>
      <w:r w:rsidR="00084D2D">
        <w:t>tt</w:t>
      </w:r>
      <w:r>
        <w:t>e henseende for forholdet mellem regional</w:t>
      </w:r>
      <w:r w:rsidR="00084D2D">
        <w:t>e</w:t>
      </w:r>
      <w:r>
        <w:t xml:space="preserve"> </w:t>
      </w:r>
      <w:r w:rsidR="00084D2D">
        <w:t xml:space="preserve">organisationer for </w:t>
      </w:r>
      <w:r>
        <w:t>økonomisk integr</w:t>
      </w:r>
      <w:r w:rsidR="00084D2D">
        <w:t>ation</w:t>
      </w:r>
      <w:r>
        <w:t xml:space="preserve"> (</w:t>
      </w:r>
      <w:r w:rsidR="000B4205">
        <w:t>f</w:t>
      </w:r>
      <w:r w:rsidR="0082439D">
        <w:t>.eks.</w:t>
      </w:r>
      <w:r>
        <w:t xml:space="preserve"> EU), der bliver parter til aftalen, og </w:t>
      </w:r>
      <w:r w:rsidR="000B4205">
        <w:t>deres</w:t>
      </w:r>
      <w:r>
        <w:t xml:space="preserve"> medlemsstater. Det fastsættes af aftalen </w:t>
      </w:r>
      <w:r w:rsidRPr="00A073E4">
        <w:t>vil være åben for underskrift fra den 22. apr</w:t>
      </w:r>
      <w:r>
        <w:t xml:space="preserve">il 2016 til den 21. april 2017, og at aftalen vil træde i kraft 30 dage efter, at mindst </w:t>
      </w:r>
      <w:r w:rsidRPr="00A073E4">
        <w:t>55 pct. af aftalens parter dækkende mindst 55 pct. af de globale drivhusgasudledninger har ratificeret aftalen</w:t>
      </w:r>
      <w:r>
        <w:t>.</w:t>
      </w:r>
      <w:r w:rsidRPr="00A073E4">
        <w:t xml:space="preserve"> </w:t>
      </w:r>
    </w:p>
    <w:p w14:paraId="62C01292" w14:textId="77777777" w:rsidR="009A43AC" w:rsidRDefault="009A43AC" w:rsidP="00D27742"/>
    <w:p w14:paraId="7D9554C2" w14:textId="77777777" w:rsidR="0091398B" w:rsidRPr="007631D0" w:rsidRDefault="0091398B" w:rsidP="00D27742">
      <w:r w:rsidRPr="007631D0">
        <w:rPr>
          <w:b/>
          <w:i/>
        </w:rPr>
        <w:t>Artikel 22-29</w:t>
      </w:r>
      <w:r w:rsidRPr="007631D0">
        <w:t xml:space="preserve"> indeholder bestemmelser vedr</w:t>
      </w:r>
      <w:r w:rsidR="003B61E0">
        <w:t>ørende</w:t>
      </w:r>
      <w:r w:rsidRPr="007631D0">
        <w:t xml:space="preserve"> </w:t>
      </w:r>
      <w:r w:rsidRPr="00431518">
        <w:t>vedtagelse af ændringer</w:t>
      </w:r>
      <w:r w:rsidRPr="007631D0">
        <w:t xml:space="preserve">, annekser, tvistbilæggelse, stemmeregler, depositar, </w:t>
      </w:r>
      <w:r w:rsidR="002C4231">
        <w:t>forbehold</w:t>
      </w:r>
      <w:r w:rsidRPr="007631D0">
        <w:t>, udtrædelse og sprogversioner.</w:t>
      </w:r>
    </w:p>
    <w:p w14:paraId="64E1A1FE" w14:textId="77777777" w:rsidR="009A43AC" w:rsidRDefault="009A43AC" w:rsidP="00D27742"/>
    <w:p w14:paraId="67029B76" w14:textId="77777777" w:rsidR="00B26F48" w:rsidRDefault="00B26F48" w:rsidP="00D27742">
      <w:pPr>
        <w:rPr>
          <w:b/>
        </w:rPr>
      </w:pPr>
    </w:p>
    <w:p w14:paraId="6A12E4F7" w14:textId="77777777" w:rsidR="00B26F48" w:rsidRDefault="00B26F48" w:rsidP="00D27742">
      <w:pPr>
        <w:rPr>
          <w:b/>
        </w:rPr>
      </w:pPr>
    </w:p>
    <w:p w14:paraId="71E6D588" w14:textId="77777777" w:rsidR="00B26F48" w:rsidRDefault="00B26F48" w:rsidP="00D27742">
      <w:pPr>
        <w:rPr>
          <w:b/>
        </w:rPr>
      </w:pPr>
    </w:p>
    <w:p w14:paraId="3F106F5B" w14:textId="77777777" w:rsidR="00300BFB" w:rsidRPr="000D337F" w:rsidRDefault="00300BFB" w:rsidP="00D27742">
      <w:pPr>
        <w:rPr>
          <w:b/>
        </w:rPr>
      </w:pPr>
      <w:r w:rsidRPr="000D337F">
        <w:rPr>
          <w:b/>
        </w:rPr>
        <w:lastRenderedPageBreak/>
        <w:t xml:space="preserve">4. Danmarks </w:t>
      </w:r>
      <w:r w:rsidR="00FE7E2D" w:rsidRPr="000D337F">
        <w:rPr>
          <w:b/>
        </w:rPr>
        <w:t>klimaindsats</w:t>
      </w:r>
      <w:r w:rsidR="00DD3164" w:rsidRPr="000D337F">
        <w:rPr>
          <w:b/>
        </w:rPr>
        <w:t xml:space="preserve"> under Parisaftalen</w:t>
      </w:r>
    </w:p>
    <w:p w14:paraId="748CC6FA" w14:textId="77777777" w:rsidR="00FE7E2D" w:rsidRDefault="00FE7E2D" w:rsidP="00D27742"/>
    <w:p w14:paraId="57BA6B9D" w14:textId="77777777" w:rsidR="00AD7F80" w:rsidRPr="000D337F" w:rsidRDefault="00AD7F80" w:rsidP="00D27742">
      <w:pPr>
        <w:rPr>
          <w:i/>
        </w:rPr>
      </w:pPr>
      <w:r w:rsidRPr="000D337F">
        <w:rPr>
          <w:i/>
        </w:rPr>
        <w:t>4.1 Reduktionsindsats</w:t>
      </w:r>
      <w:r w:rsidR="00BD25D9" w:rsidRPr="000D337F">
        <w:rPr>
          <w:i/>
        </w:rPr>
        <w:t>en</w:t>
      </w:r>
    </w:p>
    <w:p w14:paraId="25BF5D8C" w14:textId="77777777" w:rsidR="003A2966" w:rsidRDefault="005A65A1" w:rsidP="00D27742">
      <w:r>
        <w:t>EU og medlemsstater</w:t>
      </w:r>
      <w:r w:rsidR="000B4205">
        <w:t>ne</w:t>
      </w:r>
      <w:r w:rsidRPr="005A65A1">
        <w:t xml:space="preserve"> har besluttet at opfylde si</w:t>
      </w:r>
      <w:r w:rsidR="009A43AC">
        <w:t xml:space="preserve">n </w:t>
      </w:r>
      <w:r w:rsidR="002C6F67">
        <w:t>forpligtelse</w:t>
      </w:r>
      <w:r w:rsidR="009A43AC">
        <w:t xml:space="preserve"> til at </w:t>
      </w:r>
      <w:r w:rsidR="006E49F9">
        <w:t>udarbejde</w:t>
      </w:r>
      <w:r w:rsidR="009A43AC">
        <w:t xml:space="preserve">, </w:t>
      </w:r>
      <w:r w:rsidR="006E49F9">
        <w:t xml:space="preserve">meddele </w:t>
      </w:r>
      <w:r w:rsidR="009A43AC">
        <w:t xml:space="preserve">og opretholde en NDC under </w:t>
      </w:r>
      <w:r w:rsidRPr="005A65A1">
        <w:t xml:space="preserve">Parisaftalen i fællesskab. EU’s </w:t>
      </w:r>
      <w:r w:rsidR="009E4CFB">
        <w:t xml:space="preserve">første </w:t>
      </w:r>
      <w:r w:rsidR="009A43AC">
        <w:t>NDC</w:t>
      </w:r>
      <w:r w:rsidRPr="005A65A1">
        <w:t xml:space="preserve"> til aftalen er en reduktion i drivhusgasudledningerne på mindst 40 </w:t>
      </w:r>
      <w:r w:rsidR="004F654F">
        <w:t>pct. i 2030 i forhold til 1990</w:t>
      </w:r>
      <w:r w:rsidR="00514146">
        <w:t>. Målet</w:t>
      </w:r>
      <w:r w:rsidR="004F654F">
        <w:t xml:space="preserve"> </w:t>
      </w:r>
      <w:r w:rsidRPr="005A65A1">
        <w:t xml:space="preserve">blev </w:t>
      </w:r>
      <w:r w:rsidR="002D5063">
        <w:t>vedtaget på Det Europæiske Råd den 24.</w:t>
      </w:r>
      <w:r w:rsidRPr="005A65A1">
        <w:t xml:space="preserve"> oktober 2014. Målet skal nås gennem reduktioner i hhv. de kvotebelagte og ikke-kvotebelagte sektorer</w:t>
      </w:r>
      <w:r w:rsidR="00AE5399">
        <w:t xml:space="preserve"> </w:t>
      </w:r>
      <w:r w:rsidR="00AE5399" w:rsidRPr="004110A8">
        <w:t>og skal udmøntes i lovgivning om: 1) Revisio</w:t>
      </w:r>
      <w:r w:rsidR="00AE5399">
        <w:t>n af EU’s kvotehandelsdirektiv</w:t>
      </w:r>
      <w:r w:rsidR="009F6577">
        <w:rPr>
          <w:rStyle w:val="Fodnotehenvisning"/>
        </w:rPr>
        <w:footnoteReference w:id="2"/>
      </w:r>
      <w:r w:rsidR="007711AB">
        <w:t xml:space="preserve"> </w:t>
      </w:r>
      <w:r w:rsidR="00AE5399" w:rsidRPr="004110A8">
        <w:t>og 2) byrdefordelingsaftale for de ikke-kvotebelagte sektorer samt integration af udledninger og optag fra skov</w:t>
      </w:r>
      <w:r w:rsidR="00AE5399">
        <w:t xml:space="preserve">e og jorde. </w:t>
      </w:r>
    </w:p>
    <w:p w14:paraId="397492D6" w14:textId="77777777" w:rsidR="003A2966" w:rsidRDefault="003A2966" w:rsidP="00D27742">
      <w:r>
        <w:br/>
      </w:r>
      <w:r w:rsidR="001B639D">
        <w:t>D</w:t>
      </w:r>
      <w:r w:rsidR="005424E9">
        <w:t>er</w:t>
      </w:r>
      <w:r w:rsidR="001B639D">
        <w:t xml:space="preserve"> foreligger</w:t>
      </w:r>
      <w:r w:rsidR="005424E9">
        <w:t xml:space="preserve"> </w:t>
      </w:r>
      <w:r w:rsidR="00AE5399">
        <w:t xml:space="preserve">således </w:t>
      </w:r>
      <w:r w:rsidR="00514146">
        <w:t>på tidspunktet for</w:t>
      </w:r>
      <w:r w:rsidR="005424E9">
        <w:t xml:space="preserve"> fremsættelse af beslutningsforslaget</w:t>
      </w:r>
      <w:r w:rsidR="00514146">
        <w:t xml:space="preserve"> om ratifikation</w:t>
      </w:r>
      <w:r w:rsidR="005424E9">
        <w:t xml:space="preserve"> </w:t>
      </w:r>
      <w:r w:rsidR="00AE5399">
        <w:t xml:space="preserve">ikke </w:t>
      </w:r>
      <w:r w:rsidR="001C1D0A">
        <w:t xml:space="preserve">vedtaget lovgivning for </w:t>
      </w:r>
      <w:r w:rsidR="00AE5399">
        <w:t xml:space="preserve">EU’s </w:t>
      </w:r>
      <w:r w:rsidR="00A03767">
        <w:t>reduktionsbidrag</w:t>
      </w:r>
      <w:r w:rsidR="005424E9">
        <w:t xml:space="preserve">. </w:t>
      </w:r>
      <w:r w:rsidR="001C1D0A">
        <w:t xml:space="preserve">Rammerne for </w:t>
      </w:r>
      <w:r w:rsidR="005424E9">
        <w:t xml:space="preserve">Danmarks </w:t>
      </w:r>
      <w:r w:rsidR="00D71EA1">
        <w:t>første</w:t>
      </w:r>
      <w:r w:rsidR="00F719FD">
        <w:t xml:space="preserve"> </w:t>
      </w:r>
      <w:r w:rsidR="005424E9">
        <w:t xml:space="preserve">reduktionsbidrag </w:t>
      </w:r>
      <w:r w:rsidR="00F76439">
        <w:t xml:space="preserve">inden for de ikke-kvotebelagte sektorer kendes først, når </w:t>
      </w:r>
      <w:r w:rsidR="001C1D0A">
        <w:t>EU’s lovgivning for de kvote-belagte sektorer</w:t>
      </w:r>
      <w:r w:rsidR="003E4A9D">
        <w:t xml:space="preserve"> er vedtaget</w:t>
      </w:r>
      <w:r w:rsidR="005F4FE0">
        <w:t xml:space="preserve">, hvorfor det på nuværende tidspunkt </w:t>
      </w:r>
      <w:r w:rsidR="004A0BBD">
        <w:t>ikke er muligt at</w:t>
      </w:r>
      <w:r w:rsidR="00F0770A">
        <w:t xml:space="preserve"> </w:t>
      </w:r>
      <w:r w:rsidR="00BD25D9">
        <w:t xml:space="preserve">redegøre for </w:t>
      </w:r>
      <w:r w:rsidR="00F0770A">
        <w:t xml:space="preserve">Danmarks </w:t>
      </w:r>
      <w:r w:rsidR="00BD25D9">
        <w:t>reduktionsindsats under</w:t>
      </w:r>
      <w:r w:rsidR="00F0770A">
        <w:t xml:space="preserve"> </w:t>
      </w:r>
      <w:r w:rsidR="00AE5399">
        <w:t>Parisaftalen</w:t>
      </w:r>
      <w:r w:rsidR="00F0770A">
        <w:t>.</w:t>
      </w:r>
      <w:r w:rsidR="001C1D0A" w:rsidDel="001C1D0A">
        <w:t xml:space="preserve"> </w:t>
      </w:r>
    </w:p>
    <w:p w14:paraId="4831E074" w14:textId="77777777" w:rsidR="00A76341" w:rsidRDefault="00A76341" w:rsidP="00D27742"/>
    <w:p w14:paraId="3C7C8B45" w14:textId="77777777" w:rsidR="003A2966" w:rsidRDefault="00F55A13" w:rsidP="00D27742">
      <w:r w:rsidRPr="00F55A13">
        <w:t>Kommissionen fremlagde d. 15. juli 2015 forslag til revision af kvotehandelsdirektivet, der skal udmønte EU’s klimaindsats inden for kvotehandelssystemet i perioden 2021-2030. Forslaget behandles i øjeblikket i den almindelige lovgivningsprocedure.</w:t>
      </w:r>
      <w:r>
        <w:t xml:space="preserve"> </w:t>
      </w:r>
      <w:r w:rsidR="001C1D0A">
        <w:t>[</w:t>
      </w:r>
      <w:r w:rsidR="003A2966">
        <w:t xml:space="preserve">Europa-Kommissionen har den 20. juli 2016 fremlagt forslag til </w:t>
      </w:r>
      <w:r w:rsidR="00FA4C67">
        <w:t xml:space="preserve">en </w:t>
      </w:r>
      <w:r w:rsidR="003A2966">
        <w:rPr>
          <w:spacing w:val="6"/>
          <w:szCs w:val="20"/>
        </w:rPr>
        <w:t>byrdefordeling</w:t>
      </w:r>
      <w:r w:rsidR="00FA4C67">
        <w:rPr>
          <w:spacing w:val="6"/>
          <w:szCs w:val="20"/>
        </w:rPr>
        <w:t>saftale</w:t>
      </w:r>
      <w:r w:rsidR="00567BD0">
        <w:rPr>
          <w:spacing w:val="6"/>
          <w:szCs w:val="20"/>
        </w:rPr>
        <w:t xml:space="preserve"> mellem medlemslandene for EU’s </w:t>
      </w:r>
      <w:r w:rsidR="003A2966">
        <w:rPr>
          <w:spacing w:val="6"/>
          <w:szCs w:val="20"/>
        </w:rPr>
        <w:t xml:space="preserve">reduktionsindsats i de ikke-kvotebelagte sektorer </w:t>
      </w:r>
      <w:r w:rsidR="003A2966" w:rsidRPr="004110A8">
        <w:t xml:space="preserve">samt </w:t>
      </w:r>
      <w:r w:rsidR="003A2966">
        <w:t xml:space="preserve">forslag til </w:t>
      </w:r>
      <w:r w:rsidR="003A2966" w:rsidRPr="004110A8">
        <w:t xml:space="preserve">integration af udledninger og optag </w:t>
      </w:r>
      <w:r w:rsidR="003A2966">
        <w:t xml:space="preserve">af drivhusgasser </w:t>
      </w:r>
      <w:r w:rsidR="003A2966" w:rsidRPr="004110A8">
        <w:t>fra skov</w:t>
      </w:r>
      <w:r w:rsidR="003A2966">
        <w:t>e og jorde</w:t>
      </w:r>
      <w:r w:rsidR="001C1D0A">
        <w:t>]</w:t>
      </w:r>
      <w:r w:rsidR="003A2966">
        <w:t xml:space="preserve">. </w:t>
      </w:r>
      <w:r w:rsidR="003A2966" w:rsidRPr="005A65A1">
        <w:t>Forhandlingerne om byrdefordelingen ventes påbegyndt i EU i andet halvår af 2016</w:t>
      </w:r>
      <w:r w:rsidR="003A2966">
        <w:t xml:space="preserve">. </w:t>
      </w:r>
      <w:r w:rsidR="003A2966" w:rsidRPr="00F17351">
        <w:t xml:space="preserve">Folketinget vil blive inddraget </w:t>
      </w:r>
      <w:r w:rsidR="00F76439">
        <w:t xml:space="preserve">i fastlæggelse af den danske position til disse forslag </w:t>
      </w:r>
      <w:r w:rsidR="003A2966" w:rsidRPr="00F17351">
        <w:t>via</w:t>
      </w:r>
      <w:r w:rsidR="00F76439">
        <w:t xml:space="preserve"> den nationale </w:t>
      </w:r>
      <w:r w:rsidR="003A2966" w:rsidRPr="00F17351">
        <w:t>EU-</w:t>
      </w:r>
      <w:r w:rsidR="00F76439">
        <w:t>beslutnings</w:t>
      </w:r>
      <w:r w:rsidR="003A2966" w:rsidRPr="00F17351">
        <w:t>procedure</w:t>
      </w:r>
      <w:r w:rsidR="003A2966">
        <w:t>.</w:t>
      </w:r>
    </w:p>
    <w:p w14:paraId="10F7BAB3" w14:textId="77777777" w:rsidR="003A2966" w:rsidRDefault="003A2966" w:rsidP="00D27742"/>
    <w:p w14:paraId="0AC21655" w14:textId="77777777" w:rsidR="004B6FC2" w:rsidRDefault="004D79EB" w:rsidP="00D27742">
      <w:r>
        <w:t>D</w:t>
      </w:r>
      <w:r w:rsidR="00AE5399">
        <w:t>et bemær</w:t>
      </w:r>
      <w:r w:rsidR="00AE5399" w:rsidRPr="005A65A1">
        <w:t>kes</w:t>
      </w:r>
      <w:r w:rsidR="00BD25D9">
        <w:t xml:space="preserve"> endvidere</w:t>
      </w:r>
      <w:r w:rsidR="00AE5399" w:rsidRPr="005A65A1">
        <w:t xml:space="preserve">, at </w:t>
      </w:r>
      <w:r w:rsidR="00AE5399">
        <w:t>NDC’erne</w:t>
      </w:r>
      <w:r w:rsidR="00354161">
        <w:t>,</w:t>
      </w:r>
      <w:r w:rsidR="00AE5399">
        <w:t xml:space="preserve"> som indmeldes</w:t>
      </w:r>
      <w:r>
        <w:t xml:space="preserve"> hvert femte år</w:t>
      </w:r>
      <w:r w:rsidR="00AE5399">
        <w:t xml:space="preserve"> i medfør af Parisaftalen</w:t>
      </w:r>
      <w:r>
        <w:t xml:space="preserve"> (første gang i 2015, næste gang i 2020)</w:t>
      </w:r>
      <w:r w:rsidR="00354161">
        <w:t>,</w:t>
      </w:r>
      <w:r w:rsidR="00AE5399">
        <w:t xml:space="preserve"> </w:t>
      </w:r>
      <w:r w:rsidR="00AE5399" w:rsidRPr="005A65A1">
        <w:t>ikke er indeholdt i selve Parisaftalen</w:t>
      </w:r>
      <w:r w:rsidR="00AE5399">
        <w:t xml:space="preserve"> men kommer til at fremgå af et særskilt register</w:t>
      </w:r>
      <w:r w:rsidR="0023788F">
        <w:t>,</w:t>
      </w:r>
      <w:r w:rsidR="002827A1">
        <w:t xml:space="preserve"> </w:t>
      </w:r>
      <w:r w:rsidR="0023788F">
        <w:t xml:space="preserve">der ikke </w:t>
      </w:r>
      <w:r>
        <w:t xml:space="preserve">har en </w:t>
      </w:r>
      <w:r w:rsidR="0023788F">
        <w:t>juridisk bindende</w:t>
      </w:r>
      <w:r>
        <w:t xml:space="preserve"> karakter</w:t>
      </w:r>
      <w:r w:rsidR="00AE5399" w:rsidRPr="005A65A1">
        <w:t>.</w:t>
      </w:r>
      <w:r w:rsidR="0023788F">
        <w:t xml:space="preserve"> Parisaftalen indeholder </w:t>
      </w:r>
      <w:r>
        <w:t xml:space="preserve">således heller ikke EU’s reduktionsbidrag, og </w:t>
      </w:r>
      <w:r w:rsidR="00AE5399">
        <w:t>Danmarks r</w:t>
      </w:r>
      <w:r w:rsidR="00AE5399" w:rsidRPr="005A65A1">
        <w:t>atifikation af Parisaftalen</w:t>
      </w:r>
      <w:r w:rsidR="0023788F">
        <w:t xml:space="preserve"> omfatte</w:t>
      </w:r>
      <w:r>
        <w:t>r derfor ikke i sig selv EU’s eller</w:t>
      </w:r>
      <w:r w:rsidR="00AE5399">
        <w:t xml:space="preserve"> </w:t>
      </w:r>
      <w:r w:rsidR="00212AAB">
        <w:t>Danmarks</w:t>
      </w:r>
      <w:r w:rsidR="00212AAB" w:rsidRPr="005A65A1">
        <w:t xml:space="preserve"> </w:t>
      </w:r>
      <w:r w:rsidR="00A03767">
        <w:t>reduktionsbidrag</w:t>
      </w:r>
      <w:r w:rsidR="00AE5399" w:rsidRPr="005A65A1">
        <w:t>.</w:t>
      </w:r>
      <w:r w:rsidR="00D71EA1">
        <w:t xml:space="preserve"> Derved adskiller Parisaftalen sig fra Kyotoprotokollen</w:t>
      </w:r>
      <w:r w:rsidR="0023788F">
        <w:t xml:space="preserve">, </w:t>
      </w:r>
      <w:r w:rsidR="00D4319E">
        <w:t xml:space="preserve">hvor </w:t>
      </w:r>
      <w:r w:rsidR="005E3E05">
        <w:t xml:space="preserve">selve </w:t>
      </w:r>
      <w:r w:rsidR="00D4319E">
        <w:t xml:space="preserve">protokollen </w:t>
      </w:r>
      <w:r w:rsidR="00D82007">
        <w:t>omfattede et dansk reduktionsbidrag</w:t>
      </w:r>
      <w:r w:rsidR="00D71EA1">
        <w:t xml:space="preserve">. </w:t>
      </w:r>
    </w:p>
    <w:p w14:paraId="52DF8249" w14:textId="77777777" w:rsidR="004B6FC2" w:rsidRDefault="004B6FC2" w:rsidP="00D27742"/>
    <w:p w14:paraId="63960854" w14:textId="77777777" w:rsidR="00AE5399" w:rsidRDefault="00D71EA1" w:rsidP="00D27742">
      <w:r>
        <w:t>Parisaftalen adskiller sig ligeledes ved ikke at være en tidsbegrænset aftale</w:t>
      </w:r>
      <w:r w:rsidR="004B6FC2">
        <w:t>, som</w:t>
      </w:r>
      <w:r w:rsidR="00D4319E">
        <w:t xml:space="preserve"> det</w:t>
      </w:r>
      <w:r w:rsidR="004B6FC2">
        <w:t xml:space="preserve"> er tilfældet med Kyotoprotokollen</w:t>
      </w:r>
      <w:r>
        <w:t xml:space="preserve">. </w:t>
      </w:r>
      <w:r w:rsidR="00D4319E">
        <w:t>Under Parisaftalen er p</w:t>
      </w:r>
      <w:r>
        <w:t xml:space="preserve">arterne </w:t>
      </w:r>
      <w:r w:rsidR="00BE2337">
        <w:t>forpligtet til</w:t>
      </w:r>
      <w:r w:rsidR="00D4319E">
        <w:t xml:space="preserve"> fremadrettet</w:t>
      </w:r>
      <w:r w:rsidR="00BE2337">
        <w:t xml:space="preserve"> at</w:t>
      </w:r>
      <w:r w:rsidR="007E7EC7">
        <w:t xml:space="preserve"> </w:t>
      </w:r>
      <w:r>
        <w:t>indmelde en NDC hvert femte år</w:t>
      </w:r>
      <w:r w:rsidR="00BE2337">
        <w:t>. På denne baggrund er</w:t>
      </w:r>
      <w:r>
        <w:t xml:space="preserve"> det heller ikke muligt på forhånd fyldestgørende at beskrive Danmarks reduktionsindsats under Parisaftalen</w:t>
      </w:r>
      <w:r w:rsidR="00BE2337">
        <w:t>, da man</w:t>
      </w:r>
      <w:r w:rsidR="000219EB">
        <w:t xml:space="preserve"> </w:t>
      </w:r>
      <w:r w:rsidR="00BE2337">
        <w:t xml:space="preserve">på nuværende tidspunkt ikke kender </w:t>
      </w:r>
      <w:r w:rsidR="00FE07CC">
        <w:t>denne</w:t>
      </w:r>
      <w:r w:rsidR="00D4319E">
        <w:t xml:space="preserve"> for kommende perioder</w:t>
      </w:r>
      <w:r>
        <w:t xml:space="preserve">. </w:t>
      </w:r>
    </w:p>
    <w:p w14:paraId="0DCA683E" w14:textId="77777777" w:rsidR="00AE5399" w:rsidRDefault="00AE5399" w:rsidP="00D27742"/>
    <w:p w14:paraId="290DD151" w14:textId="77777777" w:rsidR="001524D0" w:rsidRDefault="00582A55" w:rsidP="00D27742">
      <w:r>
        <w:lastRenderedPageBreak/>
        <w:t xml:space="preserve">Det </w:t>
      </w:r>
      <w:r w:rsidR="00386095">
        <w:t>bemærkes, at i</w:t>
      </w:r>
      <w:r w:rsidR="00386095" w:rsidRPr="00EB3DB4">
        <w:t xml:space="preserve"> henhold til Parisaftalen</w:t>
      </w:r>
      <w:r w:rsidR="00386095">
        <w:t xml:space="preserve">s </w:t>
      </w:r>
      <w:r w:rsidR="00A82013">
        <w:t>a</w:t>
      </w:r>
      <w:r w:rsidR="00386095">
        <w:t>rtikel 4, stk. 16</w:t>
      </w:r>
      <w:r w:rsidR="004F788D">
        <w:t>,</w:t>
      </w:r>
      <w:r w:rsidR="00386095">
        <w:t xml:space="preserve"> er parter, </w:t>
      </w:r>
      <w:r w:rsidR="001524D0">
        <w:t xml:space="preserve">herunder regionale organisationer for økonomisk integration og dets medlemsstater, </w:t>
      </w:r>
      <w:r w:rsidR="00386095">
        <w:t>der vil opfylde deres forpligtigelser</w:t>
      </w:r>
      <w:r w:rsidR="00386095" w:rsidRPr="00EB3DB4">
        <w:t xml:space="preserve"> </w:t>
      </w:r>
      <w:r w:rsidR="00386095">
        <w:t>u</w:t>
      </w:r>
      <w:r w:rsidR="002B7819">
        <w:t>nder Parisaftalen i fællesskab,</w:t>
      </w:r>
      <w:r w:rsidR="001524D0">
        <w:t xml:space="preserve"> </w:t>
      </w:r>
      <w:r w:rsidR="00386095">
        <w:t xml:space="preserve">forpligtiget til at </w:t>
      </w:r>
      <w:r w:rsidR="001524D0">
        <w:t xml:space="preserve">oplyse </w:t>
      </w:r>
      <w:r w:rsidR="00ED5234">
        <w:t>k</w:t>
      </w:r>
      <w:r w:rsidR="00386095">
        <w:t xml:space="preserve">limakonventionens sekretariat </w:t>
      </w:r>
      <w:r w:rsidR="00AD6126">
        <w:t xml:space="preserve">ved meddelelse af deres NDC </w:t>
      </w:r>
      <w:r w:rsidR="00386095">
        <w:t>omkring betingelserne herfor</w:t>
      </w:r>
      <w:r w:rsidR="00AD6126">
        <w:t>, herunder det emissionsnivea</w:t>
      </w:r>
      <w:r w:rsidR="003C062E">
        <w:t xml:space="preserve">u, som er gældende for hver </w:t>
      </w:r>
      <w:r w:rsidR="00AD6126">
        <w:t xml:space="preserve">part </w:t>
      </w:r>
      <w:r w:rsidR="003C062E">
        <w:t>inden for</w:t>
      </w:r>
      <w:r w:rsidR="00AD6126">
        <w:t xml:space="preserve"> den relevante periode</w:t>
      </w:r>
      <w:r w:rsidR="00386095" w:rsidRPr="00EB3DB4">
        <w:t>.</w:t>
      </w:r>
      <w:r w:rsidR="00AD6126">
        <w:t xml:space="preserve"> Hver part er ansvarlig for </w:t>
      </w:r>
      <w:r w:rsidR="003C062E">
        <w:t>sit</w:t>
      </w:r>
      <w:r w:rsidR="00AD6126">
        <w:t xml:space="preserve"> emissionsniveau, som </w:t>
      </w:r>
      <w:r w:rsidR="003C062E">
        <w:t xml:space="preserve">det </w:t>
      </w:r>
      <w:r w:rsidR="00AD6126">
        <w:t xml:space="preserve">fremgår af en sådan aftale. </w:t>
      </w:r>
      <w:r w:rsidR="00386095">
        <w:t>Det bemærkes i tillæg hertil</w:t>
      </w:r>
      <w:r w:rsidR="00AD6126" w:rsidRPr="00AD6126">
        <w:t xml:space="preserve"> </w:t>
      </w:r>
      <w:r w:rsidR="00AD6126">
        <w:t>i henhold til artikel 4, stk. 17</w:t>
      </w:r>
      <w:r w:rsidR="00386095">
        <w:t xml:space="preserve">, at såfremt </w:t>
      </w:r>
      <w:r w:rsidR="00386095" w:rsidRPr="00EB3DB4">
        <w:t>EU ikke samlet set opfylder si</w:t>
      </w:r>
      <w:r w:rsidR="00386095">
        <w:t>t reduktionsbidrag</w:t>
      </w:r>
      <w:r w:rsidR="00386095" w:rsidRPr="00EB3DB4">
        <w:t>, vil EU’s medlemsstater, herunder Danmark, stå individuelt til ansvar for at opfylde sin andel af EU-forpligtelsen</w:t>
      </w:r>
      <w:r w:rsidR="00386095">
        <w:t>, som de</w:t>
      </w:r>
      <w:r w:rsidR="00605296">
        <w:t>n</w:t>
      </w:r>
      <w:r w:rsidR="00386095" w:rsidRPr="00EB3DB4">
        <w:t xml:space="preserve"> er indmeldt til </w:t>
      </w:r>
      <w:r w:rsidR="00ED5234">
        <w:t>k</w:t>
      </w:r>
      <w:r w:rsidR="00386095">
        <w:t>limakonventionens sekretariat</w:t>
      </w:r>
      <w:r w:rsidR="00386095" w:rsidRPr="00EB3DB4">
        <w:t>. Skulle EU’s reduktions</w:t>
      </w:r>
      <w:r w:rsidR="00386095">
        <w:t xml:space="preserve">bidrag </w:t>
      </w:r>
      <w:r w:rsidR="00386095" w:rsidRPr="00EB3DB4">
        <w:t>falde væk</w:t>
      </w:r>
      <w:r w:rsidR="00D4319E">
        <w:t>, f.eks. fordi forudsætningerne for det europæiske samarbejde ændrer sig væsentligt</w:t>
      </w:r>
      <w:r w:rsidR="00386095" w:rsidRPr="00EB3DB4">
        <w:t xml:space="preserve">, vil Danmark </w:t>
      </w:r>
      <w:r w:rsidR="00B62E7A">
        <w:t xml:space="preserve">derfor </w:t>
      </w:r>
      <w:r w:rsidR="00386095" w:rsidRPr="00EB3DB4">
        <w:t>fortsat være folkeretligt bundet af forpligtelserne i Parisaftalen.</w:t>
      </w:r>
    </w:p>
    <w:p w14:paraId="1223CC26" w14:textId="77777777" w:rsidR="00386095" w:rsidRDefault="00386095" w:rsidP="00D27742"/>
    <w:p w14:paraId="025B785E" w14:textId="77777777" w:rsidR="003B4245" w:rsidRDefault="003B4245" w:rsidP="00D27742">
      <w:r>
        <w:t xml:space="preserve">I forhold til Parisaftalens bestemmelse om at tage højde for bekymringer hos parter, </w:t>
      </w:r>
      <w:r w:rsidR="001C4AF2">
        <w:t>hvis økonomier</w:t>
      </w:r>
      <w:r>
        <w:t xml:space="preserve"> er meget påvirket af effekten af klimatiltag (’</w:t>
      </w:r>
      <w:r w:rsidRPr="00612663">
        <w:rPr>
          <w:i/>
        </w:rPr>
        <w:t>response measures</w:t>
      </w:r>
      <w:r>
        <w:t>’) bemærkes det, at Danmark generelt i udviklingssamarbejdet og i bilaterale klimasamarbejder</w:t>
      </w:r>
      <w:r w:rsidR="00612663">
        <w:t xml:space="preserve"> </w:t>
      </w:r>
      <w:r>
        <w:t>understøtter partnerlande i at omstille deres økonomier til en udvikling med bæredygtig vækst (se også afsnit 4.3 nedenfor).</w:t>
      </w:r>
    </w:p>
    <w:p w14:paraId="0A256839" w14:textId="77777777" w:rsidR="000D337F" w:rsidRDefault="000D337F" w:rsidP="00D27742"/>
    <w:p w14:paraId="581BFD6B" w14:textId="28A4F862" w:rsidR="000D337F" w:rsidRDefault="000D337F" w:rsidP="000D337F">
      <w:r>
        <w:rPr>
          <w:iCs/>
        </w:rPr>
        <w:t>I forhold til Parisaftalens artikel 5</w:t>
      </w:r>
      <w:r w:rsidR="00582A55">
        <w:rPr>
          <w:iCs/>
        </w:rPr>
        <w:t xml:space="preserve">, som specifikt angår indsatsen for at </w:t>
      </w:r>
      <w:r w:rsidRPr="00430A82">
        <w:t>bevare</w:t>
      </w:r>
      <w:r w:rsidR="00582A55">
        <w:t xml:space="preserve"> og</w:t>
      </w:r>
      <w:r w:rsidRPr="00430A82">
        <w:t xml:space="preserve"> forøge optag</w:t>
      </w:r>
      <w:r w:rsidR="001C4AF2">
        <w:t xml:space="preserve"> og </w:t>
      </w:r>
      <w:r w:rsidR="00705956">
        <w:t xml:space="preserve">lagre </w:t>
      </w:r>
      <w:r>
        <w:t xml:space="preserve">af </w:t>
      </w:r>
      <w:r w:rsidRPr="00430A82">
        <w:t>drivhusgasser</w:t>
      </w:r>
      <w:r>
        <w:t xml:space="preserve"> i bl.a. skove og jord</w:t>
      </w:r>
      <w:r w:rsidR="00582A55">
        <w:t>e</w:t>
      </w:r>
      <w:r w:rsidR="00705956">
        <w:t>r</w:t>
      </w:r>
      <w:r w:rsidR="00605296">
        <w:t>,</w:t>
      </w:r>
      <w:r w:rsidR="00582A55">
        <w:t xml:space="preserve"> bemærkes, at der fra </w:t>
      </w:r>
      <w:r w:rsidR="00582A55" w:rsidRPr="000D337F">
        <w:rPr>
          <w:iCs/>
        </w:rPr>
        <w:t>dansk side</w:t>
      </w:r>
      <w:r w:rsidR="00582A55">
        <w:rPr>
          <w:iCs/>
        </w:rPr>
        <w:t xml:space="preserve"> er</w:t>
      </w:r>
      <w:r w:rsidR="00582A55" w:rsidRPr="000D337F">
        <w:rPr>
          <w:iCs/>
        </w:rPr>
        <w:t xml:space="preserve"> iværksat flere indsatser, som bidrager til at øge kulstofbindingen i danske landbrugsjorde</w:t>
      </w:r>
      <w:r w:rsidR="00705956">
        <w:rPr>
          <w:iCs/>
        </w:rPr>
        <w:t>r</w:t>
      </w:r>
      <w:r w:rsidR="00582A55" w:rsidRPr="000D337F">
        <w:rPr>
          <w:iCs/>
        </w:rPr>
        <w:t>. Indsatserne dækker over en tilskudsordning til udtagning af kulstofrige lavbundsjorder, de såkaldte organogene jorde</w:t>
      </w:r>
      <w:r w:rsidR="00605296">
        <w:rPr>
          <w:iCs/>
        </w:rPr>
        <w:t>,</w:t>
      </w:r>
      <w:r w:rsidR="00582A55" w:rsidRPr="000D337F">
        <w:rPr>
          <w:iCs/>
        </w:rPr>
        <w:t xml:space="preserve"> med mindst 12 % organisk kulstof. Endvidere </w:t>
      </w:r>
      <w:r w:rsidR="00605296">
        <w:rPr>
          <w:iCs/>
        </w:rPr>
        <w:t xml:space="preserve">dækker de over </w:t>
      </w:r>
      <w:r w:rsidR="00582A55" w:rsidRPr="000D337F">
        <w:rPr>
          <w:iCs/>
        </w:rPr>
        <w:t>en række forskellige krav om etablering af efterafgrøder, afgrøder der dyrkes efter en hovedafgrøde</w:t>
      </w:r>
      <w:r w:rsidR="00605296">
        <w:rPr>
          <w:iCs/>
        </w:rPr>
        <w:t xml:space="preserve"> (</w:t>
      </w:r>
      <w:r w:rsidR="00582A55" w:rsidRPr="000D337F">
        <w:rPr>
          <w:iCs/>
        </w:rPr>
        <w:t>oftest korn</w:t>
      </w:r>
      <w:r w:rsidR="00605296">
        <w:rPr>
          <w:iCs/>
        </w:rPr>
        <w:t>)</w:t>
      </w:r>
      <w:r w:rsidR="00582A55" w:rsidRPr="000D337F">
        <w:rPr>
          <w:iCs/>
        </w:rPr>
        <w:t xml:space="preserve"> samt beslutningen fra Landbrugspakken fra februar 2016 om etablering af vådområder på landbrugsjord.</w:t>
      </w:r>
      <w:r w:rsidR="00582A55">
        <w:rPr>
          <w:iCs/>
        </w:rPr>
        <w:t xml:space="preserve"> </w:t>
      </w:r>
    </w:p>
    <w:p w14:paraId="4C712885" w14:textId="77777777" w:rsidR="00EF0957" w:rsidRPr="00582A55" w:rsidRDefault="00EF0957" w:rsidP="000D337F">
      <w:pPr>
        <w:rPr>
          <w:iCs/>
        </w:rPr>
      </w:pPr>
    </w:p>
    <w:p w14:paraId="44D5D0DF" w14:textId="0E26B2BC" w:rsidR="003B4245" w:rsidRDefault="009C39E9" w:rsidP="00D27742">
      <w:pPr>
        <w:rPr>
          <w:iCs/>
        </w:rPr>
      </w:pPr>
      <w:r>
        <w:rPr>
          <w:iCs/>
        </w:rPr>
        <w:t>Endvidere bidrager t</w:t>
      </w:r>
      <w:r w:rsidR="0058326D" w:rsidRPr="0058326D">
        <w:rPr>
          <w:iCs/>
        </w:rPr>
        <w:t xml:space="preserve">ilskud til privat skovrejsning og statslig skovrejsning til at øge kulstofoptaget i danske skove gennem udvidelse af skovarealet. I de eksisterende skove antages </w:t>
      </w:r>
      <w:r>
        <w:rPr>
          <w:iCs/>
        </w:rPr>
        <w:t xml:space="preserve">efterspørgslen efter </w:t>
      </w:r>
      <w:r w:rsidR="0058326D" w:rsidRPr="0058326D">
        <w:rPr>
          <w:iCs/>
        </w:rPr>
        <w:t xml:space="preserve">energitræ at stimulere investeringer i nye og mere produktive skovkulturer ved genplantning, hvilket også vil bidrage til øget </w:t>
      </w:r>
      <w:r w:rsidR="0058326D" w:rsidRPr="00EA5C84">
        <w:rPr>
          <w:iCs/>
        </w:rPr>
        <w:t>kulstofoptag</w:t>
      </w:r>
      <w:r w:rsidR="007679A9" w:rsidRPr="00EA5C84">
        <w:rPr>
          <w:iCs/>
        </w:rPr>
        <w:t xml:space="preserve"> </w:t>
      </w:r>
      <w:r w:rsidR="007679A9" w:rsidRPr="00B70DAA">
        <w:rPr>
          <w:iCs/>
        </w:rPr>
        <w:t xml:space="preserve">i </w:t>
      </w:r>
      <w:r w:rsidR="00BB35CC" w:rsidRPr="00B70DAA">
        <w:rPr>
          <w:iCs/>
        </w:rPr>
        <w:t>de nye bevo</w:t>
      </w:r>
      <w:r>
        <w:rPr>
          <w:iCs/>
        </w:rPr>
        <w:t>k</w:t>
      </w:r>
      <w:r w:rsidR="00BB35CC" w:rsidRPr="00B70DAA">
        <w:rPr>
          <w:iCs/>
        </w:rPr>
        <w:t>sninger</w:t>
      </w:r>
      <w:r w:rsidR="0058326D" w:rsidRPr="00B70DAA">
        <w:rPr>
          <w:iCs/>
        </w:rPr>
        <w:t>.</w:t>
      </w:r>
      <w:r w:rsidR="0058326D" w:rsidRPr="007679A9">
        <w:rPr>
          <w:b/>
          <w:iCs/>
        </w:rPr>
        <w:t xml:space="preserve"> </w:t>
      </w:r>
      <w:r w:rsidR="0058326D" w:rsidRPr="0058326D">
        <w:rPr>
          <w:iCs/>
        </w:rPr>
        <w:t xml:space="preserve">Dette marked kan </w:t>
      </w:r>
      <w:r>
        <w:rPr>
          <w:iCs/>
        </w:rPr>
        <w:t xml:space="preserve">dog </w:t>
      </w:r>
      <w:r w:rsidR="0058326D" w:rsidRPr="0058326D">
        <w:rPr>
          <w:iCs/>
        </w:rPr>
        <w:t>samtidig qua øget hugst bidrage til at reducere skovenes stående kulstoflager. Samlet set er dog også kulstoflageret i danske skove gennem de senere år steget, fordi hugsten, selvom den er steget, har været lavere end den løbende tilvækst. En skæv aldersklassefordeling med overvægt af især ældre løvtræ vil, hvis dette afvikles i tråd med hidtidig praksis, kunne medføre en nedgang i lageret på kortere sigt, hvilket er lagt til grund i Danmarks angivelse af referenceniveau for skovene frem mod 2020. Beslutningen fra Naturpakken om at udlægge arealer i eksisterende skov til urørt skov og anden biodiversitetsskov vil, alt efter den konkrete udmøntning, kunne medføre et øget kulstoflager i disse skove.</w:t>
      </w:r>
      <w:r w:rsidR="00A53D15">
        <w:rPr>
          <w:iCs/>
        </w:rPr>
        <w:t xml:space="preserve"> Det løbende nettooptag af kulstof i urørt skov kan derimod forventes at være faldende på længere sigt, da nettooptaget i gammel skov generelt er lavere end i yngre og mellemaldrende skov. </w:t>
      </w:r>
      <w:r w:rsidR="0058326D">
        <w:rPr>
          <w:iCs/>
        </w:rPr>
        <w:t xml:space="preserve">Miljø- og fødevareministeren forventer senere </w:t>
      </w:r>
      <w:r>
        <w:rPr>
          <w:iCs/>
        </w:rPr>
        <w:t>i 2016</w:t>
      </w:r>
      <w:r w:rsidR="0058326D">
        <w:rPr>
          <w:iCs/>
        </w:rPr>
        <w:t xml:space="preserve"> at kunne sende et udkast til nyt nationalt skovprogram</w:t>
      </w:r>
      <w:r w:rsidR="00E9011B">
        <w:rPr>
          <w:iCs/>
        </w:rPr>
        <w:t xml:space="preserve"> i høring.</w:t>
      </w:r>
      <w:r w:rsidR="00A26B5E">
        <w:rPr>
          <w:iCs/>
        </w:rPr>
        <w:t xml:space="preserve"> </w:t>
      </w:r>
      <w:r w:rsidR="00E9011B">
        <w:rPr>
          <w:iCs/>
        </w:rPr>
        <w:t xml:space="preserve">Skovprogrammet vil sætte rammer for en balanceret og bæredygtig udvikling af danske skove, herunder bidraget til at opfylde Parisaftalen. </w:t>
      </w:r>
    </w:p>
    <w:p w14:paraId="7DA3965B" w14:textId="77777777" w:rsidR="00B26F48" w:rsidRDefault="00B26F48" w:rsidP="00D27742"/>
    <w:p w14:paraId="59BAD1DA" w14:textId="77777777" w:rsidR="00514146" w:rsidRPr="000D337F" w:rsidRDefault="00514146" w:rsidP="00D27742">
      <w:pPr>
        <w:rPr>
          <w:i/>
        </w:rPr>
      </w:pPr>
      <w:r w:rsidRPr="000D337F">
        <w:rPr>
          <w:i/>
        </w:rPr>
        <w:lastRenderedPageBreak/>
        <w:t xml:space="preserve">4.2 </w:t>
      </w:r>
      <w:r w:rsidR="00BD25D9" w:rsidRPr="000D337F">
        <w:rPr>
          <w:i/>
        </w:rPr>
        <w:t>Danmarks i</w:t>
      </w:r>
      <w:r w:rsidRPr="000D337F">
        <w:rPr>
          <w:i/>
        </w:rPr>
        <w:t>ndsats for at tilpasse sig klimaforandringerne</w:t>
      </w:r>
    </w:p>
    <w:p w14:paraId="6F11860A" w14:textId="77777777" w:rsidR="000C512D" w:rsidRDefault="000C512D" w:rsidP="00D27742">
      <w:r>
        <w:t xml:space="preserve">Siden 2012 er der foretaget en række initiativer samt ændringer i lovgrundlaget, der har sikret en aktiv dansk klimatilpasningsindsats. I aftalen om kommunernes økonomi for 2013 blev det besluttet, at kommunerne skulle udarbejde klimatilpasningsplaner, der indeholdt en kortlægning af områder i risiko for oversvømmelse. Derudover blev der udarbejdet en national </w:t>
      </w:r>
      <w:r w:rsidR="00F6476C">
        <w:t>’</w:t>
      </w:r>
      <w:r>
        <w:t>Handleplan for klimasikring af Danmark</w:t>
      </w:r>
      <w:r w:rsidR="00F6476C">
        <w:t>’</w:t>
      </w:r>
      <w:r>
        <w:t xml:space="preserve"> samt foretaget en ændring af planloven, så kommunerne nu kan indarbejde klimatilpasningstiltag direkte i lokalplanlægningen. Endvidere er der skabt basis for, at spildevandsforsyningsselskaberne kan medfinansiere klimatilpasningsprojekter med overfladeløsninger i vandløb, veje og rekreative arealer. Staten har stillet viden og data til rådighed for kommunerne til deres udarbejdelse af klimatilpasningsplaner på</w:t>
      </w:r>
      <w:r w:rsidR="001D495C">
        <w:t xml:space="preserve"> </w:t>
      </w:r>
      <w:r>
        <w:t xml:space="preserve">www.klimatilpasning.dk. For at understøtte kommunernes arbejde tog et statsligt rejsehold for klimatilpasning rundt til landets kommuner for at vejlede i udarbejdelsen af klimatilpasningsplaner. Endelig har Danmark implementeret første planperiode af EU’s oversvømmelsesdirektiv, hvor </w:t>
      </w:r>
      <w:r w:rsidR="00CA709B">
        <w:t>ti</w:t>
      </w:r>
      <w:r>
        <w:t xml:space="preserve"> områder, omfattende 22 kommuner, har udarbejdet risikostyringsplaner for særligt oversvømmelsesudsatte områder fra havet og vandløb, samt rettidigt igangsat 2. planperiode. Ved udgangen af 2016 vil en ny hydrologisk tilpasset højdemodel være tilgængelig for kommunerne.</w:t>
      </w:r>
    </w:p>
    <w:p w14:paraId="0E50126A" w14:textId="77777777" w:rsidR="000C512D" w:rsidRDefault="000C512D" w:rsidP="00D27742"/>
    <w:p w14:paraId="30DF2BD3" w14:textId="77777777" w:rsidR="00514146" w:rsidRPr="000D337F" w:rsidRDefault="00514146" w:rsidP="00D27742">
      <w:pPr>
        <w:rPr>
          <w:i/>
        </w:rPr>
      </w:pPr>
      <w:r w:rsidRPr="000D337F">
        <w:rPr>
          <w:i/>
        </w:rPr>
        <w:t>4.3 Danmarks bidrag til klimafinansiering, teknologioverførsel og kapacitetsopbygning</w:t>
      </w:r>
    </w:p>
    <w:p w14:paraId="481B1075" w14:textId="0BF4958C" w:rsidR="00FB05F2" w:rsidRDefault="00FB05F2" w:rsidP="00D27742">
      <w:r>
        <w:t>Med Parisaftalen vil Danmark fortsætte med at yde støtte</w:t>
      </w:r>
      <w:r w:rsidR="00921E3F">
        <w:t xml:space="preserve"> via udviklingsbistanden</w:t>
      </w:r>
      <w:r>
        <w:t xml:space="preserve"> til udviklingslandes klimaindsats både gennem </w:t>
      </w:r>
      <w:r w:rsidR="00921E3F">
        <w:t xml:space="preserve">den </w:t>
      </w:r>
      <w:r>
        <w:t xml:space="preserve">bilaterale </w:t>
      </w:r>
      <w:r w:rsidR="00921E3F">
        <w:t xml:space="preserve">bistand </w:t>
      </w:r>
      <w:r>
        <w:t xml:space="preserve">og via </w:t>
      </w:r>
      <w:r w:rsidR="00921E3F">
        <w:t xml:space="preserve">multilaterale </w:t>
      </w:r>
      <w:r>
        <w:t xml:space="preserve">kanaler som for eksempel </w:t>
      </w:r>
      <w:r w:rsidR="00925132">
        <w:t>D</w:t>
      </w:r>
      <w:r>
        <w:t>en Grønne Klimafond</w:t>
      </w:r>
      <w:r w:rsidR="00AD473B">
        <w:t>,</w:t>
      </w:r>
      <w:r>
        <w:t xml:space="preserve"> som Danmark støtte</w:t>
      </w:r>
      <w:r w:rsidR="00131C86">
        <w:t>r</w:t>
      </w:r>
      <w:r>
        <w:t xml:space="preserve"> med </w:t>
      </w:r>
      <w:r w:rsidR="001C3C35">
        <w:t>4</w:t>
      </w:r>
      <w:r>
        <w:t>00 mio.</w:t>
      </w:r>
      <w:r w:rsidR="00925132">
        <w:t xml:space="preserve"> DKK</w:t>
      </w:r>
      <w:r w:rsidR="00131C86">
        <w:t xml:space="preserve"> (tilsagn givet i 2014)</w:t>
      </w:r>
      <w:r w:rsidR="00567D62">
        <w:t>,</w:t>
      </w:r>
      <w:r w:rsidR="00C47C3C">
        <w:t xml:space="preserve"> </w:t>
      </w:r>
      <w:r w:rsidR="00925132">
        <w:t>og Den Globale Miljøfacilitet (GEF)</w:t>
      </w:r>
      <w:r w:rsidR="006D3FBC">
        <w:t>, som Danmark støtte</w:t>
      </w:r>
      <w:r w:rsidR="001D495C">
        <w:t>r</w:t>
      </w:r>
      <w:r w:rsidR="006D3FBC">
        <w:t xml:space="preserve"> med</w:t>
      </w:r>
      <w:r w:rsidR="00E22CA9">
        <w:t xml:space="preserve"> 435 mio. DKK </w:t>
      </w:r>
      <w:r w:rsidR="00131C86">
        <w:t>(tilsagn givet i 2014)</w:t>
      </w:r>
      <w:r w:rsidR="00816C90">
        <w:t>.</w:t>
      </w:r>
    </w:p>
    <w:p w14:paraId="51533BA2" w14:textId="77777777" w:rsidR="00FB05F2" w:rsidRDefault="00FB05F2" w:rsidP="00D27742"/>
    <w:p w14:paraId="01239B9C" w14:textId="08271833" w:rsidR="003C48F8" w:rsidRPr="003C48F8" w:rsidRDefault="00FB05F2" w:rsidP="003C48F8">
      <w:r>
        <w:t xml:space="preserve">Den øremærkede </w:t>
      </w:r>
      <w:r w:rsidR="003C0500">
        <w:t xml:space="preserve">danske </w:t>
      </w:r>
      <w:r>
        <w:t>klimafinansiering kanaliseres via Klimapuljen</w:t>
      </w:r>
      <w:r w:rsidR="003C0500">
        <w:t xml:space="preserve">. Klimapuljen </w:t>
      </w:r>
      <w:r w:rsidR="00816C90" w:rsidRPr="00E6065D">
        <w:t>udmøntes af Udenrigsministeriet og Energi-, Forsynings- og Klimaministeriet i samarbejde</w:t>
      </w:r>
      <w:r w:rsidR="003C0500">
        <w:t xml:space="preserve"> og administreres som en integreret del af dansk udviklingsbistand</w:t>
      </w:r>
      <w:r w:rsidR="00816C90" w:rsidRPr="00E6065D">
        <w:t xml:space="preserve">. </w:t>
      </w:r>
      <w:r w:rsidR="003C0500">
        <w:t>P</w:t>
      </w:r>
      <w:r w:rsidR="003C48F8" w:rsidRPr="003C48F8">
        <w:t xml:space="preserve">uljen anvendes til bi- og multilaterale indsatser med fokus på at understøtte udviklingslandenes indsats </w:t>
      </w:r>
      <w:r w:rsidR="003C0500">
        <w:t>i forhold til</w:t>
      </w:r>
      <w:r w:rsidR="003C48F8" w:rsidRPr="003C48F8">
        <w:t xml:space="preserve">: 1) tilpasning til klimaændringer, 2) omstilling til lavemission og 3) </w:t>
      </w:r>
      <w:r w:rsidR="003C0500">
        <w:t>implementering af den globale klimaaftale</w:t>
      </w:r>
      <w:r w:rsidR="003C48F8" w:rsidRPr="003C48F8">
        <w:t xml:space="preserve">. </w:t>
      </w:r>
    </w:p>
    <w:p w14:paraId="4E155669" w14:textId="77777777" w:rsidR="003C48F8" w:rsidRDefault="003C48F8" w:rsidP="00D27742"/>
    <w:p w14:paraId="23A0D077" w14:textId="11A9BE8A" w:rsidR="00A903CF" w:rsidRDefault="00A903CF" w:rsidP="00D27742">
      <w:r w:rsidRPr="00A903CF">
        <w:t>Et sæt strategiske principper guider</w:t>
      </w:r>
      <w:r w:rsidR="00075EEE">
        <w:t xml:space="preserve"> udmøntningen af Klimapuljen</w:t>
      </w:r>
      <w:r w:rsidR="003C0500">
        <w:t>. Der</w:t>
      </w:r>
      <w:r w:rsidRPr="00A903CF">
        <w:t xml:space="preserve"> gives særligt prioritet til: 1) Projekter inden for områder, hvor Danmark har spidskompetencer og kan stille viden og erfaring til rådighed - dette gælder særligt for energi- og vandområdet, 2) Projekter der kan bane vejen for private investeringer i klimaprojekter, herunder ved at reducere risici og skabe incitamenter for private investorer, 3) Projekter hvor mulighederne er størst for at opnå varige ændringer i policy-rammeværk, markeder eller finansieringsstrømme førende til CO</w:t>
      </w:r>
      <w:r w:rsidRPr="00A903CF">
        <w:rPr>
          <w:vertAlign w:val="subscript"/>
        </w:rPr>
        <w:t>2</w:t>
      </w:r>
      <w:r w:rsidRPr="00A903CF">
        <w:t>-reduk</w:t>
      </w:r>
      <w:r w:rsidR="0082439D">
        <w:t>t</w:t>
      </w:r>
      <w:r w:rsidRPr="00A903CF">
        <w:t>ioner eller forbedret klimatilpasning.</w:t>
      </w:r>
    </w:p>
    <w:p w14:paraId="6B6A2DC2" w14:textId="77777777" w:rsidR="00E1296B" w:rsidRDefault="00E1296B" w:rsidP="00D27742"/>
    <w:p w14:paraId="636A6515" w14:textId="3E0A71B9" w:rsidR="00FB05F2" w:rsidRPr="000112E1" w:rsidRDefault="00FB05F2" w:rsidP="00D27742">
      <w:r>
        <w:t>Dansk klimafinansiering omfatter også aktiviteter uden for Klimapuljen, idet en række initiativer under udviklingsbistanden også har klimarelevans</w:t>
      </w:r>
      <w:r w:rsidR="00C37BFC">
        <w:t xml:space="preserve"> og rapporteres helt eller delvist som sådan</w:t>
      </w:r>
      <w:r w:rsidR="007E0080">
        <w:t xml:space="preserve">. Blandt eksemplerne på denne såkaldte </w:t>
      </w:r>
      <w:r w:rsidR="007E0080" w:rsidRPr="00B6321E">
        <w:rPr>
          <w:i/>
        </w:rPr>
        <w:t>’mainstreaming’</w:t>
      </w:r>
      <w:r w:rsidR="00B6321E">
        <w:t xml:space="preserve"> </w:t>
      </w:r>
      <w:r w:rsidR="007E0080" w:rsidRPr="003F4B08">
        <w:t>af klimahensyn</w:t>
      </w:r>
      <w:r w:rsidR="007E0080">
        <w:t xml:space="preserve"> i udviklingsbistanden er</w:t>
      </w:r>
      <w:r w:rsidR="00A907A5">
        <w:t xml:space="preserve"> </w:t>
      </w:r>
      <w:r>
        <w:lastRenderedPageBreak/>
        <w:t xml:space="preserve">dansk støtte til </w:t>
      </w:r>
      <w:r w:rsidR="007E0080">
        <w:t xml:space="preserve">Den Afrikanske Udviklingsbanks </w:t>
      </w:r>
      <w:r w:rsidR="007E0080" w:rsidRPr="003F4B08">
        <w:rPr>
          <w:i/>
        </w:rPr>
        <w:t>African Renewable Energy Fun</w:t>
      </w:r>
      <w:r w:rsidR="007E0080">
        <w:rPr>
          <w:i/>
        </w:rPr>
        <w:t>d</w:t>
      </w:r>
      <w:r w:rsidR="00C37BFC">
        <w:rPr>
          <w:i/>
        </w:rPr>
        <w:t xml:space="preserve"> </w:t>
      </w:r>
      <w:r w:rsidR="00C37BFC" w:rsidRPr="00B26F48">
        <w:t>eller</w:t>
      </w:r>
      <w:r w:rsidR="002F7629">
        <w:t xml:space="preserve"> </w:t>
      </w:r>
      <w:r w:rsidR="00A960CF">
        <w:t>G</w:t>
      </w:r>
      <w:r w:rsidR="00C37BFC">
        <w:t xml:space="preserve">røn </w:t>
      </w:r>
      <w:r w:rsidR="00A960CF">
        <w:t>V</w:t>
      </w:r>
      <w:r w:rsidR="00C37BFC">
        <w:t xml:space="preserve">ækst </w:t>
      </w:r>
      <w:r w:rsidR="00A960CF">
        <w:t>P</w:t>
      </w:r>
      <w:r w:rsidR="00C37BFC">
        <w:t>rogrammet i Kenya</w:t>
      </w:r>
      <w:r w:rsidR="007E0080">
        <w:rPr>
          <w:i/>
        </w:rPr>
        <w:t>.</w:t>
      </w:r>
      <w:r w:rsidR="00C37BFC">
        <w:rPr>
          <w:i/>
        </w:rPr>
        <w:t xml:space="preserve"> </w:t>
      </w:r>
    </w:p>
    <w:p w14:paraId="03B4CF58" w14:textId="77777777" w:rsidR="00FB05F2" w:rsidRDefault="00FB05F2" w:rsidP="00D27742"/>
    <w:p w14:paraId="4A8307FC" w14:textId="77777777" w:rsidR="00FB05F2" w:rsidRDefault="00FB05F2" w:rsidP="00D27742">
      <w:r>
        <w:t xml:space="preserve">Danmarks klimafinansiering fokuserer på at understøtte forbedrede rammebetingelser for klimavenlige investeringer i udviklingslandene samt målrettede finansielle instrumenter rettet mod barrierer og risici, der begrænser disse investeringer. Et konkret eksempel på denne type offentlig-privat partnerskab er Klimainvesteringsfonden. I lyset af de store investeringsbehov i udviklingslandene, der følger af Parisaftalens målsætninger om emissionsreduktion og </w:t>
      </w:r>
      <w:r w:rsidR="001241A4">
        <w:t>klima</w:t>
      </w:r>
      <w:r>
        <w:t>tilpasning</w:t>
      </w:r>
      <w:r w:rsidR="001241A4">
        <w:t>,</w:t>
      </w:r>
      <w:r>
        <w:t xml:space="preserve"> vil den danske </w:t>
      </w:r>
      <w:r w:rsidR="001241A4">
        <w:t xml:space="preserve">støtte i form af </w:t>
      </w:r>
      <w:r>
        <w:t>finansiering, teknologi og kapacitetsopbygning i endnu højere grad skulle fokuseres på mobilisering af private investeringer fra både lokale og internationale kilder, herunder fra institutionelle investorer. Dette er i overensstemmelse med Parisaftalens målsætning om at gøre finansieringsstrømmene konsistente med omstillingen til lavemission og modstandsdygtighed.</w:t>
      </w:r>
    </w:p>
    <w:p w14:paraId="1FD61E0C" w14:textId="77777777" w:rsidR="00FB05F2" w:rsidRDefault="00FB05F2" w:rsidP="00D27742"/>
    <w:p w14:paraId="744B817B" w14:textId="695BE8E9" w:rsidR="00FB05F2" w:rsidRDefault="00FB05F2" w:rsidP="00D27742">
      <w:r>
        <w:t xml:space="preserve">Dansk støtte til teknologiudvikling og </w:t>
      </w:r>
      <w:r w:rsidR="00F06269">
        <w:t>-</w:t>
      </w:r>
      <w:r>
        <w:t>overførsel omfatter et bredt spektrum af aktiviteter</w:t>
      </w:r>
      <w:r w:rsidR="00816C90">
        <w:t xml:space="preserve">, der er en integreret del af en række både bi- og multilaterale indsatser og som omfatter </w:t>
      </w:r>
      <w:r>
        <w:t xml:space="preserve">både </w:t>
      </w:r>
      <w:r w:rsidR="00816C90">
        <w:t xml:space="preserve">det fysiske udstyr og </w:t>
      </w:r>
      <w:r w:rsidR="00F6476C">
        <w:t>’</w:t>
      </w:r>
      <w:r w:rsidR="00816C90">
        <w:t>blødere</w:t>
      </w:r>
      <w:r w:rsidR="00F6476C">
        <w:t>’</w:t>
      </w:r>
      <w:r w:rsidR="00816C90">
        <w:t xml:space="preserve"> elementer som planlægning og kapacitetsopbygning</w:t>
      </w:r>
      <w:r>
        <w:t xml:space="preserve">. </w:t>
      </w:r>
      <w:r w:rsidR="005D464D">
        <w:t>Aktiviteterne</w:t>
      </w:r>
      <w:r>
        <w:t xml:space="preserve"> omfatter også offentlig-private initiativer som</w:t>
      </w:r>
      <w:r w:rsidR="00441A35">
        <w:t xml:space="preserve"> </w:t>
      </w:r>
      <w:r w:rsidR="00F6476C" w:rsidRPr="006B24F4">
        <w:rPr>
          <w:i/>
        </w:rPr>
        <w:t>’</w:t>
      </w:r>
      <w:r w:rsidRPr="006B24F4">
        <w:rPr>
          <w:i/>
        </w:rPr>
        <w:t>Mission Innovation</w:t>
      </w:r>
      <w:r w:rsidR="00F6476C" w:rsidRPr="006B24F4">
        <w:rPr>
          <w:i/>
        </w:rPr>
        <w:t>’</w:t>
      </w:r>
      <w:r w:rsidR="0055601A">
        <w:t>, der blev lanceret under COP21 i Paris</w:t>
      </w:r>
      <w:r>
        <w:t>. Ud</w:t>
      </w:r>
      <w:r w:rsidR="001241A4">
        <w:t xml:space="preserve"> </w:t>
      </w:r>
      <w:r>
        <w:t>over teknologielementerne i disse i</w:t>
      </w:r>
      <w:r w:rsidR="005D464D">
        <w:t>nitiativer</w:t>
      </w:r>
      <w:r>
        <w:t xml:space="preserve"> støtter Danmark også målrettet teknologiarbejdet i </w:t>
      </w:r>
      <w:r w:rsidR="001241A4">
        <w:t xml:space="preserve">regi af klimakonventionen </w:t>
      </w:r>
      <w:r w:rsidR="005D464D">
        <w:t>via</w:t>
      </w:r>
      <w:r>
        <w:t xml:space="preserve"> støtte til</w:t>
      </w:r>
      <w:r w:rsidR="001241A4">
        <w:t xml:space="preserve"> Klimateknologicenteret,</w:t>
      </w:r>
      <w:r>
        <w:t xml:space="preserve"> </w:t>
      </w:r>
      <w:r w:rsidR="00567D62">
        <w:t>(</w:t>
      </w:r>
      <w:r w:rsidR="00567D62">
        <w:rPr>
          <w:i/>
        </w:rPr>
        <w:t>’</w:t>
      </w:r>
      <w:r w:rsidRPr="00567D62">
        <w:rPr>
          <w:i/>
        </w:rPr>
        <w:t>Climate Technology Centre &amp; Network</w:t>
      </w:r>
      <w:r w:rsidR="00567D62">
        <w:rPr>
          <w:i/>
        </w:rPr>
        <w:t>’,</w:t>
      </w:r>
      <w:r w:rsidRPr="006B24F4">
        <w:rPr>
          <w:i/>
        </w:rPr>
        <w:t xml:space="preserve"> </w:t>
      </w:r>
      <w:r w:rsidRPr="00C47C3C">
        <w:t>CTCN</w:t>
      </w:r>
      <w:r w:rsidRPr="00567D62">
        <w:t>)</w:t>
      </w:r>
      <w:r w:rsidR="00AD473B">
        <w:t>,</w:t>
      </w:r>
      <w:r>
        <w:t xml:space="preserve"> </w:t>
      </w:r>
      <w:r w:rsidR="00AD473B">
        <w:t xml:space="preserve">der </w:t>
      </w:r>
      <w:r>
        <w:t xml:space="preserve">er placeret i FN-Byen i København. </w:t>
      </w:r>
    </w:p>
    <w:p w14:paraId="767846E9" w14:textId="77777777" w:rsidR="0082439D" w:rsidRDefault="0082439D" w:rsidP="00D27742"/>
    <w:p w14:paraId="0FB344B2" w14:textId="77777777" w:rsidR="00FB05F2" w:rsidRDefault="00FB05F2" w:rsidP="00D27742">
      <w:r>
        <w:t>Kapacitetsopbygning er ligeledes en integreret del af stort set alle de programmer og projekter, der støttes fra dansk side. Et eksempel herpå er det bilaterale samarbejde med udvalgte vækstøkonomier</w:t>
      </w:r>
      <w:r w:rsidR="00AD473B">
        <w:t>,</w:t>
      </w:r>
      <w:r>
        <w:t xml:space="preserve"> gennemført af Energistyrelsen med finansiering fra Klimapuljen, der fokuserer på at understøtte landenes energiomstilling</w:t>
      </w:r>
      <w:r w:rsidR="009A38A2">
        <w:t xml:space="preserve"> til lave</w:t>
      </w:r>
      <w:r w:rsidR="002609BD">
        <w:t>mission</w:t>
      </w:r>
      <w:r>
        <w:t xml:space="preserve"> gennem kapacitetsopbygning af myndigheder og andre aktører i partnerlandene med udgangspunkt i dansk ekspertise og styrkepositioner inden for vedvarende energi og energieffektivisering.</w:t>
      </w:r>
      <w:r w:rsidR="00D42356">
        <w:t xml:space="preserve"> Et andet eksempel er dansk støtte til Verdensbankens energisektorprogram ESMAP, der </w:t>
      </w:r>
      <w:r w:rsidR="000E2E19">
        <w:t>yder teknisk assistance til en lang række udviklingslande i forhold til at tilpasse lovgivning og skabe rammer for at sætte fart på brugen af vedvarende energiformer.</w:t>
      </w:r>
    </w:p>
    <w:p w14:paraId="6B5F21A0" w14:textId="77777777" w:rsidR="000E2E19" w:rsidRDefault="000E2E19" w:rsidP="00D27742"/>
    <w:p w14:paraId="662D7EDD" w14:textId="73BFF373" w:rsidR="00D56545" w:rsidRDefault="000E2E19" w:rsidP="00D27742">
      <w:r>
        <w:t>Danmark er også aktiv i forhold til tilpasningsdagsordenen, der vedrører landenes evne til at forberede sig på og tilpasse sig til effekterne af klimaforandringerne (havvandsstigning, ændrede nedbørsmønstre og mængde, forøget risiko for vejrrelaterede katastrofer etc</w:t>
      </w:r>
      <w:r w:rsidR="00B70DAA">
        <w:t>.</w:t>
      </w:r>
      <w:r w:rsidR="00D90966">
        <w:t>).</w:t>
      </w:r>
      <w:r w:rsidR="00412783">
        <w:t xml:space="preserve"> Tilpasningsdagsordenen adresserer også de bekymringer som rejses af udviklingslandene som </w:t>
      </w:r>
      <w:r w:rsidR="00B70DAA">
        <w:t>’</w:t>
      </w:r>
      <w:r w:rsidR="00412783" w:rsidRPr="00B26F48">
        <w:rPr>
          <w:i/>
        </w:rPr>
        <w:t>Loss and Damage</w:t>
      </w:r>
      <w:r w:rsidR="00B70DAA">
        <w:t>’</w:t>
      </w:r>
      <w:r w:rsidR="00412783">
        <w:t>.</w:t>
      </w:r>
      <w:r w:rsidR="00D90966">
        <w:t>). F.eks. støtter Danmark via organisationen IUCN (</w:t>
      </w:r>
      <w:r w:rsidR="00B70DAA">
        <w:t>’</w:t>
      </w:r>
      <w:r w:rsidR="00D90966" w:rsidRPr="00B26F48">
        <w:rPr>
          <w:i/>
        </w:rPr>
        <w:t>International Union for Conservation of Nature</w:t>
      </w:r>
      <w:r w:rsidR="00B70DAA">
        <w:t>’</w:t>
      </w:r>
      <w:r w:rsidR="00D90966">
        <w:t>) et projekt, der søger at fremme befolkninger</w:t>
      </w:r>
      <w:r w:rsidR="00CB5FCE">
        <w:t>s modstandsdygtighed over</w:t>
      </w:r>
      <w:r w:rsidR="00263808">
        <w:t xml:space="preserve"> </w:t>
      </w:r>
      <w:r w:rsidR="00CB5FCE">
        <w:t>for</w:t>
      </w:r>
      <w:r w:rsidR="00263808">
        <w:t xml:space="preserve"> </w:t>
      </w:r>
      <w:r w:rsidR="00D90966">
        <w:t xml:space="preserve">klimaforandringer i kystzoner i Sydøstasien ved at arbejde med forvaltning af såkaldte mangrover. </w:t>
      </w:r>
      <w:r w:rsidR="00C15E94">
        <w:rPr>
          <w:noProof/>
        </w:rPr>
        <w:t xml:space="preserve">Med dansk støtte </w:t>
      </w:r>
      <w:r w:rsidR="00C15E94" w:rsidRPr="002C39CF">
        <w:rPr>
          <w:noProof/>
        </w:rPr>
        <w:t xml:space="preserve">gennemfører IUCN </w:t>
      </w:r>
      <w:r w:rsidR="00C15E94">
        <w:rPr>
          <w:noProof/>
        </w:rPr>
        <w:t xml:space="preserve">ligeledes </w:t>
      </w:r>
      <w:r w:rsidR="00C15E94" w:rsidRPr="002C39CF">
        <w:rPr>
          <w:noProof/>
        </w:rPr>
        <w:t>et projekt med titlen ”pro-poor REDD”, der bl.a. retter sig mod at styrke lokal naturressourceforvaltning i udvalgte områder og sikre, at rettighedsaspekter indtænkes i planlægning og lovgivning</w:t>
      </w:r>
      <w:r w:rsidR="00C15E94">
        <w:rPr>
          <w:noProof/>
        </w:rPr>
        <w:t xml:space="preserve">. </w:t>
      </w:r>
    </w:p>
    <w:p w14:paraId="3B99E379" w14:textId="3D89AFE3" w:rsidR="000E2E19" w:rsidRDefault="00D90966" w:rsidP="00D27742">
      <w:r>
        <w:lastRenderedPageBreak/>
        <w:t>Endvidere støtter Danmark bæredygtig skovforvaltning via bilaterale programmer i Indonesien og Bolivia.</w:t>
      </w:r>
    </w:p>
    <w:p w14:paraId="3B3725D5" w14:textId="77777777" w:rsidR="001F53CA" w:rsidRDefault="001F53CA" w:rsidP="00D27742">
      <w:pPr>
        <w:rPr>
          <w:i/>
        </w:rPr>
      </w:pPr>
    </w:p>
    <w:p w14:paraId="2BAA62AD" w14:textId="77777777" w:rsidR="00514146" w:rsidRPr="000D337F" w:rsidRDefault="00083E8E" w:rsidP="00D27742">
      <w:pPr>
        <w:rPr>
          <w:i/>
        </w:rPr>
      </w:pPr>
      <w:r>
        <w:rPr>
          <w:i/>
        </w:rPr>
        <w:t>4.4 Indsatsen</w:t>
      </w:r>
      <w:r w:rsidRPr="00083E8E">
        <w:rPr>
          <w:i/>
        </w:rPr>
        <w:t xml:space="preserve"> for at fremme uddannelse og </w:t>
      </w:r>
      <w:r w:rsidR="001C4AF2">
        <w:rPr>
          <w:i/>
        </w:rPr>
        <w:t xml:space="preserve">folkeoplysning om </w:t>
      </w:r>
      <w:r w:rsidRPr="00083E8E">
        <w:rPr>
          <w:i/>
        </w:rPr>
        <w:t>klimaforandringerne</w:t>
      </w:r>
    </w:p>
    <w:p w14:paraId="42984FD4" w14:textId="77777777" w:rsidR="00DD3164" w:rsidRDefault="00A52D93" w:rsidP="00D27742">
      <w:r w:rsidRPr="00D27742">
        <w:t xml:space="preserve">Danmarks indsats </w:t>
      </w:r>
      <w:r w:rsidR="00CB5180" w:rsidRPr="00D27742">
        <w:t>for at fremme uddannelse</w:t>
      </w:r>
      <w:r w:rsidR="001C4AF2">
        <w:t xml:space="preserve"> og folkeoplysning om</w:t>
      </w:r>
      <w:r w:rsidR="00CB5180" w:rsidRPr="00D27742">
        <w:t xml:space="preserve"> klimaforandringerne </w:t>
      </w:r>
      <w:r w:rsidRPr="00D27742">
        <w:t>vil ligge i forlængelse af Danmarks løbende indsats i forbindelse med opfyldelse af klimakonvention</w:t>
      </w:r>
      <w:r w:rsidR="00CB5180" w:rsidRPr="00D27742">
        <w:t>en</w:t>
      </w:r>
      <w:r w:rsidRPr="00D27742">
        <w:t xml:space="preserve">s artikel 6. Danmark vil således fortsætte med at </w:t>
      </w:r>
      <w:r w:rsidR="00031C61" w:rsidRPr="00D27742">
        <w:t>fremme offentlighedens kendskab til</w:t>
      </w:r>
      <w:r w:rsidRPr="00D27742">
        <w:t xml:space="preserve"> de globale klimaforandringer og herunder informere, involvere og uddanne befolkningen i tiltag relateret til forebyggelse af og tilpasning til klimaforandringerne. Via deltagelse i en række internationale forskningsprojekter og netværk er danske uddannelsesinstitutioner og myndigheder med til at understøtte international forskning, uddannelse, videndeling og informationsspredning relateret til klimaforandringer, herunder forebyggelse af klimaforandringer og klimatilpasning.</w:t>
      </w:r>
    </w:p>
    <w:p w14:paraId="683B4EB5" w14:textId="77777777" w:rsidR="001C4AF2" w:rsidRDefault="001C4AF2" w:rsidP="00D27742"/>
    <w:p w14:paraId="464755A9" w14:textId="77777777" w:rsidR="009A43AC" w:rsidRPr="000D337F" w:rsidRDefault="009A43AC" w:rsidP="00D27742">
      <w:pPr>
        <w:rPr>
          <w:b/>
        </w:rPr>
      </w:pPr>
      <w:r w:rsidRPr="000D337F">
        <w:rPr>
          <w:b/>
        </w:rPr>
        <w:t>5. Økonomiske og administrative konsekvenser for staten, regioner og kommuner</w:t>
      </w:r>
    </w:p>
    <w:p w14:paraId="39AE216A" w14:textId="77777777" w:rsidR="009A43AC" w:rsidRDefault="009A43AC" w:rsidP="00D27742"/>
    <w:p w14:paraId="6844C45C" w14:textId="77777777" w:rsidR="009A43AC" w:rsidRPr="000D337F" w:rsidRDefault="009A43AC" w:rsidP="00D27742">
      <w:pPr>
        <w:rPr>
          <w:i/>
        </w:rPr>
      </w:pPr>
      <w:r w:rsidRPr="000D337F">
        <w:rPr>
          <w:i/>
        </w:rPr>
        <w:t>5.1 Økonomiske konsekvenser</w:t>
      </w:r>
    </w:p>
    <w:p w14:paraId="312DE9FF" w14:textId="77777777" w:rsidR="00256247" w:rsidRDefault="009A43AC" w:rsidP="00D27742">
      <w:r w:rsidRPr="00D27742">
        <w:t xml:space="preserve">Danmarks ratifikation af Parisaftalen har ikke i sig selv offentlige økonomiske konsekvenser. </w:t>
      </w:r>
      <w:r w:rsidR="00FB7893">
        <w:t>Lovgivningen, der skal udmønte</w:t>
      </w:r>
      <w:r w:rsidR="00FB7893" w:rsidRPr="002D6793">
        <w:t xml:space="preserve"> EU’s </w:t>
      </w:r>
      <w:r w:rsidR="00FB7893">
        <w:t>NDC til Parisaftalen</w:t>
      </w:r>
      <w:r w:rsidR="00FB7893" w:rsidRPr="002D6793">
        <w:t xml:space="preserve">, </w:t>
      </w:r>
      <w:r w:rsidR="00FB7893">
        <w:t xml:space="preserve">er endnu ikke </w:t>
      </w:r>
      <w:r w:rsidR="00F3678D">
        <w:t>vedtaget i EU</w:t>
      </w:r>
      <w:r w:rsidR="00FB7893">
        <w:t xml:space="preserve">, hvorfor </w:t>
      </w:r>
      <w:r w:rsidRPr="00D27742">
        <w:t xml:space="preserve">det på nuværende tidspunkt ikke </w:t>
      </w:r>
      <w:r w:rsidR="00FB7893">
        <w:t xml:space="preserve">er </w:t>
      </w:r>
      <w:r w:rsidRPr="00D27742">
        <w:t>muligt at vurdere de økonomiske konsekvenser, som EU's NDC vil få for Danmark</w:t>
      </w:r>
      <w:r w:rsidR="00256247">
        <w:t>.</w:t>
      </w:r>
    </w:p>
    <w:p w14:paraId="497696AE" w14:textId="77777777" w:rsidR="009A43AC" w:rsidRPr="00D27742" w:rsidRDefault="009A43AC" w:rsidP="00D27742">
      <w:r w:rsidRPr="00D27742">
        <w:br/>
        <w:t xml:space="preserve">Med Parisaftalen genbekræftes de udviklede landes kollektive løfte om årligt fra 2020 at mobilisere 100 mia. USD </w:t>
      </w:r>
      <w:r w:rsidR="005430BB" w:rsidRPr="00D27742">
        <w:t>fra</w:t>
      </w:r>
      <w:r w:rsidR="00995042" w:rsidRPr="00D27742">
        <w:t xml:space="preserve"> </w:t>
      </w:r>
      <w:r w:rsidRPr="00D27742">
        <w:t xml:space="preserve">forskellige kilder til udviklingslandenes klimaindsats. </w:t>
      </w:r>
      <w:r w:rsidR="005021C1" w:rsidRPr="00D27742">
        <w:t>I</w:t>
      </w:r>
      <w:r w:rsidR="00995042" w:rsidRPr="00D27742">
        <w:t>følge</w:t>
      </w:r>
      <w:r w:rsidR="005021C1" w:rsidRPr="00D27742">
        <w:t xml:space="preserve"> </w:t>
      </w:r>
      <w:r w:rsidRPr="00D27742">
        <w:t>COP-beslutning 1/CP.21 skal der vedtages et nyt kvantitativt finansieringsmål inden 2025. Da begge mål er kollektive</w:t>
      </w:r>
      <w:r w:rsidR="001333B0" w:rsidRPr="00D27742">
        <w:t xml:space="preserve"> uden vedtaget byrdefordeling</w:t>
      </w:r>
      <w:r w:rsidRPr="00D27742">
        <w:t xml:space="preserve">, og da det ikke er fastsat hvor stor en del af de 100 mia. USD, der skal komme fra offentlige kilder, er det ikke muligt at fastlægge de direkte økonomiske konsekvenser </w:t>
      </w:r>
      <w:r w:rsidR="00004C31" w:rsidRPr="00D27742">
        <w:t>heraf</w:t>
      </w:r>
      <w:r w:rsidRPr="00D27742">
        <w:t>.</w:t>
      </w:r>
    </w:p>
    <w:p w14:paraId="24462468" w14:textId="77777777" w:rsidR="003A4301" w:rsidRDefault="003A4301" w:rsidP="00D27742">
      <w:pPr>
        <w:rPr>
          <w:i/>
        </w:rPr>
      </w:pPr>
    </w:p>
    <w:p w14:paraId="31EF78AF" w14:textId="77777777" w:rsidR="009A43AC" w:rsidRPr="000D337F" w:rsidRDefault="009A43AC" w:rsidP="00D27742">
      <w:pPr>
        <w:rPr>
          <w:i/>
        </w:rPr>
      </w:pPr>
      <w:r w:rsidRPr="000D337F">
        <w:rPr>
          <w:i/>
        </w:rPr>
        <w:t>5.2 Administrative konsekvenser</w:t>
      </w:r>
    </w:p>
    <w:p w14:paraId="4AF58F51" w14:textId="77777777" w:rsidR="009A43AC" w:rsidRPr="00EB1E12" w:rsidRDefault="009A43AC" w:rsidP="00D27742">
      <w:pPr>
        <w:rPr>
          <w:highlight w:val="yellow"/>
        </w:rPr>
      </w:pPr>
      <w:r w:rsidRPr="00EB1E12">
        <w:t xml:space="preserve">Danmarks ratifikation af Parisaftalen vil, når aftalen er trådt i kraft, </w:t>
      </w:r>
      <w:r>
        <w:t xml:space="preserve">indebære, at Danmark </w:t>
      </w:r>
      <w:r w:rsidR="005B78D0">
        <w:t xml:space="preserve">– </w:t>
      </w:r>
      <w:r>
        <w:t xml:space="preserve">efter </w:t>
      </w:r>
      <w:r w:rsidRPr="00EB1E12">
        <w:t xml:space="preserve">reviderede regler </w:t>
      </w:r>
      <w:r w:rsidR="005B78D0">
        <w:t>–</w:t>
      </w:r>
      <w:r w:rsidRPr="00EB1E12">
        <w:t xml:space="preserve"> skal </w:t>
      </w:r>
      <w:r>
        <w:t xml:space="preserve">indgive information </w:t>
      </w:r>
      <w:r w:rsidRPr="00EB1E12">
        <w:t>til klimak</w:t>
      </w:r>
      <w:r>
        <w:t>onvention</w:t>
      </w:r>
      <w:r w:rsidR="000876E9">
        <w:t>en</w:t>
      </w:r>
      <w:r>
        <w:t xml:space="preserve"> om</w:t>
      </w:r>
      <w:r w:rsidR="000876E9">
        <w:t xml:space="preserve"> den danske</w:t>
      </w:r>
      <w:r>
        <w:t xml:space="preserve"> klimaindsats</w:t>
      </w:r>
      <w:r w:rsidR="000876E9">
        <w:t xml:space="preserve">. Dette følge af </w:t>
      </w:r>
      <w:r>
        <w:t xml:space="preserve">aftalens </w:t>
      </w:r>
      <w:r w:rsidR="000876E9">
        <w:t>a</w:t>
      </w:r>
      <w:r>
        <w:t>rtikel 13</w:t>
      </w:r>
      <w:r w:rsidRPr="00EB1E12">
        <w:t>. De nærmere retningslinjer for</w:t>
      </w:r>
      <w:r>
        <w:t xml:space="preserve"> at indgive information</w:t>
      </w:r>
      <w:r w:rsidR="000876E9">
        <w:t>en</w:t>
      </w:r>
      <w:r w:rsidRPr="00EB1E12">
        <w:t xml:space="preserve"> skal færdigforhandles i de kommende år og vil først blive vedtaget på det første COP-møde</w:t>
      </w:r>
      <w:r>
        <w:t>,</w:t>
      </w:r>
      <w:r w:rsidRPr="00EB1E12">
        <w:t xml:space="preserve"> efter aftalen er trådt i kraft. Det er således ikke på nuværende tidspunkt muligt at vurdere de endelige administrative konsekvenser.</w:t>
      </w:r>
    </w:p>
    <w:p w14:paraId="4987E3AD" w14:textId="77777777" w:rsidR="009A43AC" w:rsidRPr="00EB1E12" w:rsidRDefault="009A43AC" w:rsidP="00D27742"/>
    <w:p w14:paraId="7D364819" w14:textId="77777777" w:rsidR="000876E9" w:rsidRDefault="009A43AC" w:rsidP="00D27742">
      <w:r w:rsidRPr="00EB1E12">
        <w:t xml:space="preserve">Det bemærkes dog, at Danmark allerede rapporterer til </w:t>
      </w:r>
      <w:r>
        <w:t>klimakonvention</w:t>
      </w:r>
      <w:r w:rsidR="000876E9">
        <w:t>en. Hvert år rapporteres</w:t>
      </w:r>
      <w:r w:rsidRPr="00EB1E12">
        <w:t xml:space="preserve"> </w:t>
      </w:r>
      <w:r w:rsidR="004B0D7E">
        <w:t xml:space="preserve">der </w:t>
      </w:r>
      <w:r w:rsidRPr="00EB1E12">
        <w:t xml:space="preserve">om </w:t>
      </w:r>
      <w:r w:rsidR="000876E9">
        <w:t xml:space="preserve">Danmarks </w:t>
      </w:r>
      <w:r w:rsidRPr="00EB1E12">
        <w:t>optag og udledninger af drivhusgasser</w:t>
      </w:r>
      <w:r w:rsidR="000876E9">
        <w:t xml:space="preserve">, og </w:t>
      </w:r>
      <w:r w:rsidRPr="00EB1E12">
        <w:t xml:space="preserve">hvert andet år </w:t>
      </w:r>
      <w:r w:rsidR="000876E9">
        <w:t xml:space="preserve">rapporteres </w:t>
      </w:r>
      <w:r w:rsidRPr="00EB1E12">
        <w:t>om fremskridt i</w:t>
      </w:r>
      <w:r>
        <w:t xml:space="preserve"> </w:t>
      </w:r>
      <w:r w:rsidRPr="00EB1E12">
        <w:t>f</w:t>
      </w:r>
      <w:r>
        <w:t xml:space="preserve">orhold </w:t>
      </w:r>
      <w:r w:rsidRPr="00EB1E12">
        <w:t>t</w:t>
      </w:r>
      <w:r>
        <w:t xml:space="preserve">il </w:t>
      </w:r>
      <w:r w:rsidRPr="00EB1E12">
        <w:t xml:space="preserve">at implementere Danmarks eksisterende reduktionsmålsætninger </w:t>
      </w:r>
      <w:r w:rsidR="005B78D0">
        <w:t>samt</w:t>
      </w:r>
      <w:r w:rsidR="005B78D0" w:rsidRPr="00EB1E12">
        <w:t xml:space="preserve"> </w:t>
      </w:r>
      <w:r w:rsidRPr="00EB1E12">
        <w:t>om Danmarks</w:t>
      </w:r>
      <w:r>
        <w:t xml:space="preserve"> støtte til indsatsen i udviklingslande i form af</w:t>
      </w:r>
      <w:r w:rsidRPr="00EB1E12">
        <w:t xml:space="preserve"> klimafinansiering</w:t>
      </w:r>
      <w:r>
        <w:t>, teknologioverførsel og kapacitetsopbygning</w:t>
      </w:r>
      <w:r w:rsidRPr="00EB1E12">
        <w:t xml:space="preserve">. Endvidere rapporterer Danmark hvert fjerde år oplysninger om nationale omstændigheder med betydning for udledning og optag af drivhusgasser, </w:t>
      </w:r>
      <w:r w:rsidRPr="00EB1E12">
        <w:lastRenderedPageBreak/>
        <w:t>klimaforandringssårbarhed og -effekt, klimatilpasning, -forskning og -overvågning samt om uddannelse og oplysningsarbejde i relation til klimaspørgsmålet</w:t>
      </w:r>
      <w:r>
        <w:t>.</w:t>
      </w:r>
    </w:p>
    <w:p w14:paraId="2678E8A3" w14:textId="77777777" w:rsidR="000876E9" w:rsidRDefault="000876E9" w:rsidP="00D27742"/>
    <w:p w14:paraId="07816AF1" w14:textId="77777777" w:rsidR="009A43AC" w:rsidRPr="00EB1E12" w:rsidRDefault="009A43AC" w:rsidP="00D27742">
      <w:r w:rsidRPr="00EB1E12">
        <w:t xml:space="preserve">Ifølge Parisaftalen skal de eksisterende </w:t>
      </w:r>
      <w:r>
        <w:t>rammer for transparens under klimakonvention</w:t>
      </w:r>
      <w:r w:rsidR="000876E9">
        <w:t>en</w:t>
      </w:r>
      <w:r w:rsidRPr="00EB1E12">
        <w:t xml:space="preserve"> tjene som erfaringsgrundlag, når de nye</w:t>
      </w:r>
      <w:r>
        <w:t xml:space="preserve"> retningslinjer for informationen</w:t>
      </w:r>
      <w:r w:rsidRPr="00EB1E12">
        <w:t xml:space="preserve"> udvikles. Det forventes derfor ikke, at der vil ske gennemgribende ændringer i Danmarks forpligtelser</w:t>
      </w:r>
      <w:r>
        <w:t xml:space="preserve"> til at indgive information</w:t>
      </w:r>
      <w:r w:rsidRPr="00EB1E12">
        <w:t xml:space="preserve">. </w:t>
      </w:r>
    </w:p>
    <w:p w14:paraId="0AF05C19" w14:textId="77777777" w:rsidR="009A43AC" w:rsidRDefault="009A43AC" w:rsidP="00D27742"/>
    <w:p w14:paraId="4209D591" w14:textId="77777777" w:rsidR="009A43AC" w:rsidRPr="00EB1E12" w:rsidRDefault="009A43AC" w:rsidP="00D27742">
      <w:r w:rsidRPr="00EB1E12">
        <w:t xml:space="preserve">Derudover har Danmarks ratifikation af Parisaftalen ikke i sig selv offentlige administrative konsekvenser. </w:t>
      </w:r>
      <w:r w:rsidR="00766331">
        <w:t>Lovgivningen, der skal udmønte</w:t>
      </w:r>
      <w:r w:rsidR="00766331" w:rsidRPr="002D6793">
        <w:t xml:space="preserve"> EU’s </w:t>
      </w:r>
      <w:r w:rsidR="00766331">
        <w:t>NDC til Parisaftalen</w:t>
      </w:r>
      <w:r w:rsidR="00766331" w:rsidRPr="002D6793">
        <w:t xml:space="preserve">, </w:t>
      </w:r>
      <w:r w:rsidR="00766331">
        <w:t xml:space="preserve">er endnu ikke vedtaget i EU, hvorfor </w:t>
      </w:r>
      <w:r w:rsidR="00766331" w:rsidRPr="00D27742">
        <w:t xml:space="preserve">det på nuværende tidspunkt ikke </w:t>
      </w:r>
      <w:r w:rsidR="00766331">
        <w:t xml:space="preserve">er </w:t>
      </w:r>
      <w:r w:rsidR="00766331" w:rsidRPr="00D27742">
        <w:t xml:space="preserve">muligt at vurdere de </w:t>
      </w:r>
      <w:r w:rsidR="00766331">
        <w:t xml:space="preserve">administrative </w:t>
      </w:r>
      <w:r w:rsidR="00766331" w:rsidRPr="00D27742">
        <w:t>konsekvenser, som EU's NDC vil få for Danmark</w:t>
      </w:r>
      <w:r w:rsidR="00766331">
        <w:t>.</w:t>
      </w:r>
    </w:p>
    <w:p w14:paraId="0E52F525" w14:textId="77777777" w:rsidR="009A43AC" w:rsidRDefault="009A43AC" w:rsidP="00D27742"/>
    <w:p w14:paraId="1F933B46" w14:textId="77777777" w:rsidR="009A43AC" w:rsidRPr="000D337F" w:rsidRDefault="009A43AC" w:rsidP="00D27742">
      <w:pPr>
        <w:rPr>
          <w:b/>
        </w:rPr>
      </w:pPr>
      <w:r w:rsidRPr="000D337F">
        <w:rPr>
          <w:b/>
        </w:rPr>
        <w:t>6. Økonomiske og administrative konsekvenser for erhvervslivet</w:t>
      </w:r>
    </w:p>
    <w:p w14:paraId="6E55B40F" w14:textId="77777777" w:rsidR="00E230D7" w:rsidRDefault="001C1D0A" w:rsidP="00D27742">
      <w:r>
        <w:t>Lovgivningen</w:t>
      </w:r>
      <w:r w:rsidR="00F3678D">
        <w:t xml:space="preserve"> i EU</w:t>
      </w:r>
      <w:r>
        <w:t>, der skal udmønte</w:t>
      </w:r>
      <w:r w:rsidR="009A43AC" w:rsidRPr="002D6793">
        <w:t xml:space="preserve"> EU’s </w:t>
      </w:r>
      <w:r w:rsidR="009A43AC">
        <w:t>NDC til Parisaftalen</w:t>
      </w:r>
      <w:r w:rsidR="009A43AC" w:rsidRPr="002D6793">
        <w:t xml:space="preserve">, </w:t>
      </w:r>
      <w:r>
        <w:t xml:space="preserve">er endnu ikke </w:t>
      </w:r>
      <w:r w:rsidR="00F3678D">
        <w:t>vedtaget i EU</w:t>
      </w:r>
      <w:r>
        <w:t>. Det er derfor ikke nuværende</w:t>
      </w:r>
      <w:r w:rsidR="009A43AC" w:rsidRPr="002D6793">
        <w:t xml:space="preserve"> tidspunkt </w:t>
      </w:r>
      <w:r w:rsidR="009A43AC">
        <w:t xml:space="preserve">muligt at vurdere de </w:t>
      </w:r>
      <w:r w:rsidR="009A43AC" w:rsidRPr="002D6793">
        <w:t>økonomiske</w:t>
      </w:r>
      <w:r w:rsidR="009A43AC">
        <w:t xml:space="preserve"> eller administrative</w:t>
      </w:r>
      <w:r w:rsidR="009A43AC" w:rsidRPr="002D6793">
        <w:t xml:space="preserve"> konsekvenser, som EU’s </w:t>
      </w:r>
      <w:r w:rsidR="009A43AC">
        <w:t>NDC</w:t>
      </w:r>
      <w:r w:rsidR="009A43AC" w:rsidRPr="002D6793">
        <w:t xml:space="preserve"> </w:t>
      </w:r>
      <w:r w:rsidR="009A43AC">
        <w:t xml:space="preserve">kan </w:t>
      </w:r>
      <w:r w:rsidR="009A43AC" w:rsidRPr="002D6793">
        <w:t>få for</w:t>
      </w:r>
      <w:r w:rsidR="009A43AC">
        <w:t xml:space="preserve"> det danske erhvervsliv</w:t>
      </w:r>
      <w:r w:rsidR="00E230D7">
        <w:t>.</w:t>
      </w:r>
    </w:p>
    <w:p w14:paraId="68E9962A" w14:textId="77777777" w:rsidR="006D1ECE" w:rsidRDefault="009A43AC" w:rsidP="00D27742">
      <w:pPr>
        <w:rPr>
          <w:b/>
        </w:rPr>
      </w:pPr>
      <w:r>
        <w:rPr>
          <w:b/>
          <w:i/>
          <w:u w:val="single"/>
        </w:rPr>
        <w:br/>
      </w:r>
      <w:r>
        <w:t xml:space="preserve">Ikrafttrædelsen af Parisaftalen vil medvirke til en øget global efterspørgsel efter klimavenlig teknologi mv. </w:t>
      </w:r>
      <w:r w:rsidR="00245FF9">
        <w:t>Danske virksomheder har udviklet mange af de omkostningseffektive løsninger, der efterspørges, og d</w:t>
      </w:r>
      <w:r>
        <w:t xml:space="preserve">et danske erhvervsliv står stærkt på det globale marked </w:t>
      </w:r>
      <w:r w:rsidR="00245FF9">
        <w:t xml:space="preserve">inden </w:t>
      </w:r>
      <w:r>
        <w:t xml:space="preserve">for </w:t>
      </w:r>
      <w:r w:rsidR="00245FF9">
        <w:t>energiteknologi.</w:t>
      </w:r>
      <w:r>
        <w:t xml:space="preserve"> Parisaftalens ikrafttrædelse </w:t>
      </w:r>
      <w:r w:rsidR="00245FF9">
        <w:rPr>
          <w:rFonts w:cs="Arial"/>
          <w:szCs w:val="20"/>
        </w:rPr>
        <w:t>rummer dermed store erhvervsmæssige muligheder for Danmark</w:t>
      </w:r>
      <w:r>
        <w:t>.</w:t>
      </w:r>
      <w:r w:rsidR="002B7A44">
        <w:br/>
      </w:r>
    </w:p>
    <w:p w14:paraId="6432A6B1" w14:textId="77777777" w:rsidR="009A43AC" w:rsidRPr="000D337F" w:rsidRDefault="009A43AC" w:rsidP="00D27742">
      <w:pPr>
        <w:rPr>
          <w:b/>
        </w:rPr>
      </w:pPr>
      <w:r w:rsidRPr="000D337F">
        <w:rPr>
          <w:b/>
        </w:rPr>
        <w:t>7. Miljømæssig konsekvensvurdering</w:t>
      </w:r>
    </w:p>
    <w:p w14:paraId="0631C18D" w14:textId="77777777" w:rsidR="005021C1" w:rsidRDefault="00AA613F" w:rsidP="00D27742">
      <w:r>
        <w:t xml:space="preserve">Med Parisaftalen sættes en juridisk ramme for den globale klimaindsats fra 2020 og frem. Ikrafttrædelsen og implementeringen af Parisaftalen forventes </w:t>
      </w:r>
      <w:r w:rsidR="00E66D21">
        <w:t xml:space="preserve">at bidrage til at </w:t>
      </w:r>
      <w:r>
        <w:t xml:space="preserve">begrænse den gennemsnitlige globale temperaturstigning og dermed til at </w:t>
      </w:r>
      <w:r w:rsidR="00E66D21">
        <w:t xml:space="preserve">opfylde klimakonventionens målsætning om, </w:t>
      </w:r>
      <w:r w:rsidR="00F6476C">
        <w:t>’</w:t>
      </w:r>
      <w:r w:rsidR="00E66D21">
        <w:t>at forhindre farlig menneskeskabt indvirkning på klimasystemet</w:t>
      </w:r>
      <w:r w:rsidR="00F6476C">
        <w:t>’</w:t>
      </w:r>
      <w:r>
        <w:t xml:space="preserve">. </w:t>
      </w:r>
    </w:p>
    <w:p w14:paraId="3DDAEB41" w14:textId="77777777" w:rsidR="005021C1" w:rsidRDefault="005021C1" w:rsidP="00D27742"/>
    <w:p w14:paraId="127FFCD3" w14:textId="77777777" w:rsidR="00E66D21" w:rsidRDefault="00AA613F" w:rsidP="00D27742">
      <w:r>
        <w:t>Parisaftalens mere konkrete målsætning med betydning for det globale klima er a</w:t>
      </w:r>
      <w:r w:rsidR="00E66D21">
        <w:t>t holde den gennemsnitlige</w:t>
      </w:r>
      <w:r w:rsidR="00E66D21" w:rsidRPr="00BB177D">
        <w:t xml:space="preserve"> globale temperaturstigning et godt stykke under 2 grader</w:t>
      </w:r>
      <w:r w:rsidR="00E66D21">
        <w:t xml:space="preserve"> i forhold til førindustrielt niveau og </w:t>
      </w:r>
      <w:r w:rsidR="00E66D21" w:rsidRPr="00BB177D">
        <w:t xml:space="preserve">arbejde for at begrænse </w:t>
      </w:r>
      <w:r w:rsidR="00E66D21">
        <w:t xml:space="preserve">temperaturstigningen til 1,5 grader. </w:t>
      </w:r>
    </w:p>
    <w:p w14:paraId="5312E6D2" w14:textId="77777777" w:rsidR="00E66D21" w:rsidRDefault="00E66D21" w:rsidP="00D27742"/>
    <w:p w14:paraId="172DDAA9" w14:textId="77777777" w:rsidR="00DB3163" w:rsidRDefault="00AE1AAE" w:rsidP="00D27742">
      <w:r>
        <w:t>Det står</w:t>
      </w:r>
      <w:r w:rsidR="00311ADC">
        <w:t xml:space="preserve"> klart, at den f</w:t>
      </w:r>
      <w:r w:rsidR="00AA613F">
        <w:t xml:space="preserve">ørste runde af reduktionsbidrag (NDC’er) indmeldt til Parisaftalen </w:t>
      </w:r>
      <w:r w:rsidR="00311ADC">
        <w:t xml:space="preserve">ikke i sig selv vil være tilstrækkelige til at nå 2 eller 1,5-graders målsætningen. </w:t>
      </w:r>
      <w:r w:rsidR="000D3D9F">
        <w:t>FN’s miljøprogram, UNEP, estimerede i efteråret</w:t>
      </w:r>
      <w:r>
        <w:t xml:space="preserve"> 2015</w:t>
      </w:r>
      <w:r w:rsidR="000D3D9F">
        <w:t>, at en fuld implementering af den første runde af NDC’er vil bringe den langsigtede globale temperaturstigning ned på 3-3,5 grader</w:t>
      </w:r>
      <w:r>
        <w:rPr>
          <w:rStyle w:val="Fodnotehenvisning"/>
        </w:rPr>
        <w:footnoteReference w:id="3"/>
      </w:r>
      <w:r w:rsidR="000D3D9F">
        <w:t xml:space="preserve">. Dette kan sammenholdes med den temperaturstigning, der vil ske uden yderligere handling i forhold til i dag (dvs. uden implementering af NDC’erne), som FN’s Klimapanel har estimeret til i slutningen af det 21. </w:t>
      </w:r>
      <w:r w:rsidR="000D3D9F">
        <w:lastRenderedPageBreak/>
        <w:t>århundrede at ligge på 3,7-4,8 grader i forhold til det førindustrielle niveau.</w:t>
      </w:r>
      <w:r>
        <w:rPr>
          <w:rStyle w:val="Fodnotehenvisning"/>
        </w:rPr>
        <w:footnoteReference w:id="4"/>
      </w:r>
      <w:r>
        <w:t xml:space="preserve"> Da Parisaftalen forpligter parterne til hvert femte år at indmelde reduktionsbidrag på</w:t>
      </w:r>
      <w:r w:rsidR="00FB05F2">
        <w:t xml:space="preserve"> </w:t>
      </w:r>
      <w:r>
        <w:t xml:space="preserve">ny, forventes aftalen </w:t>
      </w:r>
      <w:r w:rsidR="005021C1">
        <w:t xml:space="preserve">dog </w:t>
      </w:r>
      <w:r w:rsidR="00FB05F2">
        <w:t>p</w:t>
      </w:r>
      <w:r>
        <w:t xml:space="preserve">å længere sigt at bidrage yderligere til reduktionen af drivhusgasudledninger. </w:t>
      </w:r>
    </w:p>
    <w:p w14:paraId="552A4D1A" w14:textId="77777777" w:rsidR="00DB3163" w:rsidRPr="0009549F" w:rsidRDefault="00DB3163" w:rsidP="00D27742"/>
    <w:p w14:paraId="52DCB1C4" w14:textId="77777777" w:rsidR="00300BFB" w:rsidRPr="000D337F" w:rsidRDefault="00300BFB" w:rsidP="00D27742">
      <w:pPr>
        <w:rPr>
          <w:b/>
        </w:rPr>
      </w:pPr>
      <w:r w:rsidRPr="000D337F">
        <w:rPr>
          <w:b/>
        </w:rPr>
        <w:t>8. Forholdet til EU</w:t>
      </w:r>
      <w:r w:rsidR="0096678F" w:rsidRPr="000D337F">
        <w:rPr>
          <w:b/>
        </w:rPr>
        <w:t>-retten</w:t>
      </w:r>
    </w:p>
    <w:p w14:paraId="779C8571" w14:textId="77777777" w:rsidR="004F265B" w:rsidRPr="00B145B8" w:rsidRDefault="00AF66C5" w:rsidP="00D27742">
      <w:r w:rsidRPr="00B145B8">
        <w:t xml:space="preserve">Parisaftalen er </w:t>
      </w:r>
      <w:r w:rsidR="00C5775D">
        <w:t xml:space="preserve">i forhold til EU-retten </w:t>
      </w:r>
      <w:r w:rsidRPr="00B145B8">
        <w:t>en såkaldt blandet aftale, hvor</w:t>
      </w:r>
      <w:r w:rsidR="00C5775D">
        <w:t xml:space="preserve"> EU og</w:t>
      </w:r>
      <w:r w:rsidRPr="00B145B8">
        <w:t xml:space="preserve"> medlemsstaterne har delt kompetence, hvilket er i overensstemmelse med hidtidig </w:t>
      </w:r>
      <w:r w:rsidRPr="00B145B8">
        <w:rPr>
          <w:spacing w:val="6"/>
        </w:rPr>
        <w:t xml:space="preserve">praksis for EU og medlemsstaternes deltagelse i international klimaregulering, herunder Kyotoprotokollen. </w:t>
      </w:r>
      <w:r w:rsidR="004F265B" w:rsidRPr="00B145B8">
        <w:t xml:space="preserve">EU-Domstolen har fastslået, at når området for en international aftale </w:t>
      </w:r>
      <w:r w:rsidR="00172893" w:rsidRPr="00B145B8">
        <w:t>delvis</w:t>
      </w:r>
      <w:r w:rsidR="00D71EA1">
        <w:t>t</w:t>
      </w:r>
      <w:r w:rsidR="00F531FB" w:rsidRPr="00B145B8">
        <w:t xml:space="preserve"> </w:t>
      </w:r>
      <w:r w:rsidR="00172893" w:rsidRPr="00B145B8">
        <w:t>henhører</w:t>
      </w:r>
      <w:r w:rsidR="00D71EA1">
        <w:t xml:space="preserve"> under</w:t>
      </w:r>
      <w:r w:rsidR="00172893" w:rsidRPr="00B145B8">
        <w:t xml:space="preserve"> </w:t>
      </w:r>
      <w:r w:rsidR="004F265B" w:rsidRPr="00B145B8">
        <w:t>EU-kompetence</w:t>
      </w:r>
      <w:r w:rsidR="003745B6">
        <w:t xml:space="preserve"> og</w:t>
      </w:r>
      <w:r w:rsidR="004F265B" w:rsidRPr="00B145B8">
        <w:t xml:space="preserve"> </w:t>
      </w:r>
      <w:r w:rsidR="00172893" w:rsidRPr="00B145B8">
        <w:t>delvis</w:t>
      </w:r>
      <w:r w:rsidR="00D71EA1">
        <w:t>t</w:t>
      </w:r>
      <w:r w:rsidR="004F265B" w:rsidRPr="00B145B8">
        <w:t xml:space="preserve"> </w:t>
      </w:r>
      <w:r w:rsidR="003745B6">
        <w:t xml:space="preserve">under </w:t>
      </w:r>
      <w:r w:rsidR="004F265B" w:rsidRPr="00B145B8">
        <w:t>medlemsstaternes kompetence, skal der både under forhandlings- og tiltrædelsesfasen og i forbindelse med opfyldelsen af de påtagne forpligtelser etableres et nært samarbejde mellem EU-institutionerne</w:t>
      </w:r>
      <w:r w:rsidR="003745B6" w:rsidRPr="003745B6">
        <w:t xml:space="preserve"> </w:t>
      </w:r>
      <w:r w:rsidR="003745B6" w:rsidRPr="00B145B8">
        <w:t>og medlemsstaterne</w:t>
      </w:r>
      <w:r w:rsidR="004F265B" w:rsidRPr="00B145B8">
        <w:t>.</w:t>
      </w:r>
    </w:p>
    <w:p w14:paraId="4AB826B4" w14:textId="77777777" w:rsidR="004F265B" w:rsidRPr="00B145B8" w:rsidRDefault="004F265B" w:rsidP="00D27742"/>
    <w:p w14:paraId="15B19B63" w14:textId="77777777" w:rsidR="00EF6307" w:rsidRPr="00B145B8" w:rsidRDefault="00EF6307" w:rsidP="009A43AC">
      <w:pPr>
        <w:pStyle w:val="Default"/>
        <w:spacing w:line="276" w:lineRule="auto"/>
      </w:pPr>
      <w:r w:rsidRPr="00B145B8">
        <w:t>Det følger af ovenstående, at forhandling, undertegnelse, indgåelse og gennemførelse af en blandet aftale er underlagt princippet om loyalt samarbejde (jf. T</w:t>
      </w:r>
      <w:r w:rsidR="005021C1">
        <w:t xml:space="preserve">raktaten om Den </w:t>
      </w:r>
      <w:r w:rsidRPr="00B145B8">
        <w:t>E</w:t>
      </w:r>
      <w:r w:rsidR="005021C1">
        <w:t xml:space="preserve">uropæiske </w:t>
      </w:r>
      <w:r w:rsidRPr="00B145B8">
        <w:t>U</w:t>
      </w:r>
      <w:r w:rsidR="005021C1">
        <w:t>nion,</w:t>
      </w:r>
      <w:r w:rsidRPr="00B145B8">
        <w:t xml:space="preserve"> artikel 4, stk. 3), kravet om enhed i Unionens internationale repræsentation og princippet om kompetencetildeling. </w:t>
      </w:r>
    </w:p>
    <w:p w14:paraId="59A2F031" w14:textId="77777777" w:rsidR="00EF6307" w:rsidRDefault="00EF6307" w:rsidP="00D27742"/>
    <w:p w14:paraId="5AE56FBA" w14:textId="3E8D3622" w:rsidR="00395158" w:rsidRDefault="002B7A44" w:rsidP="00D27742">
      <w:r>
        <w:t xml:space="preserve">Som følge heraf </w:t>
      </w:r>
      <w:r w:rsidR="00AC254A">
        <w:t xml:space="preserve">vurderer </w:t>
      </w:r>
      <w:r w:rsidR="00B25EE8">
        <w:t>R</w:t>
      </w:r>
      <w:r w:rsidR="00AC254A">
        <w:t xml:space="preserve">ådets Juridiske Tjeneste, at EU og medlemsstaterne er forpligtiget til at deponere deres ratifikationsinstrumenter </w:t>
      </w:r>
      <w:r w:rsidR="005F01A4">
        <w:t xml:space="preserve">koordineret og </w:t>
      </w:r>
      <w:r w:rsidR="00B9552E">
        <w:t xml:space="preserve">samtidigt. </w:t>
      </w:r>
      <w:r>
        <w:t xml:space="preserve">Deponeringen af Danmarks ratifikationsinstrument til FN vil derfor </w:t>
      </w:r>
      <w:r w:rsidRPr="00395158">
        <w:t>først ske, når EU og alle medlemsstater</w:t>
      </w:r>
      <w:r w:rsidR="0089496C" w:rsidRPr="00395158">
        <w:t>ne</w:t>
      </w:r>
      <w:r w:rsidRPr="00395158">
        <w:t xml:space="preserve"> har afsluttet </w:t>
      </w:r>
      <w:r w:rsidR="00737110" w:rsidRPr="00395158">
        <w:t>deres</w:t>
      </w:r>
      <w:r w:rsidRPr="00395158">
        <w:t xml:space="preserve"> respektive nationale processer </w:t>
      </w:r>
      <w:r w:rsidR="00B26F48">
        <w:t xml:space="preserve">med henblik </w:t>
      </w:r>
      <w:r w:rsidR="000417FC">
        <w:t>p</w:t>
      </w:r>
      <w:r w:rsidR="00B26F48">
        <w:t>å</w:t>
      </w:r>
      <w:r w:rsidR="000417FC">
        <w:t xml:space="preserve"> ratifikation </w:t>
      </w:r>
      <w:r w:rsidRPr="00395158">
        <w:t xml:space="preserve">og er klar til at deponere </w:t>
      </w:r>
      <w:r w:rsidR="00A638A4">
        <w:t>alle</w:t>
      </w:r>
      <w:r w:rsidRPr="00395158">
        <w:t xml:space="preserve"> ratifikationsinstrumenter</w:t>
      </w:r>
      <w:r w:rsidR="00A638A4">
        <w:t>ne</w:t>
      </w:r>
      <w:r w:rsidRPr="00395158">
        <w:t xml:space="preserve"> i fællesskab.</w:t>
      </w:r>
      <w:r w:rsidRPr="00CB5180">
        <w:t xml:space="preserve"> </w:t>
      </w:r>
      <w:r w:rsidR="00395158" w:rsidRPr="00395158">
        <w:t>Det bemærkes herunder, at så længe Danmarks ratifikationsinstrument ikke er deponeret hos FN, vil Folketinget kunne genbesøge sin beslutning om samtykke til Danmarks ratifikation, hvis der mod forventning skulle være væsentlige ændringer i forudsætningerne herfor (f.eks. vedr. EU-samarbejdet).</w:t>
      </w:r>
    </w:p>
    <w:p w14:paraId="2EFC09F0" w14:textId="77777777" w:rsidR="00395158" w:rsidRDefault="00395158" w:rsidP="00D27742"/>
    <w:p w14:paraId="16160E16" w14:textId="7F269749" w:rsidR="002B7A44" w:rsidRDefault="00737110" w:rsidP="00D27742">
      <w:r w:rsidRPr="005E7F1D">
        <w:t xml:space="preserve">Danmark kan ved at færdiggøre sin </w:t>
      </w:r>
      <w:r w:rsidR="000417FC">
        <w:t xml:space="preserve">nationale </w:t>
      </w:r>
      <w:r w:rsidR="000417FC" w:rsidRPr="005E7F1D">
        <w:t xml:space="preserve">proces </w:t>
      </w:r>
      <w:r w:rsidR="000417FC">
        <w:t>m</w:t>
      </w:r>
      <w:r w:rsidR="0021750D">
        <w:t xml:space="preserve">ed </w:t>
      </w:r>
      <w:r w:rsidR="000417FC">
        <w:t>h</w:t>
      </w:r>
      <w:r w:rsidR="0021750D">
        <w:t xml:space="preserve">enblik </w:t>
      </w:r>
      <w:r w:rsidR="000417FC">
        <w:t>p</w:t>
      </w:r>
      <w:r w:rsidR="0021750D">
        <w:t>å</w:t>
      </w:r>
      <w:r w:rsidR="000417FC">
        <w:t xml:space="preserve"> ratifikation </w:t>
      </w:r>
      <w:r w:rsidRPr="005E7F1D">
        <w:t>sikre, at Danmark</w:t>
      </w:r>
      <w:r>
        <w:t xml:space="preserve"> ikke</w:t>
      </w:r>
      <w:r w:rsidRPr="005E7F1D">
        <w:t xml:space="preserve"> forsinker EU og medlemsstaternes samlede ratifikation. Danmark kan desuden ved at gennemføre den danske proces </w:t>
      </w:r>
      <w:r w:rsidR="000417FC">
        <w:t>m</w:t>
      </w:r>
      <w:r w:rsidR="0021750D">
        <w:t xml:space="preserve">ed </w:t>
      </w:r>
      <w:r w:rsidR="000417FC">
        <w:t>h</w:t>
      </w:r>
      <w:r w:rsidR="0021750D">
        <w:t xml:space="preserve">enblik </w:t>
      </w:r>
      <w:r w:rsidR="000417FC">
        <w:t>p</w:t>
      </w:r>
      <w:r w:rsidR="0021750D">
        <w:t>å</w:t>
      </w:r>
      <w:r w:rsidR="000417FC">
        <w:t xml:space="preserve"> ratifikation</w:t>
      </w:r>
      <w:r w:rsidRPr="005E7F1D">
        <w:t xml:space="preserve"> bidrage til at lægge et politisk pres på de øvrige medlemsstater til at fremskynde deres </w:t>
      </w:r>
      <w:r w:rsidR="000417FC">
        <w:t xml:space="preserve">nationale </w:t>
      </w:r>
      <w:r w:rsidRPr="005E7F1D">
        <w:t>processer</w:t>
      </w:r>
      <w:r w:rsidR="000417FC">
        <w:t xml:space="preserve"> m</w:t>
      </w:r>
      <w:r w:rsidR="0021750D">
        <w:t xml:space="preserve">ed </w:t>
      </w:r>
      <w:r w:rsidR="000417FC">
        <w:t>h</w:t>
      </w:r>
      <w:r w:rsidR="0021750D">
        <w:t xml:space="preserve">enblik </w:t>
      </w:r>
      <w:r w:rsidR="000417FC">
        <w:t>p</w:t>
      </w:r>
      <w:r w:rsidR="0021750D">
        <w:t>å</w:t>
      </w:r>
      <w:r w:rsidR="000417FC">
        <w:t xml:space="preserve"> ratifikation</w:t>
      </w:r>
      <w:r w:rsidRPr="005E7F1D">
        <w:t>.</w:t>
      </w:r>
      <w:r>
        <w:t xml:space="preserve"> </w:t>
      </w:r>
      <w:r w:rsidR="00B26F48">
        <w:t>For så vidt angår EU’s</w:t>
      </w:r>
      <w:r w:rsidR="002B7A44">
        <w:t xml:space="preserve"> ratifikation af Parisaftalen har Europa-Kommissionen den 10. juni 2016 fremlagt forslag til en rådsbeslutning herom.  </w:t>
      </w:r>
    </w:p>
    <w:p w14:paraId="672729EC" w14:textId="77777777" w:rsidR="002B7A44" w:rsidRDefault="002B7A44" w:rsidP="00D27742"/>
    <w:p w14:paraId="7DE31720" w14:textId="77777777" w:rsidR="00B26F48" w:rsidRDefault="00AF66C5" w:rsidP="00D27742">
      <w:r>
        <w:rPr>
          <w:spacing w:val="6"/>
          <w:szCs w:val="20"/>
        </w:rPr>
        <w:t xml:space="preserve">EU og medlemsstaterne </w:t>
      </w:r>
      <w:r w:rsidR="0089496C">
        <w:rPr>
          <w:spacing w:val="6"/>
          <w:szCs w:val="20"/>
        </w:rPr>
        <w:t>vil</w:t>
      </w:r>
      <w:r w:rsidR="00D10B44">
        <w:rPr>
          <w:spacing w:val="6"/>
          <w:szCs w:val="20"/>
        </w:rPr>
        <w:t xml:space="preserve"> </w:t>
      </w:r>
      <w:r w:rsidR="00924800">
        <w:rPr>
          <w:spacing w:val="6"/>
          <w:szCs w:val="20"/>
        </w:rPr>
        <w:t>jf. Pari</w:t>
      </w:r>
      <w:r w:rsidR="00DD4C2D">
        <w:rPr>
          <w:spacing w:val="6"/>
          <w:szCs w:val="20"/>
        </w:rPr>
        <w:t>s</w:t>
      </w:r>
      <w:r w:rsidR="00924800">
        <w:rPr>
          <w:spacing w:val="6"/>
          <w:szCs w:val="20"/>
        </w:rPr>
        <w:t xml:space="preserve">aftalens artikel 4 </w:t>
      </w:r>
      <w:r>
        <w:rPr>
          <w:spacing w:val="6"/>
          <w:szCs w:val="20"/>
        </w:rPr>
        <w:t xml:space="preserve">opfylde sine forpligtelser i fællesskab. </w:t>
      </w:r>
      <w:r w:rsidR="00075CC5">
        <w:t xml:space="preserve">Det fremgår </w:t>
      </w:r>
      <w:r w:rsidR="005E0BB5">
        <w:t xml:space="preserve">således </w:t>
      </w:r>
      <w:r w:rsidR="00075CC5">
        <w:t xml:space="preserve">af </w:t>
      </w:r>
      <w:r w:rsidR="00D42C28">
        <w:t>Rådets konklusioner a</w:t>
      </w:r>
      <w:r w:rsidR="00A50A53">
        <w:t>f 24. oktober 2014 om EU’s 2030-</w:t>
      </w:r>
      <w:r w:rsidR="00D42C28">
        <w:t xml:space="preserve">ramme, at EU og medlemsstaterne vil opfylde </w:t>
      </w:r>
      <w:r w:rsidR="002D5063">
        <w:t>sit</w:t>
      </w:r>
      <w:r w:rsidR="00D42C28">
        <w:t xml:space="preserve"> </w:t>
      </w:r>
      <w:r w:rsidR="00A03767">
        <w:t>reduktionsbidrag</w:t>
      </w:r>
      <w:r w:rsidR="00D42C28">
        <w:t xml:space="preserve"> </w:t>
      </w:r>
      <w:r w:rsidR="002D5063">
        <w:t>i fællesskab</w:t>
      </w:r>
      <w:r w:rsidR="00D42C28">
        <w:t xml:space="preserve">. </w:t>
      </w:r>
    </w:p>
    <w:p w14:paraId="38FFEE4D" w14:textId="0BFB1047" w:rsidR="002B7A44" w:rsidRDefault="002B7A44" w:rsidP="00D27742">
      <w:r>
        <w:lastRenderedPageBreak/>
        <w:t xml:space="preserve">EU har som sin første NDC til Parisaftalen indmeldt </w:t>
      </w:r>
      <w:r w:rsidRPr="005A65A1">
        <w:t xml:space="preserve">reduktion i drivhusgasudledningerne på mindst 40 </w:t>
      </w:r>
      <w:r>
        <w:t xml:space="preserve">pct. i 2030 i forhold til 1990. </w:t>
      </w:r>
      <w:r w:rsidR="00EA7C51">
        <w:t xml:space="preserve">EU’s reduktionsbidrag skal fordeles på de kvotebelagte sektorer (43 pct. i 2030 i forhold til 2005) og de ikke-kvotebelagte sektorer (30 pct. i 2030 i forhold til 2005). Reduktionsbidraget inden for de kvotebelagte sektorer håndteres i regi af kvotehandelsdirektivet, og det revisionsforslag, som Kommissionen har fremsat hertil i juli 2015. Reduktionsbidraget inden for de ikke-kvotebelagte sektorer vil blive </w:t>
      </w:r>
      <w:r>
        <w:t>byrdefordel</w:t>
      </w:r>
      <w:r w:rsidR="00EA7C51">
        <w:t xml:space="preserve">t blandt EU’s medlemsstater. </w:t>
      </w:r>
    </w:p>
    <w:p w14:paraId="4D65C967" w14:textId="77777777" w:rsidR="002B7A44" w:rsidRDefault="002B7A44" w:rsidP="00D27742"/>
    <w:p w14:paraId="54EC4E8E" w14:textId="77777777" w:rsidR="0095686B" w:rsidRPr="000D337F" w:rsidRDefault="00300BFB" w:rsidP="00D27742">
      <w:pPr>
        <w:rPr>
          <w:b/>
        </w:rPr>
      </w:pPr>
      <w:r w:rsidRPr="000D337F">
        <w:rPr>
          <w:b/>
        </w:rPr>
        <w:t>9</w:t>
      </w:r>
      <w:r w:rsidR="0095686B" w:rsidRPr="000D337F">
        <w:rPr>
          <w:b/>
        </w:rPr>
        <w:t xml:space="preserve">. </w:t>
      </w:r>
      <w:r w:rsidR="0017530D" w:rsidRPr="000D337F">
        <w:rPr>
          <w:b/>
        </w:rPr>
        <w:t xml:space="preserve">Grønland og Færøerne </w:t>
      </w:r>
    </w:p>
    <w:p w14:paraId="088E8B23" w14:textId="39AC2BC4" w:rsidR="00573689" w:rsidRDefault="00CC508F" w:rsidP="00D27742">
      <w:r>
        <w:t>Grønland</w:t>
      </w:r>
      <w:r w:rsidR="005E0BB5">
        <w:t xml:space="preserve"> og Færørene</w:t>
      </w:r>
      <w:r>
        <w:t xml:space="preserve"> </w:t>
      </w:r>
      <w:r w:rsidRPr="0034363D">
        <w:t xml:space="preserve">er </w:t>
      </w:r>
      <w:r>
        <w:t xml:space="preserve">ikke </w:t>
      </w:r>
      <w:r w:rsidRPr="0034363D">
        <w:t>selvstændige</w:t>
      </w:r>
      <w:r>
        <w:t xml:space="preserve"> parter til Parisaftalen</w:t>
      </w:r>
      <w:r w:rsidR="0017148C">
        <w:t xml:space="preserve">, da det udelukkende er </w:t>
      </w:r>
      <w:r w:rsidR="00395158">
        <w:t>Rigsfællesskabet</w:t>
      </w:r>
      <w:r w:rsidR="00141EF6">
        <w:t>,</w:t>
      </w:r>
      <w:r w:rsidR="0017148C">
        <w:t xml:space="preserve"> </w:t>
      </w:r>
      <w:r w:rsidR="00187FC5">
        <w:t xml:space="preserve">der er part til FN og således alene </w:t>
      </w:r>
      <w:r w:rsidR="0017148C">
        <w:t>har kompetence til at indgå folkeretlige forpligtigelser</w:t>
      </w:r>
      <w:r w:rsidR="009F07EC">
        <w:t xml:space="preserve">, men </w:t>
      </w:r>
      <w:r w:rsidR="00141EF6">
        <w:t xml:space="preserve">Grønland </w:t>
      </w:r>
      <w:r w:rsidR="00F62DB0">
        <w:t xml:space="preserve">og Færøerne </w:t>
      </w:r>
      <w:r w:rsidR="0017148C">
        <w:t xml:space="preserve">er </w:t>
      </w:r>
      <w:r>
        <w:t xml:space="preserve">omfattet af </w:t>
      </w:r>
      <w:r w:rsidR="00395158">
        <w:t>Rigsfællesskabet</w:t>
      </w:r>
      <w:r>
        <w:t xml:space="preserve">. </w:t>
      </w:r>
      <w:r w:rsidR="00395158">
        <w:t>Rigsfællesskabets</w:t>
      </w:r>
      <w:r w:rsidR="00B55880" w:rsidRPr="0034363D">
        <w:t xml:space="preserve"> </w:t>
      </w:r>
      <w:r w:rsidR="00B55880">
        <w:t>ratifikation af Parisaftalen</w:t>
      </w:r>
      <w:r w:rsidR="00B55880" w:rsidRPr="0034363D">
        <w:t xml:space="preserve"> vil som udgangspunkt </w:t>
      </w:r>
      <w:r w:rsidR="00770714">
        <w:t>gælde for</w:t>
      </w:r>
      <w:r w:rsidR="00770714" w:rsidRPr="0034363D">
        <w:t xml:space="preserve"> </w:t>
      </w:r>
      <w:r w:rsidR="00B55880" w:rsidRPr="0034363D">
        <w:t xml:space="preserve">alle dele af </w:t>
      </w:r>
      <w:r w:rsidR="00395158">
        <w:t>Rigsfællesskabet</w:t>
      </w:r>
      <w:r w:rsidR="00770714">
        <w:t>.</w:t>
      </w:r>
      <w:r w:rsidR="00B03BA8">
        <w:t xml:space="preserve"> </w:t>
      </w:r>
      <w:r w:rsidR="00770714">
        <w:t>D</w:t>
      </w:r>
      <w:r w:rsidR="00B03BA8">
        <w:t xml:space="preserve">er kan </w:t>
      </w:r>
      <w:r w:rsidR="00770714">
        <w:t xml:space="preserve">dog </w:t>
      </w:r>
      <w:r w:rsidR="00B03BA8">
        <w:t>i</w:t>
      </w:r>
      <w:r w:rsidR="002F5048">
        <w:t xml:space="preserve"> forbindelse med</w:t>
      </w:r>
      <w:r w:rsidR="00B03BA8">
        <w:t xml:space="preserve"> deponering af ratifikationsinstrument</w:t>
      </w:r>
      <w:r w:rsidR="00770714">
        <w:t>et</w:t>
      </w:r>
      <w:r w:rsidR="00B03BA8">
        <w:t xml:space="preserve"> til FN</w:t>
      </w:r>
      <w:r w:rsidR="00542F7C">
        <w:t xml:space="preserve"> tilkendegives, at aftalen ikke finder anvendelse på</w:t>
      </w:r>
      <w:r w:rsidR="00B03BA8">
        <w:t xml:space="preserve"> </w:t>
      </w:r>
      <w:r w:rsidR="00542F7C">
        <w:t xml:space="preserve">disse </w:t>
      </w:r>
      <w:r w:rsidR="00B03BA8">
        <w:t xml:space="preserve">dele af </w:t>
      </w:r>
      <w:r w:rsidR="00395158">
        <w:t>Rigsfællesskabet</w:t>
      </w:r>
      <w:r w:rsidR="00B55880">
        <w:t>.</w:t>
      </w:r>
      <w:r>
        <w:t xml:space="preserve"> </w:t>
      </w:r>
    </w:p>
    <w:p w14:paraId="5F7C6041" w14:textId="77777777" w:rsidR="00517C82" w:rsidRDefault="00517C82" w:rsidP="00D27742"/>
    <w:p w14:paraId="418593B3" w14:textId="77777777" w:rsidR="00517C82" w:rsidRDefault="001E51CA" w:rsidP="00D27742">
      <w:r>
        <w:t>Der har i løbet af foråret 2016 været drøftelser på embedsmands</w:t>
      </w:r>
      <w:r w:rsidR="005E0BB5">
        <w:t>niveau</w:t>
      </w:r>
      <w:r>
        <w:t xml:space="preserve"> med både Grønland</w:t>
      </w:r>
      <w:r w:rsidR="00770714">
        <w:t>s hjemmestyre</w:t>
      </w:r>
      <w:r>
        <w:t xml:space="preserve"> og Færøerne</w:t>
      </w:r>
      <w:r w:rsidR="00770714">
        <w:t>s landsstyre</w:t>
      </w:r>
      <w:r>
        <w:t xml:space="preserve"> med henblik på </w:t>
      </w:r>
      <w:r w:rsidR="00CB1C76">
        <w:t xml:space="preserve">en </w:t>
      </w:r>
      <w:r>
        <w:t xml:space="preserve">afklaring af, hvorvidt Grønland og Færøerne ønsker at være omfattet af </w:t>
      </w:r>
      <w:r w:rsidR="00770714">
        <w:t xml:space="preserve">Danmarks </w:t>
      </w:r>
      <w:r>
        <w:t>ratifikation af Parisaftalen</w:t>
      </w:r>
      <w:r w:rsidR="00044F41">
        <w:t xml:space="preserve">, </w:t>
      </w:r>
      <w:r w:rsidR="00044F41" w:rsidRPr="009B47EA">
        <w:t xml:space="preserve">jf. </w:t>
      </w:r>
      <w:r w:rsidR="002F5048">
        <w:t>henholdsvis l</w:t>
      </w:r>
      <w:r w:rsidR="00044F41" w:rsidRPr="009B47EA">
        <w:t xml:space="preserve">ov om Grønlands Selvstyre, </w:t>
      </w:r>
      <w:r w:rsidR="00044F41">
        <w:t>§ 13</w:t>
      </w:r>
      <w:r w:rsidR="002F5048">
        <w:t xml:space="preserve"> og lov om Færøernes hjemmestyre, § 7 stk. 2</w:t>
      </w:r>
      <w:r>
        <w:t xml:space="preserve">.  </w:t>
      </w:r>
    </w:p>
    <w:p w14:paraId="3C801E0F" w14:textId="77777777" w:rsidR="00CC508F" w:rsidRDefault="00CC508F" w:rsidP="00D27742"/>
    <w:p w14:paraId="1A0DEBBC" w14:textId="77777777" w:rsidR="00E0385B" w:rsidRPr="000D337F" w:rsidRDefault="00573689" w:rsidP="00D27742">
      <w:pPr>
        <w:rPr>
          <w:i/>
        </w:rPr>
      </w:pPr>
      <w:r w:rsidRPr="000D337F">
        <w:rPr>
          <w:i/>
        </w:rPr>
        <w:t>9</w:t>
      </w:r>
      <w:r w:rsidR="00E0385B" w:rsidRPr="000D337F">
        <w:rPr>
          <w:i/>
        </w:rPr>
        <w:t>.</w:t>
      </w:r>
      <w:r w:rsidR="0017530D" w:rsidRPr="000D337F">
        <w:rPr>
          <w:i/>
        </w:rPr>
        <w:t>1</w:t>
      </w:r>
      <w:r w:rsidR="00E0385B" w:rsidRPr="000D337F">
        <w:rPr>
          <w:i/>
        </w:rPr>
        <w:t>. Grønland</w:t>
      </w:r>
    </w:p>
    <w:p w14:paraId="23194D50" w14:textId="5C70AA45" w:rsidR="00044F41" w:rsidRDefault="00044F41" w:rsidP="00D27742">
      <w:r>
        <w:t xml:space="preserve">Naalakkersuisut </w:t>
      </w:r>
      <w:r w:rsidRPr="007D4C7F">
        <w:t xml:space="preserve">har </w:t>
      </w:r>
      <w:r>
        <w:t>i et</w:t>
      </w:r>
      <w:r w:rsidRPr="007D4C7F">
        <w:t xml:space="preserve"> brev </w:t>
      </w:r>
      <w:r>
        <w:t xml:space="preserve">af </w:t>
      </w:r>
      <w:r w:rsidRPr="007D4C7F">
        <w:t xml:space="preserve">den 8. april 2016 </w:t>
      </w:r>
      <w:r>
        <w:t>meddelt</w:t>
      </w:r>
      <w:r w:rsidRPr="007D4C7F">
        <w:t xml:space="preserve">, at </w:t>
      </w:r>
      <w:r>
        <w:t>Naalakkersuisut</w:t>
      </w:r>
      <w:r w:rsidRPr="007D4C7F">
        <w:t xml:space="preserve"> </w:t>
      </w:r>
      <w:r w:rsidR="0017148C">
        <w:t>ønsker</w:t>
      </w:r>
      <w:r w:rsidR="00435789">
        <w:t xml:space="preserve">, at Danmarks tiltrædelse af Parisaftalen </w:t>
      </w:r>
      <w:r w:rsidR="00E80EB5">
        <w:t xml:space="preserve">ikke </w:t>
      </w:r>
      <w:r w:rsidR="00435789">
        <w:t>omfatter Grønland.</w:t>
      </w:r>
      <w:r>
        <w:t xml:space="preserve"> </w:t>
      </w:r>
      <w:r w:rsidR="00435789">
        <w:t xml:space="preserve">I forbindelse med </w:t>
      </w:r>
      <w:r w:rsidR="00395158">
        <w:t>Rigsfællesskabets</w:t>
      </w:r>
      <w:r w:rsidR="00435789">
        <w:t xml:space="preserve"> ratifikation af Parisaftalen</w:t>
      </w:r>
      <w:r w:rsidR="00435789" w:rsidRPr="007D4C7F">
        <w:t xml:space="preserve"> </w:t>
      </w:r>
      <w:r w:rsidR="00435789">
        <w:t xml:space="preserve">vil der derfor blive </w:t>
      </w:r>
      <w:r w:rsidR="003E482A">
        <w:t>afgivet erklæring om, at Parisaftalen ikke finder anvendelse for Grønland</w:t>
      </w:r>
      <w:r>
        <w:t xml:space="preserve">. </w:t>
      </w:r>
    </w:p>
    <w:p w14:paraId="1CB7AA84" w14:textId="77777777" w:rsidR="000D337F" w:rsidRDefault="000D337F" w:rsidP="00D27742"/>
    <w:p w14:paraId="4D15431F" w14:textId="77777777" w:rsidR="00435789" w:rsidRPr="000D337F" w:rsidRDefault="00435789" w:rsidP="00D27742">
      <w:pPr>
        <w:rPr>
          <w:i/>
        </w:rPr>
      </w:pPr>
      <w:r w:rsidRPr="000D337F">
        <w:rPr>
          <w:i/>
        </w:rPr>
        <w:t>9.2 Færøerne</w:t>
      </w:r>
    </w:p>
    <w:p w14:paraId="43BCECCE" w14:textId="77777777" w:rsidR="00424E89" w:rsidRPr="00FC7CF4" w:rsidRDefault="00BD682F" w:rsidP="00D27742">
      <w:r>
        <w:t xml:space="preserve">Der pågår en dialog mellem Danmark og Færøerne med henblik på at afklare, hvorvidt Færøerne </w:t>
      </w:r>
      <w:r w:rsidRPr="002B7A44">
        <w:t xml:space="preserve">ønsker at være omfattet af Parisaftalen. </w:t>
      </w:r>
      <w:r w:rsidR="002B7A44" w:rsidRPr="002B7A44">
        <w:t>[</w:t>
      </w:r>
      <w:r w:rsidR="00680582" w:rsidRPr="002B7A44">
        <w:t xml:space="preserve">Regeringen har i forbindelse med </w:t>
      </w:r>
      <w:r w:rsidR="00FC7CF4" w:rsidRPr="002B7A44">
        <w:t xml:space="preserve">det foreliggende beslutningsforslag anmodet det færøske landsstyre om udtalelse </w:t>
      </w:r>
      <w:r w:rsidR="00637AA7" w:rsidRPr="002B7A44">
        <w:t>herom</w:t>
      </w:r>
      <w:r w:rsidR="004A767A" w:rsidRPr="002B7A44">
        <w:t xml:space="preserve"> (OPDATERES)</w:t>
      </w:r>
      <w:r w:rsidR="00FC7CF4" w:rsidRPr="002B7A44">
        <w:t xml:space="preserve">. </w:t>
      </w:r>
      <w:r w:rsidR="002B7A44" w:rsidRPr="002B7A44">
        <w:t>]</w:t>
      </w:r>
    </w:p>
    <w:p w14:paraId="41D56DEE" w14:textId="77777777" w:rsidR="00B6321E" w:rsidRDefault="00B6321E" w:rsidP="00D27742">
      <w:pPr>
        <w:rPr>
          <w:b/>
        </w:rPr>
      </w:pPr>
    </w:p>
    <w:p w14:paraId="46E2A78C" w14:textId="77777777" w:rsidR="007E71A3" w:rsidRPr="000D337F" w:rsidRDefault="00300BFB" w:rsidP="00D27742">
      <w:pPr>
        <w:rPr>
          <w:b/>
        </w:rPr>
      </w:pPr>
      <w:r w:rsidRPr="000D337F">
        <w:rPr>
          <w:b/>
        </w:rPr>
        <w:t>10</w:t>
      </w:r>
      <w:r w:rsidR="00424E89" w:rsidRPr="000D337F">
        <w:rPr>
          <w:b/>
        </w:rPr>
        <w:t xml:space="preserve">. </w:t>
      </w:r>
      <w:r w:rsidR="007E71A3" w:rsidRPr="000D337F">
        <w:rPr>
          <w:b/>
        </w:rPr>
        <w:t>Ligestillingsvurdering</w:t>
      </w:r>
    </w:p>
    <w:p w14:paraId="004278BC" w14:textId="77777777" w:rsidR="007E71A3" w:rsidRPr="00366639" w:rsidRDefault="00366639" w:rsidP="00D27742">
      <w:r w:rsidRPr="00366639">
        <w:t>Forslaget vurderes ikke umiddelbart at have nogen ligestillingsmæssige konsekvenser</w:t>
      </w:r>
      <w:r>
        <w:t xml:space="preserve">. I Parisaftalens præambel anerkender parterne til aftalen dog, at parterne i deres indsats for at adressere klimaforandringerne, skal respektere, fremme og </w:t>
      </w:r>
      <w:r w:rsidR="001C4AF2">
        <w:t xml:space="preserve">tage hensyn til </w:t>
      </w:r>
      <w:r>
        <w:t>deres respektive forpligtelser for så vidt angår kønnenes ligestilling</w:t>
      </w:r>
      <w:r w:rsidR="001C4AF2">
        <w:t xml:space="preserve"> og styrkels af kvinders indflydelse</w:t>
      </w:r>
      <w:r>
        <w:t>.</w:t>
      </w:r>
    </w:p>
    <w:p w14:paraId="111E73BB" w14:textId="77777777" w:rsidR="007E71A3" w:rsidRDefault="007E71A3" w:rsidP="00D27742"/>
    <w:p w14:paraId="584A7F96" w14:textId="77777777" w:rsidR="00424E89" w:rsidRPr="000D337F" w:rsidRDefault="007E71A3" w:rsidP="00D27742">
      <w:pPr>
        <w:rPr>
          <w:b/>
        </w:rPr>
      </w:pPr>
      <w:r w:rsidRPr="000D337F">
        <w:rPr>
          <w:b/>
        </w:rPr>
        <w:t xml:space="preserve">11. </w:t>
      </w:r>
      <w:r w:rsidR="00424E89" w:rsidRPr="000D337F">
        <w:rPr>
          <w:b/>
        </w:rPr>
        <w:t>Høring</w:t>
      </w:r>
    </w:p>
    <w:p w14:paraId="3D0D7D9B" w14:textId="77777777" w:rsidR="005C63BD" w:rsidRDefault="00366639" w:rsidP="00D27742">
      <w:r>
        <w:t>[…]</w:t>
      </w:r>
    </w:p>
    <w:sectPr w:rsidR="005C63B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476B" w14:textId="77777777" w:rsidR="00895800" w:rsidRDefault="00895800" w:rsidP="00D27742">
      <w:r>
        <w:separator/>
      </w:r>
    </w:p>
  </w:endnote>
  <w:endnote w:type="continuationSeparator" w:id="0">
    <w:p w14:paraId="7A69A219" w14:textId="77777777" w:rsidR="00895800" w:rsidRDefault="00895800" w:rsidP="00D27742">
      <w:r>
        <w:continuationSeparator/>
      </w:r>
    </w:p>
  </w:endnote>
  <w:endnote w:type="continuationNotice" w:id="1">
    <w:p w14:paraId="6544E980" w14:textId="77777777" w:rsidR="00895800" w:rsidRDefault="00895800" w:rsidP="00D27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0E3D" w14:textId="77777777" w:rsidR="00D165BA" w:rsidRDefault="00D165B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2539"/>
      <w:docPartObj>
        <w:docPartGallery w:val="Page Numbers (Bottom of Page)"/>
        <w:docPartUnique/>
      </w:docPartObj>
    </w:sdtPr>
    <w:sdtEndPr/>
    <w:sdtContent>
      <w:p w14:paraId="063ADBCA" w14:textId="77777777" w:rsidR="00F35EA0" w:rsidRDefault="00F35EA0" w:rsidP="00D27742">
        <w:pPr>
          <w:pStyle w:val="Sidefod"/>
        </w:pPr>
        <w:r>
          <w:t xml:space="preserve">Side </w:t>
        </w:r>
        <w:r>
          <w:fldChar w:fldCharType="begin"/>
        </w:r>
        <w:r>
          <w:instrText>PAGE   \* MERGEFORMAT</w:instrText>
        </w:r>
        <w:r>
          <w:fldChar w:fldCharType="separate"/>
        </w:r>
        <w:r w:rsidR="00BE62DE">
          <w:rPr>
            <w:noProof/>
          </w:rPr>
          <w:t>1</w:t>
        </w:r>
        <w:r>
          <w:fldChar w:fldCharType="end"/>
        </w:r>
        <w:r>
          <w:t>/18</w:t>
        </w:r>
      </w:p>
    </w:sdtContent>
  </w:sdt>
  <w:p w14:paraId="1B0E8CCF" w14:textId="77777777" w:rsidR="00F35EA0" w:rsidRDefault="00F35EA0" w:rsidP="00D2774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7316" w14:textId="77777777" w:rsidR="00D165BA" w:rsidRDefault="00D165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4D9CE" w14:textId="77777777" w:rsidR="00895800" w:rsidRDefault="00895800" w:rsidP="00D27742">
      <w:r>
        <w:separator/>
      </w:r>
    </w:p>
  </w:footnote>
  <w:footnote w:type="continuationSeparator" w:id="0">
    <w:p w14:paraId="4B8A3BEB" w14:textId="77777777" w:rsidR="00895800" w:rsidRDefault="00895800" w:rsidP="00D27742">
      <w:r>
        <w:continuationSeparator/>
      </w:r>
    </w:p>
  </w:footnote>
  <w:footnote w:type="continuationNotice" w:id="1">
    <w:p w14:paraId="7E178115" w14:textId="77777777" w:rsidR="00895800" w:rsidRDefault="00895800" w:rsidP="00D27742"/>
  </w:footnote>
  <w:footnote w:id="2">
    <w:p w14:paraId="7C67775E" w14:textId="77777777" w:rsidR="00F35EA0" w:rsidRPr="002F004D" w:rsidRDefault="00F35EA0" w:rsidP="00D27742">
      <w:pPr>
        <w:pStyle w:val="Fodnotetekst"/>
        <w:rPr>
          <w:rFonts w:ascii="Times New Roman" w:hAnsi="Times New Roman" w:cs="Times New Roman"/>
        </w:rPr>
      </w:pPr>
      <w:r w:rsidRPr="002F004D">
        <w:rPr>
          <w:rStyle w:val="Fodnotehenvisning"/>
          <w:rFonts w:ascii="Times New Roman" w:hAnsi="Times New Roman" w:cs="Times New Roman"/>
        </w:rPr>
        <w:footnoteRef/>
      </w:r>
      <w:r w:rsidRPr="002F004D">
        <w:rPr>
          <w:rFonts w:ascii="Times New Roman" w:hAnsi="Times New Roman" w:cs="Times New Roman"/>
        </w:rPr>
        <w:t xml:space="preserve"> Europa-Parlamentets og Rådets direktiv 2003/87/EF af 13. oktober 2003 om en ordning for handel med kvoter for drivhusgasemissioner.</w:t>
      </w:r>
    </w:p>
  </w:footnote>
  <w:footnote w:id="3">
    <w:p w14:paraId="285B53E6" w14:textId="77777777" w:rsidR="00F35EA0" w:rsidRPr="00B1721C" w:rsidRDefault="00F35EA0" w:rsidP="00D27742">
      <w:pPr>
        <w:pStyle w:val="Fodnotetekst"/>
        <w:rPr>
          <w:rFonts w:ascii="Times New Roman" w:hAnsi="Times New Roman" w:cs="Times New Roman"/>
          <w:lang w:val="en-US"/>
        </w:rPr>
      </w:pPr>
      <w:r w:rsidRPr="00B1721C">
        <w:rPr>
          <w:rStyle w:val="Fodnotehenvisning"/>
          <w:rFonts w:ascii="Times New Roman" w:hAnsi="Times New Roman" w:cs="Times New Roman"/>
        </w:rPr>
        <w:footnoteRef/>
      </w:r>
      <w:r w:rsidRPr="00B1721C">
        <w:rPr>
          <w:rFonts w:ascii="Times New Roman" w:hAnsi="Times New Roman" w:cs="Times New Roman"/>
          <w:lang w:val="en-US"/>
        </w:rPr>
        <w:t xml:space="preserve"> UNEP (2015): The Emissions Gap Report 2015</w:t>
      </w:r>
    </w:p>
  </w:footnote>
  <w:footnote w:id="4">
    <w:p w14:paraId="52AE770B" w14:textId="77777777" w:rsidR="00F35EA0" w:rsidRPr="00B1721C" w:rsidRDefault="00F35EA0" w:rsidP="00D27742">
      <w:pPr>
        <w:pStyle w:val="Fodnotetekst"/>
        <w:rPr>
          <w:rFonts w:ascii="Times New Roman" w:hAnsi="Times New Roman" w:cs="Times New Roman"/>
          <w:lang w:val="en-US"/>
        </w:rPr>
      </w:pPr>
      <w:r w:rsidRPr="00B1721C">
        <w:rPr>
          <w:rStyle w:val="Fodnotehenvisning"/>
          <w:rFonts w:ascii="Times New Roman" w:hAnsi="Times New Roman" w:cs="Times New Roman"/>
        </w:rPr>
        <w:footnoteRef/>
      </w:r>
      <w:r w:rsidRPr="00B1721C">
        <w:rPr>
          <w:rFonts w:ascii="Times New Roman" w:hAnsi="Times New Roman" w:cs="Times New Roman"/>
          <w:lang w:val="en-US"/>
        </w:rPr>
        <w:t xml:space="preserve"> IPCC (2014): Climate Change 2014: Synthesis Report. Intergovernmental Panel on Climate Change (IPCC), Geneva. </w:t>
      </w:r>
    </w:p>
    <w:p w14:paraId="0A19CEB2" w14:textId="77777777" w:rsidR="00F35EA0" w:rsidRPr="002F7687" w:rsidRDefault="00F35EA0" w:rsidP="00D27742">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3B5F" w14:textId="77777777" w:rsidR="00D165BA" w:rsidRDefault="00D165B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A881" w14:textId="77777777" w:rsidR="00D165BA" w:rsidRDefault="00D165B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1F0A" w14:textId="77777777" w:rsidR="00D165BA" w:rsidRDefault="00D165B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340"/>
    <w:multiLevelType w:val="hybridMultilevel"/>
    <w:tmpl w:val="87E2532C"/>
    <w:lvl w:ilvl="0" w:tplc="103C382A">
      <w:start w:val="1"/>
      <w:numFmt w:val="bullet"/>
      <w:lvlText w:val="•"/>
      <w:lvlJc w:val="left"/>
      <w:pPr>
        <w:tabs>
          <w:tab w:val="num" w:pos="720"/>
        </w:tabs>
        <w:ind w:left="720" w:hanging="360"/>
      </w:pPr>
      <w:rPr>
        <w:rFonts w:ascii="Arial" w:hAnsi="Arial" w:hint="default"/>
      </w:rPr>
    </w:lvl>
    <w:lvl w:ilvl="1" w:tplc="EAE01ACE" w:tentative="1">
      <w:start w:val="1"/>
      <w:numFmt w:val="bullet"/>
      <w:lvlText w:val="•"/>
      <w:lvlJc w:val="left"/>
      <w:pPr>
        <w:tabs>
          <w:tab w:val="num" w:pos="1440"/>
        </w:tabs>
        <w:ind w:left="1440" w:hanging="360"/>
      </w:pPr>
      <w:rPr>
        <w:rFonts w:ascii="Arial" w:hAnsi="Arial" w:hint="default"/>
      </w:rPr>
    </w:lvl>
    <w:lvl w:ilvl="2" w:tplc="AB845126" w:tentative="1">
      <w:start w:val="1"/>
      <w:numFmt w:val="bullet"/>
      <w:lvlText w:val="•"/>
      <w:lvlJc w:val="left"/>
      <w:pPr>
        <w:tabs>
          <w:tab w:val="num" w:pos="2160"/>
        </w:tabs>
        <w:ind w:left="2160" w:hanging="360"/>
      </w:pPr>
      <w:rPr>
        <w:rFonts w:ascii="Arial" w:hAnsi="Arial" w:hint="default"/>
      </w:rPr>
    </w:lvl>
    <w:lvl w:ilvl="3" w:tplc="6E4A7AFC" w:tentative="1">
      <w:start w:val="1"/>
      <w:numFmt w:val="bullet"/>
      <w:lvlText w:val="•"/>
      <w:lvlJc w:val="left"/>
      <w:pPr>
        <w:tabs>
          <w:tab w:val="num" w:pos="2880"/>
        </w:tabs>
        <w:ind w:left="2880" w:hanging="360"/>
      </w:pPr>
      <w:rPr>
        <w:rFonts w:ascii="Arial" w:hAnsi="Arial" w:hint="default"/>
      </w:rPr>
    </w:lvl>
    <w:lvl w:ilvl="4" w:tplc="B2C6C44C" w:tentative="1">
      <w:start w:val="1"/>
      <w:numFmt w:val="bullet"/>
      <w:lvlText w:val="•"/>
      <w:lvlJc w:val="left"/>
      <w:pPr>
        <w:tabs>
          <w:tab w:val="num" w:pos="3600"/>
        </w:tabs>
        <w:ind w:left="3600" w:hanging="360"/>
      </w:pPr>
      <w:rPr>
        <w:rFonts w:ascii="Arial" w:hAnsi="Arial" w:hint="default"/>
      </w:rPr>
    </w:lvl>
    <w:lvl w:ilvl="5" w:tplc="50CE7EBC" w:tentative="1">
      <w:start w:val="1"/>
      <w:numFmt w:val="bullet"/>
      <w:lvlText w:val="•"/>
      <w:lvlJc w:val="left"/>
      <w:pPr>
        <w:tabs>
          <w:tab w:val="num" w:pos="4320"/>
        </w:tabs>
        <w:ind w:left="4320" w:hanging="360"/>
      </w:pPr>
      <w:rPr>
        <w:rFonts w:ascii="Arial" w:hAnsi="Arial" w:hint="default"/>
      </w:rPr>
    </w:lvl>
    <w:lvl w:ilvl="6" w:tplc="599ADBB6" w:tentative="1">
      <w:start w:val="1"/>
      <w:numFmt w:val="bullet"/>
      <w:lvlText w:val="•"/>
      <w:lvlJc w:val="left"/>
      <w:pPr>
        <w:tabs>
          <w:tab w:val="num" w:pos="5040"/>
        </w:tabs>
        <w:ind w:left="5040" w:hanging="360"/>
      </w:pPr>
      <w:rPr>
        <w:rFonts w:ascii="Arial" w:hAnsi="Arial" w:hint="default"/>
      </w:rPr>
    </w:lvl>
    <w:lvl w:ilvl="7" w:tplc="5288C3B2" w:tentative="1">
      <w:start w:val="1"/>
      <w:numFmt w:val="bullet"/>
      <w:lvlText w:val="•"/>
      <w:lvlJc w:val="left"/>
      <w:pPr>
        <w:tabs>
          <w:tab w:val="num" w:pos="5760"/>
        </w:tabs>
        <w:ind w:left="5760" w:hanging="360"/>
      </w:pPr>
      <w:rPr>
        <w:rFonts w:ascii="Arial" w:hAnsi="Arial" w:hint="default"/>
      </w:rPr>
    </w:lvl>
    <w:lvl w:ilvl="8" w:tplc="1B20EC9C" w:tentative="1">
      <w:start w:val="1"/>
      <w:numFmt w:val="bullet"/>
      <w:lvlText w:val="•"/>
      <w:lvlJc w:val="left"/>
      <w:pPr>
        <w:tabs>
          <w:tab w:val="num" w:pos="6480"/>
        </w:tabs>
        <w:ind w:left="6480" w:hanging="360"/>
      </w:pPr>
      <w:rPr>
        <w:rFonts w:ascii="Arial" w:hAnsi="Arial" w:hint="default"/>
      </w:rPr>
    </w:lvl>
  </w:abstractNum>
  <w:abstractNum w:abstractNumId="1">
    <w:nsid w:val="174014DA"/>
    <w:multiLevelType w:val="hybridMultilevel"/>
    <w:tmpl w:val="21E803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FCE027B"/>
    <w:multiLevelType w:val="multilevel"/>
    <w:tmpl w:val="8970FDF0"/>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406518BD"/>
    <w:multiLevelType w:val="hybridMultilevel"/>
    <w:tmpl w:val="7AF230E8"/>
    <w:lvl w:ilvl="0" w:tplc="86481656">
      <w:start w:val="1"/>
      <w:numFmt w:val="bullet"/>
      <w:lvlText w:val="•"/>
      <w:lvlJc w:val="left"/>
      <w:pPr>
        <w:tabs>
          <w:tab w:val="num" w:pos="720"/>
        </w:tabs>
        <w:ind w:left="720" w:hanging="360"/>
      </w:pPr>
      <w:rPr>
        <w:rFonts w:ascii="Arial" w:hAnsi="Arial" w:hint="default"/>
      </w:rPr>
    </w:lvl>
    <w:lvl w:ilvl="1" w:tplc="50486FF2" w:tentative="1">
      <w:start w:val="1"/>
      <w:numFmt w:val="bullet"/>
      <w:lvlText w:val="•"/>
      <w:lvlJc w:val="left"/>
      <w:pPr>
        <w:tabs>
          <w:tab w:val="num" w:pos="1440"/>
        </w:tabs>
        <w:ind w:left="1440" w:hanging="360"/>
      </w:pPr>
      <w:rPr>
        <w:rFonts w:ascii="Arial" w:hAnsi="Arial" w:hint="default"/>
      </w:rPr>
    </w:lvl>
    <w:lvl w:ilvl="2" w:tplc="25BAD380" w:tentative="1">
      <w:start w:val="1"/>
      <w:numFmt w:val="bullet"/>
      <w:lvlText w:val="•"/>
      <w:lvlJc w:val="left"/>
      <w:pPr>
        <w:tabs>
          <w:tab w:val="num" w:pos="2160"/>
        </w:tabs>
        <w:ind w:left="2160" w:hanging="360"/>
      </w:pPr>
      <w:rPr>
        <w:rFonts w:ascii="Arial" w:hAnsi="Arial" w:hint="default"/>
      </w:rPr>
    </w:lvl>
    <w:lvl w:ilvl="3" w:tplc="8E9A47D6" w:tentative="1">
      <w:start w:val="1"/>
      <w:numFmt w:val="bullet"/>
      <w:lvlText w:val="•"/>
      <w:lvlJc w:val="left"/>
      <w:pPr>
        <w:tabs>
          <w:tab w:val="num" w:pos="2880"/>
        </w:tabs>
        <w:ind w:left="2880" w:hanging="360"/>
      </w:pPr>
      <w:rPr>
        <w:rFonts w:ascii="Arial" w:hAnsi="Arial" w:hint="default"/>
      </w:rPr>
    </w:lvl>
    <w:lvl w:ilvl="4" w:tplc="6284D916" w:tentative="1">
      <w:start w:val="1"/>
      <w:numFmt w:val="bullet"/>
      <w:lvlText w:val="•"/>
      <w:lvlJc w:val="left"/>
      <w:pPr>
        <w:tabs>
          <w:tab w:val="num" w:pos="3600"/>
        </w:tabs>
        <w:ind w:left="3600" w:hanging="360"/>
      </w:pPr>
      <w:rPr>
        <w:rFonts w:ascii="Arial" w:hAnsi="Arial" w:hint="default"/>
      </w:rPr>
    </w:lvl>
    <w:lvl w:ilvl="5" w:tplc="C64CFEB4" w:tentative="1">
      <w:start w:val="1"/>
      <w:numFmt w:val="bullet"/>
      <w:lvlText w:val="•"/>
      <w:lvlJc w:val="left"/>
      <w:pPr>
        <w:tabs>
          <w:tab w:val="num" w:pos="4320"/>
        </w:tabs>
        <w:ind w:left="4320" w:hanging="360"/>
      </w:pPr>
      <w:rPr>
        <w:rFonts w:ascii="Arial" w:hAnsi="Arial" w:hint="default"/>
      </w:rPr>
    </w:lvl>
    <w:lvl w:ilvl="6" w:tplc="04DE3BB0" w:tentative="1">
      <w:start w:val="1"/>
      <w:numFmt w:val="bullet"/>
      <w:lvlText w:val="•"/>
      <w:lvlJc w:val="left"/>
      <w:pPr>
        <w:tabs>
          <w:tab w:val="num" w:pos="5040"/>
        </w:tabs>
        <w:ind w:left="5040" w:hanging="360"/>
      </w:pPr>
      <w:rPr>
        <w:rFonts w:ascii="Arial" w:hAnsi="Arial" w:hint="default"/>
      </w:rPr>
    </w:lvl>
    <w:lvl w:ilvl="7" w:tplc="1B5E4246" w:tentative="1">
      <w:start w:val="1"/>
      <w:numFmt w:val="bullet"/>
      <w:lvlText w:val="•"/>
      <w:lvlJc w:val="left"/>
      <w:pPr>
        <w:tabs>
          <w:tab w:val="num" w:pos="5760"/>
        </w:tabs>
        <w:ind w:left="5760" w:hanging="360"/>
      </w:pPr>
      <w:rPr>
        <w:rFonts w:ascii="Arial" w:hAnsi="Arial" w:hint="default"/>
      </w:rPr>
    </w:lvl>
    <w:lvl w:ilvl="8" w:tplc="D81EAE20" w:tentative="1">
      <w:start w:val="1"/>
      <w:numFmt w:val="bullet"/>
      <w:lvlText w:val="•"/>
      <w:lvlJc w:val="left"/>
      <w:pPr>
        <w:tabs>
          <w:tab w:val="num" w:pos="6480"/>
        </w:tabs>
        <w:ind w:left="6480" w:hanging="360"/>
      </w:pPr>
      <w:rPr>
        <w:rFonts w:ascii="Arial" w:hAnsi="Arial" w:hint="default"/>
      </w:rPr>
    </w:lvl>
  </w:abstractNum>
  <w:abstractNum w:abstractNumId="4">
    <w:nsid w:val="428367A1"/>
    <w:multiLevelType w:val="hybridMultilevel"/>
    <w:tmpl w:val="2F88FE9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66953B2"/>
    <w:multiLevelType w:val="hybridMultilevel"/>
    <w:tmpl w:val="C9CE999A"/>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AB80248"/>
    <w:multiLevelType w:val="hybridMultilevel"/>
    <w:tmpl w:val="D8EC567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730670E"/>
    <w:multiLevelType w:val="hybridMultilevel"/>
    <w:tmpl w:val="DE82E64E"/>
    <w:lvl w:ilvl="0" w:tplc="6A5481B0">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6D0B13BA"/>
    <w:multiLevelType w:val="hybridMultilevel"/>
    <w:tmpl w:val="3230AB4E"/>
    <w:lvl w:ilvl="0" w:tplc="27343A8A">
      <w:start w:val="1"/>
      <w:numFmt w:val="lowerRoman"/>
      <w:lvlText w:val="%1)"/>
      <w:lvlJc w:val="left"/>
      <w:pPr>
        <w:ind w:left="1440" w:hanging="720"/>
      </w:pPr>
      <w:rPr>
        <w:rFonts w:hint="default"/>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6FF133F7"/>
    <w:multiLevelType w:val="hybridMultilevel"/>
    <w:tmpl w:val="73BEA2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4C922B2"/>
    <w:multiLevelType w:val="hybridMultilevel"/>
    <w:tmpl w:val="62F84658"/>
    <w:lvl w:ilvl="0" w:tplc="FEC69B2A">
      <w:start w:val="1"/>
      <w:numFmt w:val="bullet"/>
      <w:lvlText w:val="•"/>
      <w:lvlJc w:val="left"/>
      <w:pPr>
        <w:tabs>
          <w:tab w:val="num" w:pos="720"/>
        </w:tabs>
        <w:ind w:left="720" w:hanging="360"/>
      </w:pPr>
      <w:rPr>
        <w:rFonts w:ascii="Times New Roman" w:hAnsi="Times New Roman" w:hint="default"/>
      </w:rPr>
    </w:lvl>
    <w:lvl w:ilvl="1" w:tplc="1BBA2200" w:tentative="1">
      <w:start w:val="1"/>
      <w:numFmt w:val="bullet"/>
      <w:lvlText w:val="•"/>
      <w:lvlJc w:val="left"/>
      <w:pPr>
        <w:tabs>
          <w:tab w:val="num" w:pos="1440"/>
        </w:tabs>
        <w:ind w:left="1440" w:hanging="360"/>
      </w:pPr>
      <w:rPr>
        <w:rFonts w:ascii="Times New Roman" w:hAnsi="Times New Roman" w:hint="default"/>
      </w:rPr>
    </w:lvl>
    <w:lvl w:ilvl="2" w:tplc="BAC81DEE" w:tentative="1">
      <w:start w:val="1"/>
      <w:numFmt w:val="bullet"/>
      <w:lvlText w:val="•"/>
      <w:lvlJc w:val="left"/>
      <w:pPr>
        <w:tabs>
          <w:tab w:val="num" w:pos="2160"/>
        </w:tabs>
        <w:ind w:left="2160" w:hanging="360"/>
      </w:pPr>
      <w:rPr>
        <w:rFonts w:ascii="Times New Roman" w:hAnsi="Times New Roman" w:hint="default"/>
      </w:rPr>
    </w:lvl>
    <w:lvl w:ilvl="3" w:tplc="756AC00C" w:tentative="1">
      <w:start w:val="1"/>
      <w:numFmt w:val="bullet"/>
      <w:lvlText w:val="•"/>
      <w:lvlJc w:val="left"/>
      <w:pPr>
        <w:tabs>
          <w:tab w:val="num" w:pos="2880"/>
        </w:tabs>
        <w:ind w:left="2880" w:hanging="360"/>
      </w:pPr>
      <w:rPr>
        <w:rFonts w:ascii="Times New Roman" w:hAnsi="Times New Roman" w:hint="default"/>
      </w:rPr>
    </w:lvl>
    <w:lvl w:ilvl="4" w:tplc="08864718" w:tentative="1">
      <w:start w:val="1"/>
      <w:numFmt w:val="bullet"/>
      <w:lvlText w:val="•"/>
      <w:lvlJc w:val="left"/>
      <w:pPr>
        <w:tabs>
          <w:tab w:val="num" w:pos="3600"/>
        </w:tabs>
        <w:ind w:left="3600" w:hanging="360"/>
      </w:pPr>
      <w:rPr>
        <w:rFonts w:ascii="Times New Roman" w:hAnsi="Times New Roman" w:hint="default"/>
      </w:rPr>
    </w:lvl>
    <w:lvl w:ilvl="5" w:tplc="CDF85DAC" w:tentative="1">
      <w:start w:val="1"/>
      <w:numFmt w:val="bullet"/>
      <w:lvlText w:val="•"/>
      <w:lvlJc w:val="left"/>
      <w:pPr>
        <w:tabs>
          <w:tab w:val="num" w:pos="4320"/>
        </w:tabs>
        <w:ind w:left="4320" w:hanging="360"/>
      </w:pPr>
      <w:rPr>
        <w:rFonts w:ascii="Times New Roman" w:hAnsi="Times New Roman" w:hint="default"/>
      </w:rPr>
    </w:lvl>
    <w:lvl w:ilvl="6" w:tplc="F4AE5E88" w:tentative="1">
      <w:start w:val="1"/>
      <w:numFmt w:val="bullet"/>
      <w:lvlText w:val="•"/>
      <w:lvlJc w:val="left"/>
      <w:pPr>
        <w:tabs>
          <w:tab w:val="num" w:pos="5040"/>
        </w:tabs>
        <w:ind w:left="5040" w:hanging="360"/>
      </w:pPr>
      <w:rPr>
        <w:rFonts w:ascii="Times New Roman" w:hAnsi="Times New Roman" w:hint="default"/>
      </w:rPr>
    </w:lvl>
    <w:lvl w:ilvl="7" w:tplc="E51A9730" w:tentative="1">
      <w:start w:val="1"/>
      <w:numFmt w:val="bullet"/>
      <w:lvlText w:val="•"/>
      <w:lvlJc w:val="left"/>
      <w:pPr>
        <w:tabs>
          <w:tab w:val="num" w:pos="5760"/>
        </w:tabs>
        <w:ind w:left="5760" w:hanging="360"/>
      </w:pPr>
      <w:rPr>
        <w:rFonts w:ascii="Times New Roman" w:hAnsi="Times New Roman" w:hint="default"/>
      </w:rPr>
    </w:lvl>
    <w:lvl w:ilvl="8" w:tplc="961E68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651578A"/>
    <w:multiLevelType w:val="hybridMultilevel"/>
    <w:tmpl w:val="150A8D7E"/>
    <w:lvl w:ilvl="0" w:tplc="C11A9586">
      <w:start w:val="1"/>
      <w:numFmt w:val="bullet"/>
      <w:lvlText w:val="•"/>
      <w:lvlJc w:val="left"/>
      <w:pPr>
        <w:tabs>
          <w:tab w:val="num" w:pos="720"/>
        </w:tabs>
        <w:ind w:left="720" w:hanging="360"/>
      </w:pPr>
      <w:rPr>
        <w:rFonts w:ascii="Arial" w:hAnsi="Arial" w:hint="default"/>
      </w:rPr>
    </w:lvl>
    <w:lvl w:ilvl="1" w:tplc="D33A0830" w:tentative="1">
      <w:start w:val="1"/>
      <w:numFmt w:val="bullet"/>
      <w:lvlText w:val="•"/>
      <w:lvlJc w:val="left"/>
      <w:pPr>
        <w:tabs>
          <w:tab w:val="num" w:pos="1440"/>
        </w:tabs>
        <w:ind w:left="1440" w:hanging="360"/>
      </w:pPr>
      <w:rPr>
        <w:rFonts w:ascii="Arial" w:hAnsi="Arial" w:hint="default"/>
      </w:rPr>
    </w:lvl>
    <w:lvl w:ilvl="2" w:tplc="73227C6C" w:tentative="1">
      <w:start w:val="1"/>
      <w:numFmt w:val="bullet"/>
      <w:lvlText w:val="•"/>
      <w:lvlJc w:val="left"/>
      <w:pPr>
        <w:tabs>
          <w:tab w:val="num" w:pos="2160"/>
        </w:tabs>
        <w:ind w:left="2160" w:hanging="360"/>
      </w:pPr>
      <w:rPr>
        <w:rFonts w:ascii="Arial" w:hAnsi="Arial" w:hint="default"/>
      </w:rPr>
    </w:lvl>
    <w:lvl w:ilvl="3" w:tplc="B748DEAE" w:tentative="1">
      <w:start w:val="1"/>
      <w:numFmt w:val="bullet"/>
      <w:lvlText w:val="•"/>
      <w:lvlJc w:val="left"/>
      <w:pPr>
        <w:tabs>
          <w:tab w:val="num" w:pos="2880"/>
        </w:tabs>
        <w:ind w:left="2880" w:hanging="360"/>
      </w:pPr>
      <w:rPr>
        <w:rFonts w:ascii="Arial" w:hAnsi="Arial" w:hint="default"/>
      </w:rPr>
    </w:lvl>
    <w:lvl w:ilvl="4" w:tplc="65780DEC" w:tentative="1">
      <w:start w:val="1"/>
      <w:numFmt w:val="bullet"/>
      <w:lvlText w:val="•"/>
      <w:lvlJc w:val="left"/>
      <w:pPr>
        <w:tabs>
          <w:tab w:val="num" w:pos="3600"/>
        </w:tabs>
        <w:ind w:left="3600" w:hanging="360"/>
      </w:pPr>
      <w:rPr>
        <w:rFonts w:ascii="Arial" w:hAnsi="Arial" w:hint="default"/>
      </w:rPr>
    </w:lvl>
    <w:lvl w:ilvl="5" w:tplc="6E66CF58" w:tentative="1">
      <w:start w:val="1"/>
      <w:numFmt w:val="bullet"/>
      <w:lvlText w:val="•"/>
      <w:lvlJc w:val="left"/>
      <w:pPr>
        <w:tabs>
          <w:tab w:val="num" w:pos="4320"/>
        </w:tabs>
        <w:ind w:left="4320" w:hanging="360"/>
      </w:pPr>
      <w:rPr>
        <w:rFonts w:ascii="Arial" w:hAnsi="Arial" w:hint="default"/>
      </w:rPr>
    </w:lvl>
    <w:lvl w:ilvl="6" w:tplc="1284D412" w:tentative="1">
      <w:start w:val="1"/>
      <w:numFmt w:val="bullet"/>
      <w:lvlText w:val="•"/>
      <w:lvlJc w:val="left"/>
      <w:pPr>
        <w:tabs>
          <w:tab w:val="num" w:pos="5040"/>
        </w:tabs>
        <w:ind w:left="5040" w:hanging="360"/>
      </w:pPr>
      <w:rPr>
        <w:rFonts w:ascii="Arial" w:hAnsi="Arial" w:hint="default"/>
      </w:rPr>
    </w:lvl>
    <w:lvl w:ilvl="7" w:tplc="34088C18" w:tentative="1">
      <w:start w:val="1"/>
      <w:numFmt w:val="bullet"/>
      <w:lvlText w:val="•"/>
      <w:lvlJc w:val="left"/>
      <w:pPr>
        <w:tabs>
          <w:tab w:val="num" w:pos="5760"/>
        </w:tabs>
        <w:ind w:left="5760" w:hanging="360"/>
      </w:pPr>
      <w:rPr>
        <w:rFonts w:ascii="Arial" w:hAnsi="Arial" w:hint="default"/>
      </w:rPr>
    </w:lvl>
    <w:lvl w:ilvl="8" w:tplc="1806E7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8"/>
  </w:num>
  <w:num w:numId="4">
    <w:abstractNumId w:val="9"/>
  </w:num>
  <w:num w:numId="5">
    <w:abstractNumId w:val="5"/>
  </w:num>
  <w:num w:numId="6">
    <w:abstractNumId w:val="2"/>
  </w:num>
  <w:num w:numId="7">
    <w:abstractNumId w:val="10"/>
  </w:num>
  <w:num w:numId="8">
    <w:abstractNumId w:val="0"/>
  </w:num>
  <w:num w:numId="9">
    <w:abstractNumId w:val="11"/>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A"/>
    <w:rsid w:val="0000153B"/>
    <w:rsid w:val="00004C31"/>
    <w:rsid w:val="00005CFA"/>
    <w:rsid w:val="00006184"/>
    <w:rsid w:val="00007CF3"/>
    <w:rsid w:val="000112E1"/>
    <w:rsid w:val="00013A63"/>
    <w:rsid w:val="00015664"/>
    <w:rsid w:val="000164F8"/>
    <w:rsid w:val="00017266"/>
    <w:rsid w:val="0002018A"/>
    <w:rsid w:val="000219EB"/>
    <w:rsid w:val="000221BA"/>
    <w:rsid w:val="0002496A"/>
    <w:rsid w:val="00027F27"/>
    <w:rsid w:val="00031C61"/>
    <w:rsid w:val="00033380"/>
    <w:rsid w:val="00034539"/>
    <w:rsid w:val="0003573B"/>
    <w:rsid w:val="00040330"/>
    <w:rsid w:val="000417FC"/>
    <w:rsid w:val="00043F13"/>
    <w:rsid w:val="00044F41"/>
    <w:rsid w:val="000462E3"/>
    <w:rsid w:val="00047250"/>
    <w:rsid w:val="0005179E"/>
    <w:rsid w:val="00051ABB"/>
    <w:rsid w:val="00054306"/>
    <w:rsid w:val="00055E60"/>
    <w:rsid w:val="00062702"/>
    <w:rsid w:val="00071A7B"/>
    <w:rsid w:val="00073938"/>
    <w:rsid w:val="0007424E"/>
    <w:rsid w:val="00074647"/>
    <w:rsid w:val="00075CC5"/>
    <w:rsid w:val="00075EEE"/>
    <w:rsid w:val="000775EE"/>
    <w:rsid w:val="00083E8E"/>
    <w:rsid w:val="000849BE"/>
    <w:rsid w:val="00084D2D"/>
    <w:rsid w:val="000876E9"/>
    <w:rsid w:val="0009549F"/>
    <w:rsid w:val="0009683B"/>
    <w:rsid w:val="000A1F0A"/>
    <w:rsid w:val="000A2F39"/>
    <w:rsid w:val="000A716A"/>
    <w:rsid w:val="000B15CA"/>
    <w:rsid w:val="000B29D4"/>
    <w:rsid w:val="000B4205"/>
    <w:rsid w:val="000B6470"/>
    <w:rsid w:val="000B7241"/>
    <w:rsid w:val="000C0F4B"/>
    <w:rsid w:val="000C1289"/>
    <w:rsid w:val="000C2C1C"/>
    <w:rsid w:val="000C3AD1"/>
    <w:rsid w:val="000C512D"/>
    <w:rsid w:val="000C545C"/>
    <w:rsid w:val="000C5932"/>
    <w:rsid w:val="000D16A0"/>
    <w:rsid w:val="000D337F"/>
    <w:rsid w:val="000D3D9F"/>
    <w:rsid w:val="000D75A3"/>
    <w:rsid w:val="000E19FF"/>
    <w:rsid w:val="000E2E19"/>
    <w:rsid w:val="000E781E"/>
    <w:rsid w:val="000F0D54"/>
    <w:rsid w:val="000F13B2"/>
    <w:rsid w:val="000F289D"/>
    <w:rsid w:val="001007FF"/>
    <w:rsid w:val="00101848"/>
    <w:rsid w:val="00104B21"/>
    <w:rsid w:val="001056CC"/>
    <w:rsid w:val="00110CF8"/>
    <w:rsid w:val="001136C0"/>
    <w:rsid w:val="0011436C"/>
    <w:rsid w:val="0011537E"/>
    <w:rsid w:val="0011731F"/>
    <w:rsid w:val="0011748C"/>
    <w:rsid w:val="001241A4"/>
    <w:rsid w:val="00124663"/>
    <w:rsid w:val="00125744"/>
    <w:rsid w:val="00126B73"/>
    <w:rsid w:val="00126FDB"/>
    <w:rsid w:val="00127CBC"/>
    <w:rsid w:val="001318B7"/>
    <w:rsid w:val="00131C86"/>
    <w:rsid w:val="00133103"/>
    <w:rsid w:val="001333B0"/>
    <w:rsid w:val="0013446C"/>
    <w:rsid w:val="001353A5"/>
    <w:rsid w:val="001400B5"/>
    <w:rsid w:val="00141EF6"/>
    <w:rsid w:val="00142EB9"/>
    <w:rsid w:val="00143C1E"/>
    <w:rsid w:val="00144D16"/>
    <w:rsid w:val="00146392"/>
    <w:rsid w:val="00147F6D"/>
    <w:rsid w:val="0015210A"/>
    <w:rsid w:val="001524D0"/>
    <w:rsid w:val="00153314"/>
    <w:rsid w:val="00157CE0"/>
    <w:rsid w:val="00157DD1"/>
    <w:rsid w:val="00157ED0"/>
    <w:rsid w:val="001657C9"/>
    <w:rsid w:val="0017148C"/>
    <w:rsid w:val="00172584"/>
    <w:rsid w:val="00172893"/>
    <w:rsid w:val="0017530D"/>
    <w:rsid w:val="001763CA"/>
    <w:rsid w:val="00176981"/>
    <w:rsid w:val="001775DA"/>
    <w:rsid w:val="00177AAB"/>
    <w:rsid w:val="00177DA6"/>
    <w:rsid w:val="0018320B"/>
    <w:rsid w:val="0018782C"/>
    <w:rsid w:val="00187FC5"/>
    <w:rsid w:val="0019506A"/>
    <w:rsid w:val="00196581"/>
    <w:rsid w:val="00197934"/>
    <w:rsid w:val="001A0C13"/>
    <w:rsid w:val="001A6AA2"/>
    <w:rsid w:val="001A77B9"/>
    <w:rsid w:val="001B19FE"/>
    <w:rsid w:val="001B20F3"/>
    <w:rsid w:val="001B4A65"/>
    <w:rsid w:val="001B5321"/>
    <w:rsid w:val="001B639D"/>
    <w:rsid w:val="001B63F4"/>
    <w:rsid w:val="001B6DD1"/>
    <w:rsid w:val="001B7AB3"/>
    <w:rsid w:val="001C0335"/>
    <w:rsid w:val="001C1D0A"/>
    <w:rsid w:val="001C273E"/>
    <w:rsid w:val="001C3C35"/>
    <w:rsid w:val="001C4AF2"/>
    <w:rsid w:val="001D03EC"/>
    <w:rsid w:val="001D3EC0"/>
    <w:rsid w:val="001D495C"/>
    <w:rsid w:val="001D6070"/>
    <w:rsid w:val="001D6F9C"/>
    <w:rsid w:val="001D71B7"/>
    <w:rsid w:val="001D7A37"/>
    <w:rsid w:val="001E296C"/>
    <w:rsid w:val="001E51CA"/>
    <w:rsid w:val="001E5553"/>
    <w:rsid w:val="001E7A84"/>
    <w:rsid w:val="001E7CC7"/>
    <w:rsid w:val="001F04C2"/>
    <w:rsid w:val="001F0F36"/>
    <w:rsid w:val="001F26CC"/>
    <w:rsid w:val="001F53CA"/>
    <w:rsid w:val="00200032"/>
    <w:rsid w:val="00200430"/>
    <w:rsid w:val="00200BE7"/>
    <w:rsid w:val="00201EF8"/>
    <w:rsid w:val="002100AF"/>
    <w:rsid w:val="002110DA"/>
    <w:rsid w:val="00211E41"/>
    <w:rsid w:val="00212AAB"/>
    <w:rsid w:val="00215014"/>
    <w:rsid w:val="00215345"/>
    <w:rsid w:val="0021750D"/>
    <w:rsid w:val="00217762"/>
    <w:rsid w:val="00221586"/>
    <w:rsid w:val="00222A1B"/>
    <w:rsid w:val="00231FFD"/>
    <w:rsid w:val="00234B7A"/>
    <w:rsid w:val="0023788F"/>
    <w:rsid w:val="00237C34"/>
    <w:rsid w:val="0024036A"/>
    <w:rsid w:val="00240646"/>
    <w:rsid w:val="00243FE2"/>
    <w:rsid w:val="00244CB6"/>
    <w:rsid w:val="00245FF9"/>
    <w:rsid w:val="00255DFA"/>
    <w:rsid w:val="00256247"/>
    <w:rsid w:val="002609BD"/>
    <w:rsid w:val="00261D84"/>
    <w:rsid w:val="00263808"/>
    <w:rsid w:val="00267EB6"/>
    <w:rsid w:val="00277D66"/>
    <w:rsid w:val="0028188D"/>
    <w:rsid w:val="002827A1"/>
    <w:rsid w:val="0028364F"/>
    <w:rsid w:val="00290AC6"/>
    <w:rsid w:val="00294175"/>
    <w:rsid w:val="002948EF"/>
    <w:rsid w:val="002A7406"/>
    <w:rsid w:val="002A785B"/>
    <w:rsid w:val="002B0A9D"/>
    <w:rsid w:val="002B12D4"/>
    <w:rsid w:val="002B17E1"/>
    <w:rsid w:val="002B3124"/>
    <w:rsid w:val="002B38A1"/>
    <w:rsid w:val="002B64CC"/>
    <w:rsid w:val="002B7819"/>
    <w:rsid w:val="002B78B6"/>
    <w:rsid w:val="002B7A44"/>
    <w:rsid w:val="002C2318"/>
    <w:rsid w:val="002C2CB3"/>
    <w:rsid w:val="002C4231"/>
    <w:rsid w:val="002C6F67"/>
    <w:rsid w:val="002D0EBB"/>
    <w:rsid w:val="002D220E"/>
    <w:rsid w:val="002D5063"/>
    <w:rsid w:val="002E01A2"/>
    <w:rsid w:val="002E32BB"/>
    <w:rsid w:val="002E4BA4"/>
    <w:rsid w:val="002E676A"/>
    <w:rsid w:val="002E7D54"/>
    <w:rsid w:val="002F004D"/>
    <w:rsid w:val="002F5048"/>
    <w:rsid w:val="002F612D"/>
    <w:rsid w:val="002F7374"/>
    <w:rsid w:val="002F7629"/>
    <w:rsid w:val="002F7687"/>
    <w:rsid w:val="00300BFB"/>
    <w:rsid w:val="00300E8E"/>
    <w:rsid w:val="00300ED8"/>
    <w:rsid w:val="003019A2"/>
    <w:rsid w:val="00301ECD"/>
    <w:rsid w:val="003064D1"/>
    <w:rsid w:val="00311A73"/>
    <w:rsid w:val="00311ADC"/>
    <w:rsid w:val="00320C5D"/>
    <w:rsid w:val="00321B29"/>
    <w:rsid w:val="0032258A"/>
    <w:rsid w:val="003258C6"/>
    <w:rsid w:val="00325F18"/>
    <w:rsid w:val="00326CBA"/>
    <w:rsid w:val="00330B37"/>
    <w:rsid w:val="00340223"/>
    <w:rsid w:val="0034346D"/>
    <w:rsid w:val="00344BDC"/>
    <w:rsid w:val="003458C3"/>
    <w:rsid w:val="00345C3C"/>
    <w:rsid w:val="0034781B"/>
    <w:rsid w:val="00350D04"/>
    <w:rsid w:val="003517DC"/>
    <w:rsid w:val="00354161"/>
    <w:rsid w:val="00363325"/>
    <w:rsid w:val="00363D34"/>
    <w:rsid w:val="00366639"/>
    <w:rsid w:val="00372A01"/>
    <w:rsid w:val="003745B6"/>
    <w:rsid w:val="00376138"/>
    <w:rsid w:val="0038031E"/>
    <w:rsid w:val="00380E60"/>
    <w:rsid w:val="00383A7F"/>
    <w:rsid w:val="00386095"/>
    <w:rsid w:val="003860D3"/>
    <w:rsid w:val="003867AA"/>
    <w:rsid w:val="0038713A"/>
    <w:rsid w:val="003907CF"/>
    <w:rsid w:val="00391580"/>
    <w:rsid w:val="00395158"/>
    <w:rsid w:val="00395347"/>
    <w:rsid w:val="00395F01"/>
    <w:rsid w:val="003970F8"/>
    <w:rsid w:val="003A12A5"/>
    <w:rsid w:val="003A2966"/>
    <w:rsid w:val="003A37DC"/>
    <w:rsid w:val="003A4301"/>
    <w:rsid w:val="003A4FBC"/>
    <w:rsid w:val="003B10CC"/>
    <w:rsid w:val="003B28CA"/>
    <w:rsid w:val="003B4245"/>
    <w:rsid w:val="003B5958"/>
    <w:rsid w:val="003B61E0"/>
    <w:rsid w:val="003B7778"/>
    <w:rsid w:val="003B7F54"/>
    <w:rsid w:val="003C0500"/>
    <w:rsid w:val="003C062E"/>
    <w:rsid w:val="003C15D1"/>
    <w:rsid w:val="003C19B1"/>
    <w:rsid w:val="003C48F8"/>
    <w:rsid w:val="003C557C"/>
    <w:rsid w:val="003C6EDC"/>
    <w:rsid w:val="003D11C1"/>
    <w:rsid w:val="003D140F"/>
    <w:rsid w:val="003D39E0"/>
    <w:rsid w:val="003E0AC8"/>
    <w:rsid w:val="003E189C"/>
    <w:rsid w:val="003E482A"/>
    <w:rsid w:val="003E48EC"/>
    <w:rsid w:val="003E4A9D"/>
    <w:rsid w:val="003E6536"/>
    <w:rsid w:val="003E67D1"/>
    <w:rsid w:val="003E76C9"/>
    <w:rsid w:val="003F0103"/>
    <w:rsid w:val="003F2944"/>
    <w:rsid w:val="003F48BF"/>
    <w:rsid w:val="003F5802"/>
    <w:rsid w:val="00405573"/>
    <w:rsid w:val="00406AA7"/>
    <w:rsid w:val="00407139"/>
    <w:rsid w:val="00410917"/>
    <w:rsid w:val="004124AD"/>
    <w:rsid w:val="00412783"/>
    <w:rsid w:val="004137AF"/>
    <w:rsid w:val="00415ACE"/>
    <w:rsid w:val="00417008"/>
    <w:rsid w:val="00420111"/>
    <w:rsid w:val="004210A0"/>
    <w:rsid w:val="0042123B"/>
    <w:rsid w:val="00424939"/>
    <w:rsid w:val="00424E89"/>
    <w:rsid w:val="00430A82"/>
    <w:rsid w:val="00431518"/>
    <w:rsid w:val="0043262C"/>
    <w:rsid w:val="00432E7C"/>
    <w:rsid w:val="00435789"/>
    <w:rsid w:val="00436334"/>
    <w:rsid w:val="00437EFF"/>
    <w:rsid w:val="00441A35"/>
    <w:rsid w:val="004444F9"/>
    <w:rsid w:val="00444DE8"/>
    <w:rsid w:val="00451003"/>
    <w:rsid w:val="00451F9F"/>
    <w:rsid w:val="0045233C"/>
    <w:rsid w:val="004527BB"/>
    <w:rsid w:val="00456BFB"/>
    <w:rsid w:val="00462FFF"/>
    <w:rsid w:val="00464718"/>
    <w:rsid w:val="004667D2"/>
    <w:rsid w:val="00470A67"/>
    <w:rsid w:val="00476084"/>
    <w:rsid w:val="004760B7"/>
    <w:rsid w:val="00477DCD"/>
    <w:rsid w:val="00477E69"/>
    <w:rsid w:val="00480A50"/>
    <w:rsid w:val="00481D6E"/>
    <w:rsid w:val="00490BB8"/>
    <w:rsid w:val="00493653"/>
    <w:rsid w:val="004941D7"/>
    <w:rsid w:val="00495AD8"/>
    <w:rsid w:val="00495F88"/>
    <w:rsid w:val="004A0975"/>
    <w:rsid w:val="004A0BBD"/>
    <w:rsid w:val="004A241F"/>
    <w:rsid w:val="004A318D"/>
    <w:rsid w:val="004A767A"/>
    <w:rsid w:val="004B0D7E"/>
    <w:rsid w:val="004B31AF"/>
    <w:rsid w:val="004B5371"/>
    <w:rsid w:val="004B6FC2"/>
    <w:rsid w:val="004C04B3"/>
    <w:rsid w:val="004C0A78"/>
    <w:rsid w:val="004C1407"/>
    <w:rsid w:val="004C2AD6"/>
    <w:rsid w:val="004C453B"/>
    <w:rsid w:val="004D79EB"/>
    <w:rsid w:val="004D7D01"/>
    <w:rsid w:val="004E19FD"/>
    <w:rsid w:val="004E23EC"/>
    <w:rsid w:val="004E2942"/>
    <w:rsid w:val="004E2AB6"/>
    <w:rsid w:val="004E4A49"/>
    <w:rsid w:val="004E5B91"/>
    <w:rsid w:val="004E60F6"/>
    <w:rsid w:val="004F2432"/>
    <w:rsid w:val="004F265B"/>
    <w:rsid w:val="004F51A1"/>
    <w:rsid w:val="004F55FD"/>
    <w:rsid w:val="004F654F"/>
    <w:rsid w:val="004F76C9"/>
    <w:rsid w:val="004F788D"/>
    <w:rsid w:val="00500815"/>
    <w:rsid w:val="00501105"/>
    <w:rsid w:val="005021C1"/>
    <w:rsid w:val="005116F5"/>
    <w:rsid w:val="00511EB8"/>
    <w:rsid w:val="00514146"/>
    <w:rsid w:val="00514CE6"/>
    <w:rsid w:val="005172A2"/>
    <w:rsid w:val="00517C82"/>
    <w:rsid w:val="00520EB7"/>
    <w:rsid w:val="0052126A"/>
    <w:rsid w:val="00522C2B"/>
    <w:rsid w:val="005246A8"/>
    <w:rsid w:val="005313D3"/>
    <w:rsid w:val="005345AC"/>
    <w:rsid w:val="005357BB"/>
    <w:rsid w:val="0053744D"/>
    <w:rsid w:val="005378AF"/>
    <w:rsid w:val="00541BAA"/>
    <w:rsid w:val="005424E9"/>
    <w:rsid w:val="00542F7C"/>
    <w:rsid w:val="005430BB"/>
    <w:rsid w:val="00543E29"/>
    <w:rsid w:val="00546EF1"/>
    <w:rsid w:val="005477AF"/>
    <w:rsid w:val="005506AC"/>
    <w:rsid w:val="0055140E"/>
    <w:rsid w:val="00552A37"/>
    <w:rsid w:val="005532ED"/>
    <w:rsid w:val="0055601A"/>
    <w:rsid w:val="00560CFA"/>
    <w:rsid w:val="00561DE7"/>
    <w:rsid w:val="005633AB"/>
    <w:rsid w:val="00563827"/>
    <w:rsid w:val="0056442D"/>
    <w:rsid w:val="00565058"/>
    <w:rsid w:val="00567BD0"/>
    <w:rsid w:val="00567D62"/>
    <w:rsid w:val="0057218A"/>
    <w:rsid w:val="00573689"/>
    <w:rsid w:val="0057386A"/>
    <w:rsid w:val="00575001"/>
    <w:rsid w:val="00576D05"/>
    <w:rsid w:val="00577949"/>
    <w:rsid w:val="00581EA8"/>
    <w:rsid w:val="00582A55"/>
    <w:rsid w:val="0058326D"/>
    <w:rsid w:val="00591180"/>
    <w:rsid w:val="0059293B"/>
    <w:rsid w:val="00593738"/>
    <w:rsid w:val="00594FB3"/>
    <w:rsid w:val="00595BFB"/>
    <w:rsid w:val="00596229"/>
    <w:rsid w:val="005A1714"/>
    <w:rsid w:val="005A65A1"/>
    <w:rsid w:val="005B2482"/>
    <w:rsid w:val="005B3C8F"/>
    <w:rsid w:val="005B431C"/>
    <w:rsid w:val="005B6550"/>
    <w:rsid w:val="005B67AA"/>
    <w:rsid w:val="005B78D0"/>
    <w:rsid w:val="005B78E0"/>
    <w:rsid w:val="005C0124"/>
    <w:rsid w:val="005C0AC1"/>
    <w:rsid w:val="005C56BA"/>
    <w:rsid w:val="005C63BD"/>
    <w:rsid w:val="005C64C8"/>
    <w:rsid w:val="005D0CE3"/>
    <w:rsid w:val="005D17DE"/>
    <w:rsid w:val="005D1CB9"/>
    <w:rsid w:val="005D464D"/>
    <w:rsid w:val="005D5632"/>
    <w:rsid w:val="005D77D7"/>
    <w:rsid w:val="005D7F9D"/>
    <w:rsid w:val="005E0BB5"/>
    <w:rsid w:val="005E1B90"/>
    <w:rsid w:val="005E3E05"/>
    <w:rsid w:val="005E4732"/>
    <w:rsid w:val="005E52DE"/>
    <w:rsid w:val="005E7F1D"/>
    <w:rsid w:val="005F01A4"/>
    <w:rsid w:val="005F0AF7"/>
    <w:rsid w:val="005F18B8"/>
    <w:rsid w:val="005F25C9"/>
    <w:rsid w:val="005F4FE0"/>
    <w:rsid w:val="005F563E"/>
    <w:rsid w:val="00600055"/>
    <w:rsid w:val="006022F2"/>
    <w:rsid w:val="00605296"/>
    <w:rsid w:val="00607D22"/>
    <w:rsid w:val="00612663"/>
    <w:rsid w:val="006179F6"/>
    <w:rsid w:val="00622B19"/>
    <w:rsid w:val="00624C4A"/>
    <w:rsid w:val="0062507C"/>
    <w:rsid w:val="00631E41"/>
    <w:rsid w:val="00632CEF"/>
    <w:rsid w:val="006352DA"/>
    <w:rsid w:val="00637AA7"/>
    <w:rsid w:val="006403E7"/>
    <w:rsid w:val="00643CFF"/>
    <w:rsid w:val="0064502A"/>
    <w:rsid w:val="00645CC1"/>
    <w:rsid w:val="00647B0B"/>
    <w:rsid w:val="00650268"/>
    <w:rsid w:val="00653049"/>
    <w:rsid w:val="00653CC1"/>
    <w:rsid w:val="006553A4"/>
    <w:rsid w:val="00663CEB"/>
    <w:rsid w:val="0067178F"/>
    <w:rsid w:val="00672010"/>
    <w:rsid w:val="00674077"/>
    <w:rsid w:val="006772BF"/>
    <w:rsid w:val="00680582"/>
    <w:rsid w:val="00681195"/>
    <w:rsid w:val="00682281"/>
    <w:rsid w:val="00682442"/>
    <w:rsid w:val="0068660C"/>
    <w:rsid w:val="006954C4"/>
    <w:rsid w:val="006967AA"/>
    <w:rsid w:val="006A25E2"/>
    <w:rsid w:val="006A2C11"/>
    <w:rsid w:val="006A4FA5"/>
    <w:rsid w:val="006A5A85"/>
    <w:rsid w:val="006A5D0F"/>
    <w:rsid w:val="006B24F4"/>
    <w:rsid w:val="006B6020"/>
    <w:rsid w:val="006B656A"/>
    <w:rsid w:val="006B7F38"/>
    <w:rsid w:val="006C2042"/>
    <w:rsid w:val="006D1ECE"/>
    <w:rsid w:val="006D3C66"/>
    <w:rsid w:val="006D3FBC"/>
    <w:rsid w:val="006E096D"/>
    <w:rsid w:val="006E2280"/>
    <w:rsid w:val="006E49F9"/>
    <w:rsid w:val="006E5E7A"/>
    <w:rsid w:val="006F28F8"/>
    <w:rsid w:val="006F3011"/>
    <w:rsid w:val="006F3E67"/>
    <w:rsid w:val="006F519C"/>
    <w:rsid w:val="006F5928"/>
    <w:rsid w:val="006F5EA0"/>
    <w:rsid w:val="0070055F"/>
    <w:rsid w:val="00701045"/>
    <w:rsid w:val="00701095"/>
    <w:rsid w:val="00705160"/>
    <w:rsid w:val="00705956"/>
    <w:rsid w:val="00706367"/>
    <w:rsid w:val="00723D5E"/>
    <w:rsid w:val="00724F78"/>
    <w:rsid w:val="0072514F"/>
    <w:rsid w:val="007302BC"/>
    <w:rsid w:val="00730D26"/>
    <w:rsid w:val="00731A87"/>
    <w:rsid w:val="007320B6"/>
    <w:rsid w:val="00734A2B"/>
    <w:rsid w:val="0073556F"/>
    <w:rsid w:val="00737110"/>
    <w:rsid w:val="0074496A"/>
    <w:rsid w:val="00747281"/>
    <w:rsid w:val="007502D5"/>
    <w:rsid w:val="00753CB7"/>
    <w:rsid w:val="00757995"/>
    <w:rsid w:val="00760241"/>
    <w:rsid w:val="00760729"/>
    <w:rsid w:val="007635B0"/>
    <w:rsid w:val="007637DF"/>
    <w:rsid w:val="00763915"/>
    <w:rsid w:val="00764AA0"/>
    <w:rsid w:val="00765B4A"/>
    <w:rsid w:val="00766331"/>
    <w:rsid w:val="00767475"/>
    <w:rsid w:val="007679A9"/>
    <w:rsid w:val="00770714"/>
    <w:rsid w:val="007711AB"/>
    <w:rsid w:val="0077197E"/>
    <w:rsid w:val="00775E90"/>
    <w:rsid w:val="00777EA8"/>
    <w:rsid w:val="007802DD"/>
    <w:rsid w:val="0078039A"/>
    <w:rsid w:val="00785C9B"/>
    <w:rsid w:val="0078610A"/>
    <w:rsid w:val="00792B90"/>
    <w:rsid w:val="007931D1"/>
    <w:rsid w:val="007A10C4"/>
    <w:rsid w:val="007A23A8"/>
    <w:rsid w:val="007A61B9"/>
    <w:rsid w:val="007A7C1D"/>
    <w:rsid w:val="007B2E26"/>
    <w:rsid w:val="007B3687"/>
    <w:rsid w:val="007B3947"/>
    <w:rsid w:val="007B3F8B"/>
    <w:rsid w:val="007C5391"/>
    <w:rsid w:val="007D51C7"/>
    <w:rsid w:val="007D59E5"/>
    <w:rsid w:val="007D7C90"/>
    <w:rsid w:val="007D7E7D"/>
    <w:rsid w:val="007E0080"/>
    <w:rsid w:val="007E0760"/>
    <w:rsid w:val="007E71A3"/>
    <w:rsid w:val="007E7EC7"/>
    <w:rsid w:val="007E7FFB"/>
    <w:rsid w:val="007F17EF"/>
    <w:rsid w:val="007F1E64"/>
    <w:rsid w:val="007F20A3"/>
    <w:rsid w:val="007F3FF9"/>
    <w:rsid w:val="00801397"/>
    <w:rsid w:val="00806641"/>
    <w:rsid w:val="00811055"/>
    <w:rsid w:val="008123BD"/>
    <w:rsid w:val="00816909"/>
    <w:rsid w:val="00816C90"/>
    <w:rsid w:val="00821361"/>
    <w:rsid w:val="0082413C"/>
    <w:rsid w:val="0082439D"/>
    <w:rsid w:val="008244E6"/>
    <w:rsid w:val="00832780"/>
    <w:rsid w:val="00833DD1"/>
    <w:rsid w:val="00837499"/>
    <w:rsid w:val="00837A2E"/>
    <w:rsid w:val="00845882"/>
    <w:rsid w:val="008459BE"/>
    <w:rsid w:val="00846C25"/>
    <w:rsid w:val="008473CE"/>
    <w:rsid w:val="0085368F"/>
    <w:rsid w:val="008547E3"/>
    <w:rsid w:val="0085536D"/>
    <w:rsid w:val="008700CA"/>
    <w:rsid w:val="00870214"/>
    <w:rsid w:val="00870F29"/>
    <w:rsid w:val="00873401"/>
    <w:rsid w:val="008737AC"/>
    <w:rsid w:val="00873E16"/>
    <w:rsid w:val="00875EF9"/>
    <w:rsid w:val="00880B6B"/>
    <w:rsid w:val="00880C60"/>
    <w:rsid w:val="00882C3F"/>
    <w:rsid w:val="0089496C"/>
    <w:rsid w:val="00895800"/>
    <w:rsid w:val="0089752E"/>
    <w:rsid w:val="008A1F1F"/>
    <w:rsid w:val="008A788B"/>
    <w:rsid w:val="008B1EFC"/>
    <w:rsid w:val="008B594F"/>
    <w:rsid w:val="008B76F6"/>
    <w:rsid w:val="008C39A2"/>
    <w:rsid w:val="008D42F2"/>
    <w:rsid w:val="008D53C1"/>
    <w:rsid w:val="008D53EA"/>
    <w:rsid w:val="008D6402"/>
    <w:rsid w:val="008D7CE6"/>
    <w:rsid w:val="008E0D3E"/>
    <w:rsid w:val="008E69A6"/>
    <w:rsid w:val="008F13AE"/>
    <w:rsid w:val="008F2848"/>
    <w:rsid w:val="008F35EE"/>
    <w:rsid w:val="008F7A44"/>
    <w:rsid w:val="0090055B"/>
    <w:rsid w:val="00901332"/>
    <w:rsid w:val="00902497"/>
    <w:rsid w:val="009068BD"/>
    <w:rsid w:val="00911E20"/>
    <w:rsid w:val="0091398B"/>
    <w:rsid w:val="00914DC1"/>
    <w:rsid w:val="0092099A"/>
    <w:rsid w:val="0092123F"/>
    <w:rsid w:val="00921E3F"/>
    <w:rsid w:val="00921E7A"/>
    <w:rsid w:val="00923468"/>
    <w:rsid w:val="00924517"/>
    <w:rsid w:val="00924800"/>
    <w:rsid w:val="00925132"/>
    <w:rsid w:val="009258FC"/>
    <w:rsid w:val="0092635A"/>
    <w:rsid w:val="00926774"/>
    <w:rsid w:val="00927293"/>
    <w:rsid w:val="00935D55"/>
    <w:rsid w:val="009375E4"/>
    <w:rsid w:val="00942B17"/>
    <w:rsid w:val="00942B3D"/>
    <w:rsid w:val="00943B88"/>
    <w:rsid w:val="00944616"/>
    <w:rsid w:val="009455C3"/>
    <w:rsid w:val="00947512"/>
    <w:rsid w:val="00951829"/>
    <w:rsid w:val="00954C6F"/>
    <w:rsid w:val="0095686B"/>
    <w:rsid w:val="00956BCA"/>
    <w:rsid w:val="0096678F"/>
    <w:rsid w:val="00970BEB"/>
    <w:rsid w:val="00970E94"/>
    <w:rsid w:val="00971EB8"/>
    <w:rsid w:val="009732EE"/>
    <w:rsid w:val="0097710D"/>
    <w:rsid w:val="00977FB6"/>
    <w:rsid w:val="00982CD0"/>
    <w:rsid w:val="00984089"/>
    <w:rsid w:val="00987F5B"/>
    <w:rsid w:val="00992D5A"/>
    <w:rsid w:val="00994C91"/>
    <w:rsid w:val="00995042"/>
    <w:rsid w:val="009A0F0D"/>
    <w:rsid w:val="009A19A8"/>
    <w:rsid w:val="009A1FCC"/>
    <w:rsid w:val="009A38A2"/>
    <w:rsid w:val="009A43AC"/>
    <w:rsid w:val="009A474C"/>
    <w:rsid w:val="009A495B"/>
    <w:rsid w:val="009A6C70"/>
    <w:rsid w:val="009B2E30"/>
    <w:rsid w:val="009B47EA"/>
    <w:rsid w:val="009B5892"/>
    <w:rsid w:val="009B7995"/>
    <w:rsid w:val="009C39E9"/>
    <w:rsid w:val="009C4BDB"/>
    <w:rsid w:val="009C677A"/>
    <w:rsid w:val="009C6AB6"/>
    <w:rsid w:val="009C6D0E"/>
    <w:rsid w:val="009D0032"/>
    <w:rsid w:val="009D24EF"/>
    <w:rsid w:val="009D7B0C"/>
    <w:rsid w:val="009E2793"/>
    <w:rsid w:val="009E3EE6"/>
    <w:rsid w:val="009E4CFB"/>
    <w:rsid w:val="009F07EC"/>
    <w:rsid w:val="009F6577"/>
    <w:rsid w:val="00A0023A"/>
    <w:rsid w:val="00A03767"/>
    <w:rsid w:val="00A05CF9"/>
    <w:rsid w:val="00A06775"/>
    <w:rsid w:val="00A07737"/>
    <w:rsid w:val="00A17DCB"/>
    <w:rsid w:val="00A209AE"/>
    <w:rsid w:val="00A229B3"/>
    <w:rsid w:val="00A233B8"/>
    <w:rsid w:val="00A26A76"/>
    <w:rsid w:val="00A26B5E"/>
    <w:rsid w:val="00A31D4A"/>
    <w:rsid w:val="00A34752"/>
    <w:rsid w:val="00A34E6B"/>
    <w:rsid w:val="00A37D4C"/>
    <w:rsid w:val="00A4366B"/>
    <w:rsid w:val="00A4377F"/>
    <w:rsid w:val="00A460CE"/>
    <w:rsid w:val="00A475A2"/>
    <w:rsid w:val="00A50A53"/>
    <w:rsid w:val="00A52D93"/>
    <w:rsid w:val="00A53D15"/>
    <w:rsid w:val="00A54ECA"/>
    <w:rsid w:val="00A54FAA"/>
    <w:rsid w:val="00A62933"/>
    <w:rsid w:val="00A638A4"/>
    <w:rsid w:val="00A709AE"/>
    <w:rsid w:val="00A728F8"/>
    <w:rsid w:val="00A73215"/>
    <w:rsid w:val="00A733F7"/>
    <w:rsid w:val="00A74837"/>
    <w:rsid w:val="00A76341"/>
    <w:rsid w:val="00A80900"/>
    <w:rsid w:val="00A81D19"/>
    <w:rsid w:val="00A82013"/>
    <w:rsid w:val="00A834E1"/>
    <w:rsid w:val="00A867D3"/>
    <w:rsid w:val="00A903CF"/>
    <w:rsid w:val="00A907A5"/>
    <w:rsid w:val="00A9219B"/>
    <w:rsid w:val="00A93388"/>
    <w:rsid w:val="00A94B45"/>
    <w:rsid w:val="00A94CE1"/>
    <w:rsid w:val="00A960CF"/>
    <w:rsid w:val="00AA1E7F"/>
    <w:rsid w:val="00AA22A8"/>
    <w:rsid w:val="00AA3643"/>
    <w:rsid w:val="00AA4B8E"/>
    <w:rsid w:val="00AA613F"/>
    <w:rsid w:val="00AB3D72"/>
    <w:rsid w:val="00AB78F7"/>
    <w:rsid w:val="00AC250C"/>
    <w:rsid w:val="00AC254A"/>
    <w:rsid w:val="00AC3FD9"/>
    <w:rsid w:val="00AC6CAD"/>
    <w:rsid w:val="00AC6DEE"/>
    <w:rsid w:val="00AD14A5"/>
    <w:rsid w:val="00AD473B"/>
    <w:rsid w:val="00AD6126"/>
    <w:rsid w:val="00AD62EE"/>
    <w:rsid w:val="00AD6ACA"/>
    <w:rsid w:val="00AD7F80"/>
    <w:rsid w:val="00AE0B77"/>
    <w:rsid w:val="00AE1AAE"/>
    <w:rsid w:val="00AE5399"/>
    <w:rsid w:val="00AE683B"/>
    <w:rsid w:val="00AE77CA"/>
    <w:rsid w:val="00AE7BCC"/>
    <w:rsid w:val="00AF4EBE"/>
    <w:rsid w:val="00AF5B80"/>
    <w:rsid w:val="00AF66C5"/>
    <w:rsid w:val="00B00B30"/>
    <w:rsid w:val="00B03BA8"/>
    <w:rsid w:val="00B04834"/>
    <w:rsid w:val="00B050D4"/>
    <w:rsid w:val="00B05CB1"/>
    <w:rsid w:val="00B145B8"/>
    <w:rsid w:val="00B15310"/>
    <w:rsid w:val="00B15BC0"/>
    <w:rsid w:val="00B16A39"/>
    <w:rsid w:val="00B1721C"/>
    <w:rsid w:val="00B2049C"/>
    <w:rsid w:val="00B205CE"/>
    <w:rsid w:val="00B22756"/>
    <w:rsid w:val="00B25228"/>
    <w:rsid w:val="00B256E7"/>
    <w:rsid w:val="00B25EE8"/>
    <w:rsid w:val="00B26E57"/>
    <w:rsid w:val="00B26F48"/>
    <w:rsid w:val="00B2777D"/>
    <w:rsid w:val="00B27B25"/>
    <w:rsid w:val="00B33E42"/>
    <w:rsid w:val="00B34F20"/>
    <w:rsid w:val="00B37221"/>
    <w:rsid w:val="00B40695"/>
    <w:rsid w:val="00B42508"/>
    <w:rsid w:val="00B532EE"/>
    <w:rsid w:val="00B54202"/>
    <w:rsid w:val="00B55880"/>
    <w:rsid w:val="00B5749F"/>
    <w:rsid w:val="00B608B8"/>
    <w:rsid w:val="00B62AF4"/>
    <w:rsid w:val="00B62E7A"/>
    <w:rsid w:val="00B6321E"/>
    <w:rsid w:val="00B6518D"/>
    <w:rsid w:val="00B70034"/>
    <w:rsid w:val="00B70DAA"/>
    <w:rsid w:val="00B75322"/>
    <w:rsid w:val="00B75943"/>
    <w:rsid w:val="00B760B4"/>
    <w:rsid w:val="00B76EF5"/>
    <w:rsid w:val="00B81D00"/>
    <w:rsid w:val="00B82B3F"/>
    <w:rsid w:val="00B90C33"/>
    <w:rsid w:val="00B91DBD"/>
    <w:rsid w:val="00B9552E"/>
    <w:rsid w:val="00B95980"/>
    <w:rsid w:val="00B96A91"/>
    <w:rsid w:val="00BA3389"/>
    <w:rsid w:val="00BB17B1"/>
    <w:rsid w:val="00BB2928"/>
    <w:rsid w:val="00BB35CC"/>
    <w:rsid w:val="00BB39AE"/>
    <w:rsid w:val="00BC0530"/>
    <w:rsid w:val="00BC4673"/>
    <w:rsid w:val="00BC47AB"/>
    <w:rsid w:val="00BD2474"/>
    <w:rsid w:val="00BD25D9"/>
    <w:rsid w:val="00BD4B49"/>
    <w:rsid w:val="00BD682F"/>
    <w:rsid w:val="00BD6F6F"/>
    <w:rsid w:val="00BD7278"/>
    <w:rsid w:val="00BE1156"/>
    <w:rsid w:val="00BE1A24"/>
    <w:rsid w:val="00BE2337"/>
    <w:rsid w:val="00BE2FCB"/>
    <w:rsid w:val="00BE5E6D"/>
    <w:rsid w:val="00BE62DE"/>
    <w:rsid w:val="00BE7175"/>
    <w:rsid w:val="00BE7A8B"/>
    <w:rsid w:val="00BE7ADF"/>
    <w:rsid w:val="00BF0CEA"/>
    <w:rsid w:val="00BF1D0A"/>
    <w:rsid w:val="00BF1DCD"/>
    <w:rsid w:val="00BF5698"/>
    <w:rsid w:val="00BF6B4F"/>
    <w:rsid w:val="00BF73E7"/>
    <w:rsid w:val="00C04191"/>
    <w:rsid w:val="00C05780"/>
    <w:rsid w:val="00C07801"/>
    <w:rsid w:val="00C13586"/>
    <w:rsid w:val="00C13688"/>
    <w:rsid w:val="00C148E6"/>
    <w:rsid w:val="00C15E94"/>
    <w:rsid w:val="00C15EAF"/>
    <w:rsid w:val="00C17A7E"/>
    <w:rsid w:val="00C2247B"/>
    <w:rsid w:val="00C227B1"/>
    <w:rsid w:val="00C23554"/>
    <w:rsid w:val="00C26352"/>
    <w:rsid w:val="00C2657E"/>
    <w:rsid w:val="00C325D2"/>
    <w:rsid w:val="00C3418B"/>
    <w:rsid w:val="00C37BFC"/>
    <w:rsid w:val="00C40A7D"/>
    <w:rsid w:val="00C41E45"/>
    <w:rsid w:val="00C42550"/>
    <w:rsid w:val="00C42AE5"/>
    <w:rsid w:val="00C4707F"/>
    <w:rsid w:val="00C47C3C"/>
    <w:rsid w:val="00C55D4D"/>
    <w:rsid w:val="00C56DF4"/>
    <w:rsid w:val="00C5775D"/>
    <w:rsid w:val="00C6124E"/>
    <w:rsid w:val="00C6260F"/>
    <w:rsid w:val="00C65848"/>
    <w:rsid w:val="00C748BC"/>
    <w:rsid w:val="00C750EA"/>
    <w:rsid w:val="00C77773"/>
    <w:rsid w:val="00C86159"/>
    <w:rsid w:val="00C8662B"/>
    <w:rsid w:val="00C870D3"/>
    <w:rsid w:val="00C90234"/>
    <w:rsid w:val="00C916B5"/>
    <w:rsid w:val="00C91989"/>
    <w:rsid w:val="00C93CA0"/>
    <w:rsid w:val="00C9683B"/>
    <w:rsid w:val="00CA0BC9"/>
    <w:rsid w:val="00CA1CD1"/>
    <w:rsid w:val="00CA5EC5"/>
    <w:rsid w:val="00CA709B"/>
    <w:rsid w:val="00CB09E6"/>
    <w:rsid w:val="00CB1C76"/>
    <w:rsid w:val="00CB2806"/>
    <w:rsid w:val="00CB2A1E"/>
    <w:rsid w:val="00CB5180"/>
    <w:rsid w:val="00CB5719"/>
    <w:rsid w:val="00CB5FCE"/>
    <w:rsid w:val="00CC0E49"/>
    <w:rsid w:val="00CC4D48"/>
    <w:rsid w:val="00CC508F"/>
    <w:rsid w:val="00CD0F81"/>
    <w:rsid w:val="00CD4EEC"/>
    <w:rsid w:val="00CD6B0A"/>
    <w:rsid w:val="00CE1F7C"/>
    <w:rsid w:val="00CE256E"/>
    <w:rsid w:val="00CE2B8D"/>
    <w:rsid w:val="00CE3985"/>
    <w:rsid w:val="00CE42C0"/>
    <w:rsid w:val="00CE5ADA"/>
    <w:rsid w:val="00CE62A5"/>
    <w:rsid w:val="00CF1AC6"/>
    <w:rsid w:val="00CF2A85"/>
    <w:rsid w:val="00D05550"/>
    <w:rsid w:val="00D07C41"/>
    <w:rsid w:val="00D10B44"/>
    <w:rsid w:val="00D11974"/>
    <w:rsid w:val="00D136AA"/>
    <w:rsid w:val="00D157B8"/>
    <w:rsid w:val="00D157BA"/>
    <w:rsid w:val="00D165BA"/>
    <w:rsid w:val="00D23B1F"/>
    <w:rsid w:val="00D240F4"/>
    <w:rsid w:val="00D24471"/>
    <w:rsid w:val="00D24B73"/>
    <w:rsid w:val="00D27742"/>
    <w:rsid w:val="00D27AB2"/>
    <w:rsid w:val="00D3272C"/>
    <w:rsid w:val="00D378BB"/>
    <w:rsid w:val="00D42356"/>
    <w:rsid w:val="00D42C28"/>
    <w:rsid w:val="00D4319E"/>
    <w:rsid w:val="00D43ECF"/>
    <w:rsid w:val="00D452AA"/>
    <w:rsid w:val="00D46FD6"/>
    <w:rsid w:val="00D52241"/>
    <w:rsid w:val="00D56545"/>
    <w:rsid w:val="00D57935"/>
    <w:rsid w:val="00D6586B"/>
    <w:rsid w:val="00D7028F"/>
    <w:rsid w:val="00D71EA1"/>
    <w:rsid w:val="00D731E0"/>
    <w:rsid w:val="00D77E64"/>
    <w:rsid w:val="00D81935"/>
    <w:rsid w:val="00D82007"/>
    <w:rsid w:val="00D83C40"/>
    <w:rsid w:val="00D87CC3"/>
    <w:rsid w:val="00D90966"/>
    <w:rsid w:val="00D930C6"/>
    <w:rsid w:val="00D93B6F"/>
    <w:rsid w:val="00D978CB"/>
    <w:rsid w:val="00DA010A"/>
    <w:rsid w:val="00DA0C80"/>
    <w:rsid w:val="00DA5AC6"/>
    <w:rsid w:val="00DB2DE8"/>
    <w:rsid w:val="00DB3163"/>
    <w:rsid w:val="00DC0DFE"/>
    <w:rsid w:val="00DC110F"/>
    <w:rsid w:val="00DC4291"/>
    <w:rsid w:val="00DC5F36"/>
    <w:rsid w:val="00DC635A"/>
    <w:rsid w:val="00DC6AC9"/>
    <w:rsid w:val="00DD206B"/>
    <w:rsid w:val="00DD29CB"/>
    <w:rsid w:val="00DD3164"/>
    <w:rsid w:val="00DD4C2D"/>
    <w:rsid w:val="00DD6247"/>
    <w:rsid w:val="00DE1147"/>
    <w:rsid w:val="00DE31F5"/>
    <w:rsid w:val="00DE3E33"/>
    <w:rsid w:val="00DE5843"/>
    <w:rsid w:val="00E0046B"/>
    <w:rsid w:val="00E02AA8"/>
    <w:rsid w:val="00E0385B"/>
    <w:rsid w:val="00E0648A"/>
    <w:rsid w:val="00E12042"/>
    <w:rsid w:val="00E12569"/>
    <w:rsid w:val="00E1296B"/>
    <w:rsid w:val="00E13A89"/>
    <w:rsid w:val="00E13B36"/>
    <w:rsid w:val="00E20830"/>
    <w:rsid w:val="00E22CA9"/>
    <w:rsid w:val="00E230D7"/>
    <w:rsid w:val="00E232BD"/>
    <w:rsid w:val="00E240CD"/>
    <w:rsid w:val="00E26572"/>
    <w:rsid w:val="00E26D5D"/>
    <w:rsid w:val="00E33E5D"/>
    <w:rsid w:val="00E42926"/>
    <w:rsid w:val="00E44451"/>
    <w:rsid w:val="00E46CE4"/>
    <w:rsid w:val="00E47396"/>
    <w:rsid w:val="00E52A9E"/>
    <w:rsid w:val="00E53F4C"/>
    <w:rsid w:val="00E55C56"/>
    <w:rsid w:val="00E56B7B"/>
    <w:rsid w:val="00E57638"/>
    <w:rsid w:val="00E579E4"/>
    <w:rsid w:val="00E57B2C"/>
    <w:rsid w:val="00E61284"/>
    <w:rsid w:val="00E66D21"/>
    <w:rsid w:val="00E73D81"/>
    <w:rsid w:val="00E741B5"/>
    <w:rsid w:val="00E75A1B"/>
    <w:rsid w:val="00E7736C"/>
    <w:rsid w:val="00E805DA"/>
    <w:rsid w:val="00E80EB5"/>
    <w:rsid w:val="00E841D0"/>
    <w:rsid w:val="00E85C43"/>
    <w:rsid w:val="00E9011B"/>
    <w:rsid w:val="00E903AA"/>
    <w:rsid w:val="00E903CC"/>
    <w:rsid w:val="00E96D50"/>
    <w:rsid w:val="00EA03A9"/>
    <w:rsid w:val="00EA2E06"/>
    <w:rsid w:val="00EA5BDA"/>
    <w:rsid w:val="00EA5C84"/>
    <w:rsid w:val="00EA7C51"/>
    <w:rsid w:val="00EB3134"/>
    <w:rsid w:val="00EB7DBA"/>
    <w:rsid w:val="00EC0295"/>
    <w:rsid w:val="00EC19AF"/>
    <w:rsid w:val="00EC1A29"/>
    <w:rsid w:val="00EC784C"/>
    <w:rsid w:val="00ED002D"/>
    <w:rsid w:val="00ED33F2"/>
    <w:rsid w:val="00ED5234"/>
    <w:rsid w:val="00EE0B39"/>
    <w:rsid w:val="00EE18C0"/>
    <w:rsid w:val="00EE190F"/>
    <w:rsid w:val="00EE2EF4"/>
    <w:rsid w:val="00EE2F6F"/>
    <w:rsid w:val="00EE38E0"/>
    <w:rsid w:val="00EE42BA"/>
    <w:rsid w:val="00EE5227"/>
    <w:rsid w:val="00EF0957"/>
    <w:rsid w:val="00EF1266"/>
    <w:rsid w:val="00EF3795"/>
    <w:rsid w:val="00EF38ED"/>
    <w:rsid w:val="00EF6307"/>
    <w:rsid w:val="00F00F22"/>
    <w:rsid w:val="00F03DF5"/>
    <w:rsid w:val="00F05374"/>
    <w:rsid w:val="00F05933"/>
    <w:rsid w:val="00F06269"/>
    <w:rsid w:val="00F0770A"/>
    <w:rsid w:val="00F10676"/>
    <w:rsid w:val="00F17351"/>
    <w:rsid w:val="00F2429F"/>
    <w:rsid w:val="00F24F41"/>
    <w:rsid w:val="00F35EA0"/>
    <w:rsid w:val="00F3678D"/>
    <w:rsid w:val="00F4100F"/>
    <w:rsid w:val="00F41349"/>
    <w:rsid w:val="00F41F01"/>
    <w:rsid w:val="00F44B0C"/>
    <w:rsid w:val="00F4613C"/>
    <w:rsid w:val="00F51426"/>
    <w:rsid w:val="00F51ED7"/>
    <w:rsid w:val="00F531FB"/>
    <w:rsid w:val="00F552CA"/>
    <w:rsid w:val="00F55A13"/>
    <w:rsid w:val="00F61883"/>
    <w:rsid w:val="00F62DB0"/>
    <w:rsid w:val="00F6476C"/>
    <w:rsid w:val="00F67472"/>
    <w:rsid w:val="00F71599"/>
    <w:rsid w:val="00F719FD"/>
    <w:rsid w:val="00F74902"/>
    <w:rsid w:val="00F7621D"/>
    <w:rsid w:val="00F76439"/>
    <w:rsid w:val="00F80D8D"/>
    <w:rsid w:val="00F83768"/>
    <w:rsid w:val="00F8760F"/>
    <w:rsid w:val="00F91B7C"/>
    <w:rsid w:val="00F969C2"/>
    <w:rsid w:val="00F96FB7"/>
    <w:rsid w:val="00FA3634"/>
    <w:rsid w:val="00FA4C67"/>
    <w:rsid w:val="00FA4CD8"/>
    <w:rsid w:val="00FB05F2"/>
    <w:rsid w:val="00FB4C4B"/>
    <w:rsid w:val="00FB6F51"/>
    <w:rsid w:val="00FB7893"/>
    <w:rsid w:val="00FB7BE8"/>
    <w:rsid w:val="00FC62AC"/>
    <w:rsid w:val="00FC69B3"/>
    <w:rsid w:val="00FC7CF4"/>
    <w:rsid w:val="00FD10C5"/>
    <w:rsid w:val="00FD21F1"/>
    <w:rsid w:val="00FD6C64"/>
    <w:rsid w:val="00FD7622"/>
    <w:rsid w:val="00FE07CC"/>
    <w:rsid w:val="00FE120B"/>
    <w:rsid w:val="00FE1CA1"/>
    <w:rsid w:val="00FE3FC1"/>
    <w:rsid w:val="00FE7E2D"/>
    <w:rsid w:val="00FF17A9"/>
    <w:rsid w:val="00FF2F94"/>
    <w:rsid w:val="00FF42C8"/>
    <w:rsid w:val="00FF5DF0"/>
    <w:rsid w:val="00FF6564"/>
    <w:rsid w:val="00FF6B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42"/>
    <w:pPr>
      <w:spacing w:after="0"/>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8610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8610A"/>
  </w:style>
  <w:style w:type="paragraph" w:styleId="Sidefod">
    <w:name w:val="footer"/>
    <w:basedOn w:val="Normal"/>
    <w:link w:val="SidefodTegn"/>
    <w:uiPriority w:val="99"/>
    <w:unhideWhenUsed/>
    <w:rsid w:val="0078610A"/>
    <w:pPr>
      <w:tabs>
        <w:tab w:val="center" w:pos="4819"/>
        <w:tab w:val="right" w:pos="9638"/>
      </w:tabs>
      <w:spacing w:line="240" w:lineRule="auto"/>
    </w:pPr>
  </w:style>
  <w:style w:type="character" w:customStyle="1" w:styleId="SidefodTegn">
    <w:name w:val="Sidefod Tegn"/>
    <w:basedOn w:val="Standardskrifttypeiafsnit"/>
    <w:link w:val="Sidefod"/>
    <w:uiPriority w:val="99"/>
    <w:rsid w:val="0078610A"/>
  </w:style>
  <w:style w:type="paragraph" w:customStyle="1" w:styleId="Normal-Infotekst">
    <w:name w:val="Normal - Info tekst"/>
    <w:basedOn w:val="Normal"/>
    <w:semiHidden/>
    <w:rsid w:val="0078610A"/>
    <w:rPr>
      <w:sz w:val="20"/>
    </w:rPr>
  </w:style>
  <w:style w:type="paragraph" w:customStyle="1" w:styleId="Normal-Dokumentnavn">
    <w:name w:val="Normal - Dokument navn"/>
    <w:basedOn w:val="Normal"/>
    <w:semiHidden/>
    <w:rsid w:val="0078610A"/>
    <w:rPr>
      <w:rFonts w:ascii="Arial" w:hAnsi="Arial"/>
      <w:b/>
      <w:caps/>
      <w:spacing w:val="30"/>
      <w:lang w:val="nb-NO"/>
    </w:rPr>
  </w:style>
  <w:style w:type="character" w:customStyle="1" w:styleId="apple-converted-space">
    <w:name w:val="apple-converted-space"/>
    <w:rsid w:val="0078610A"/>
  </w:style>
  <w:style w:type="paragraph" w:styleId="Listeafsnit">
    <w:name w:val="List Paragraph"/>
    <w:basedOn w:val="Normal"/>
    <w:uiPriority w:val="34"/>
    <w:qFormat/>
    <w:rsid w:val="0078610A"/>
    <w:pPr>
      <w:ind w:left="1304"/>
    </w:pPr>
  </w:style>
  <w:style w:type="character" w:styleId="Kommentarhenvisning">
    <w:name w:val="annotation reference"/>
    <w:semiHidden/>
    <w:rsid w:val="0078610A"/>
    <w:rPr>
      <w:sz w:val="16"/>
      <w:szCs w:val="16"/>
    </w:rPr>
  </w:style>
  <w:style w:type="paragraph" w:styleId="Kommentartekst">
    <w:name w:val="annotation text"/>
    <w:basedOn w:val="Normal"/>
    <w:link w:val="KommentartekstTegn"/>
    <w:semiHidden/>
    <w:rsid w:val="0078610A"/>
    <w:rPr>
      <w:sz w:val="20"/>
      <w:szCs w:val="20"/>
    </w:rPr>
  </w:style>
  <w:style w:type="character" w:customStyle="1" w:styleId="KommentartekstTegn">
    <w:name w:val="Kommentartekst Tegn"/>
    <w:basedOn w:val="Standardskrifttypeiafsnit"/>
    <w:link w:val="Kommentartekst"/>
    <w:semiHidden/>
    <w:rsid w:val="0078610A"/>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78610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610A"/>
    <w:rPr>
      <w:rFonts w:ascii="Tahoma" w:eastAsia="Times New Roman" w:hAnsi="Tahoma" w:cs="Tahoma"/>
      <w:sz w:val="16"/>
      <w:szCs w:val="16"/>
      <w:lang w:eastAsia="da-DK"/>
    </w:rPr>
  </w:style>
  <w:style w:type="paragraph" w:styleId="NormalWeb">
    <w:name w:val="Normal (Web)"/>
    <w:basedOn w:val="Normal"/>
    <w:uiPriority w:val="99"/>
    <w:unhideWhenUsed/>
    <w:rsid w:val="0078610A"/>
    <w:pPr>
      <w:spacing w:before="100" w:beforeAutospacing="1" w:after="100" w:afterAutospacing="1" w:line="240" w:lineRule="auto"/>
    </w:pPr>
    <w:rPr>
      <w:rFonts w:ascii="Tahoma" w:hAnsi="Tahoma" w:cs="Tahoma"/>
      <w:color w:val="000000"/>
    </w:rPr>
  </w:style>
  <w:style w:type="paragraph" w:styleId="Kommentaremne">
    <w:name w:val="annotation subject"/>
    <w:basedOn w:val="Kommentartekst"/>
    <w:next w:val="Kommentartekst"/>
    <w:link w:val="KommentaremneTegn"/>
    <w:uiPriority w:val="99"/>
    <w:semiHidden/>
    <w:unhideWhenUsed/>
    <w:rsid w:val="00BC4673"/>
    <w:pPr>
      <w:spacing w:line="240" w:lineRule="auto"/>
    </w:pPr>
    <w:rPr>
      <w:b/>
      <w:bCs/>
    </w:rPr>
  </w:style>
  <w:style w:type="character" w:customStyle="1" w:styleId="KommentaremneTegn">
    <w:name w:val="Kommentaremne Tegn"/>
    <w:basedOn w:val="KommentartekstTegn"/>
    <w:link w:val="Kommentaremne"/>
    <w:uiPriority w:val="99"/>
    <w:semiHidden/>
    <w:rsid w:val="00BC4673"/>
    <w:rPr>
      <w:rFonts w:ascii="Times New Roman" w:eastAsia="Times New Roman" w:hAnsi="Times New Roman" w:cs="Times New Roman"/>
      <w:b/>
      <w:bCs/>
      <w:sz w:val="20"/>
      <w:szCs w:val="20"/>
      <w:lang w:eastAsia="da-DK"/>
    </w:rPr>
  </w:style>
  <w:style w:type="paragraph" w:customStyle="1" w:styleId="Default">
    <w:name w:val="Default"/>
    <w:rsid w:val="00EF6307"/>
    <w:pPr>
      <w:autoSpaceDE w:val="0"/>
      <w:autoSpaceDN w:val="0"/>
      <w:adjustRightInd w:val="0"/>
      <w:spacing w:after="0" w:line="240" w:lineRule="auto"/>
    </w:pPr>
    <w:rPr>
      <w:rFonts w:ascii="Times New Roman" w:hAnsi="Times New Roman" w:cs="Times New Roman"/>
      <w:color w:val="000000"/>
      <w:sz w:val="24"/>
      <w:szCs w:val="24"/>
    </w:rPr>
  </w:style>
  <w:style w:type="paragraph" w:styleId="Ingenafstand">
    <w:name w:val="No Spacing"/>
    <w:uiPriority w:val="1"/>
    <w:qFormat/>
    <w:rsid w:val="0091398B"/>
    <w:pPr>
      <w:spacing w:after="0" w:line="240" w:lineRule="auto"/>
    </w:pPr>
  </w:style>
  <w:style w:type="paragraph" w:styleId="Fodnotetekst">
    <w:name w:val="footnote text"/>
    <w:basedOn w:val="Normal"/>
    <w:link w:val="FodnotetekstTegn"/>
    <w:uiPriority w:val="99"/>
    <w:unhideWhenUsed/>
    <w:rsid w:val="0091398B"/>
    <w:pPr>
      <w:spacing w:line="240" w:lineRule="auto"/>
    </w:pPr>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rsid w:val="0091398B"/>
    <w:rPr>
      <w:sz w:val="20"/>
      <w:szCs w:val="20"/>
    </w:rPr>
  </w:style>
  <w:style w:type="character" w:styleId="Fodnotehenvisning">
    <w:name w:val="footnote reference"/>
    <w:basedOn w:val="Standardskrifttypeiafsnit"/>
    <w:uiPriority w:val="99"/>
    <w:semiHidden/>
    <w:unhideWhenUsed/>
    <w:rsid w:val="0091398B"/>
    <w:rPr>
      <w:vertAlign w:val="superscript"/>
    </w:rPr>
  </w:style>
  <w:style w:type="paragraph" w:styleId="Korrektur">
    <w:name w:val="Revision"/>
    <w:hidden/>
    <w:uiPriority w:val="99"/>
    <w:semiHidden/>
    <w:rsid w:val="00E56B7B"/>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A7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42"/>
    <w:pPr>
      <w:spacing w:after="0"/>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8610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8610A"/>
  </w:style>
  <w:style w:type="paragraph" w:styleId="Sidefod">
    <w:name w:val="footer"/>
    <w:basedOn w:val="Normal"/>
    <w:link w:val="SidefodTegn"/>
    <w:uiPriority w:val="99"/>
    <w:unhideWhenUsed/>
    <w:rsid w:val="0078610A"/>
    <w:pPr>
      <w:tabs>
        <w:tab w:val="center" w:pos="4819"/>
        <w:tab w:val="right" w:pos="9638"/>
      </w:tabs>
      <w:spacing w:line="240" w:lineRule="auto"/>
    </w:pPr>
  </w:style>
  <w:style w:type="character" w:customStyle="1" w:styleId="SidefodTegn">
    <w:name w:val="Sidefod Tegn"/>
    <w:basedOn w:val="Standardskrifttypeiafsnit"/>
    <w:link w:val="Sidefod"/>
    <w:uiPriority w:val="99"/>
    <w:rsid w:val="0078610A"/>
  </w:style>
  <w:style w:type="paragraph" w:customStyle="1" w:styleId="Normal-Infotekst">
    <w:name w:val="Normal - Info tekst"/>
    <w:basedOn w:val="Normal"/>
    <w:semiHidden/>
    <w:rsid w:val="0078610A"/>
    <w:rPr>
      <w:sz w:val="20"/>
    </w:rPr>
  </w:style>
  <w:style w:type="paragraph" w:customStyle="1" w:styleId="Normal-Dokumentnavn">
    <w:name w:val="Normal - Dokument navn"/>
    <w:basedOn w:val="Normal"/>
    <w:semiHidden/>
    <w:rsid w:val="0078610A"/>
    <w:rPr>
      <w:rFonts w:ascii="Arial" w:hAnsi="Arial"/>
      <w:b/>
      <w:caps/>
      <w:spacing w:val="30"/>
      <w:lang w:val="nb-NO"/>
    </w:rPr>
  </w:style>
  <w:style w:type="character" w:customStyle="1" w:styleId="apple-converted-space">
    <w:name w:val="apple-converted-space"/>
    <w:rsid w:val="0078610A"/>
  </w:style>
  <w:style w:type="paragraph" w:styleId="Listeafsnit">
    <w:name w:val="List Paragraph"/>
    <w:basedOn w:val="Normal"/>
    <w:uiPriority w:val="34"/>
    <w:qFormat/>
    <w:rsid w:val="0078610A"/>
    <w:pPr>
      <w:ind w:left="1304"/>
    </w:pPr>
  </w:style>
  <w:style w:type="character" w:styleId="Kommentarhenvisning">
    <w:name w:val="annotation reference"/>
    <w:semiHidden/>
    <w:rsid w:val="0078610A"/>
    <w:rPr>
      <w:sz w:val="16"/>
      <w:szCs w:val="16"/>
    </w:rPr>
  </w:style>
  <w:style w:type="paragraph" w:styleId="Kommentartekst">
    <w:name w:val="annotation text"/>
    <w:basedOn w:val="Normal"/>
    <w:link w:val="KommentartekstTegn"/>
    <w:semiHidden/>
    <w:rsid w:val="0078610A"/>
    <w:rPr>
      <w:sz w:val="20"/>
      <w:szCs w:val="20"/>
    </w:rPr>
  </w:style>
  <w:style w:type="character" w:customStyle="1" w:styleId="KommentartekstTegn">
    <w:name w:val="Kommentartekst Tegn"/>
    <w:basedOn w:val="Standardskrifttypeiafsnit"/>
    <w:link w:val="Kommentartekst"/>
    <w:semiHidden/>
    <w:rsid w:val="0078610A"/>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78610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610A"/>
    <w:rPr>
      <w:rFonts w:ascii="Tahoma" w:eastAsia="Times New Roman" w:hAnsi="Tahoma" w:cs="Tahoma"/>
      <w:sz w:val="16"/>
      <w:szCs w:val="16"/>
      <w:lang w:eastAsia="da-DK"/>
    </w:rPr>
  </w:style>
  <w:style w:type="paragraph" w:styleId="NormalWeb">
    <w:name w:val="Normal (Web)"/>
    <w:basedOn w:val="Normal"/>
    <w:uiPriority w:val="99"/>
    <w:unhideWhenUsed/>
    <w:rsid w:val="0078610A"/>
    <w:pPr>
      <w:spacing w:before="100" w:beforeAutospacing="1" w:after="100" w:afterAutospacing="1" w:line="240" w:lineRule="auto"/>
    </w:pPr>
    <w:rPr>
      <w:rFonts w:ascii="Tahoma" w:hAnsi="Tahoma" w:cs="Tahoma"/>
      <w:color w:val="000000"/>
    </w:rPr>
  </w:style>
  <w:style w:type="paragraph" w:styleId="Kommentaremne">
    <w:name w:val="annotation subject"/>
    <w:basedOn w:val="Kommentartekst"/>
    <w:next w:val="Kommentartekst"/>
    <w:link w:val="KommentaremneTegn"/>
    <w:uiPriority w:val="99"/>
    <w:semiHidden/>
    <w:unhideWhenUsed/>
    <w:rsid w:val="00BC4673"/>
    <w:pPr>
      <w:spacing w:line="240" w:lineRule="auto"/>
    </w:pPr>
    <w:rPr>
      <w:b/>
      <w:bCs/>
    </w:rPr>
  </w:style>
  <w:style w:type="character" w:customStyle="1" w:styleId="KommentaremneTegn">
    <w:name w:val="Kommentaremne Tegn"/>
    <w:basedOn w:val="KommentartekstTegn"/>
    <w:link w:val="Kommentaremne"/>
    <w:uiPriority w:val="99"/>
    <w:semiHidden/>
    <w:rsid w:val="00BC4673"/>
    <w:rPr>
      <w:rFonts w:ascii="Times New Roman" w:eastAsia="Times New Roman" w:hAnsi="Times New Roman" w:cs="Times New Roman"/>
      <w:b/>
      <w:bCs/>
      <w:sz w:val="20"/>
      <w:szCs w:val="20"/>
      <w:lang w:eastAsia="da-DK"/>
    </w:rPr>
  </w:style>
  <w:style w:type="paragraph" w:customStyle="1" w:styleId="Default">
    <w:name w:val="Default"/>
    <w:rsid w:val="00EF6307"/>
    <w:pPr>
      <w:autoSpaceDE w:val="0"/>
      <w:autoSpaceDN w:val="0"/>
      <w:adjustRightInd w:val="0"/>
      <w:spacing w:after="0" w:line="240" w:lineRule="auto"/>
    </w:pPr>
    <w:rPr>
      <w:rFonts w:ascii="Times New Roman" w:hAnsi="Times New Roman" w:cs="Times New Roman"/>
      <w:color w:val="000000"/>
      <w:sz w:val="24"/>
      <w:szCs w:val="24"/>
    </w:rPr>
  </w:style>
  <w:style w:type="paragraph" w:styleId="Ingenafstand">
    <w:name w:val="No Spacing"/>
    <w:uiPriority w:val="1"/>
    <w:qFormat/>
    <w:rsid w:val="0091398B"/>
    <w:pPr>
      <w:spacing w:after="0" w:line="240" w:lineRule="auto"/>
    </w:pPr>
  </w:style>
  <w:style w:type="paragraph" w:styleId="Fodnotetekst">
    <w:name w:val="footnote text"/>
    <w:basedOn w:val="Normal"/>
    <w:link w:val="FodnotetekstTegn"/>
    <w:uiPriority w:val="99"/>
    <w:unhideWhenUsed/>
    <w:rsid w:val="0091398B"/>
    <w:pPr>
      <w:spacing w:line="240" w:lineRule="auto"/>
    </w:pPr>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rsid w:val="0091398B"/>
    <w:rPr>
      <w:sz w:val="20"/>
      <w:szCs w:val="20"/>
    </w:rPr>
  </w:style>
  <w:style w:type="character" w:styleId="Fodnotehenvisning">
    <w:name w:val="footnote reference"/>
    <w:basedOn w:val="Standardskrifttypeiafsnit"/>
    <w:uiPriority w:val="99"/>
    <w:semiHidden/>
    <w:unhideWhenUsed/>
    <w:rsid w:val="0091398B"/>
    <w:rPr>
      <w:vertAlign w:val="superscript"/>
    </w:rPr>
  </w:style>
  <w:style w:type="paragraph" w:styleId="Korrektur">
    <w:name w:val="Revision"/>
    <w:hidden/>
    <w:uiPriority w:val="99"/>
    <w:semiHidden/>
    <w:rsid w:val="00E56B7B"/>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A7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32">
      <w:bodyDiv w:val="1"/>
      <w:marLeft w:val="0"/>
      <w:marRight w:val="0"/>
      <w:marTop w:val="0"/>
      <w:marBottom w:val="0"/>
      <w:divBdr>
        <w:top w:val="none" w:sz="0" w:space="0" w:color="auto"/>
        <w:left w:val="none" w:sz="0" w:space="0" w:color="auto"/>
        <w:bottom w:val="none" w:sz="0" w:space="0" w:color="auto"/>
        <w:right w:val="none" w:sz="0" w:space="0" w:color="auto"/>
      </w:divBdr>
    </w:div>
    <w:div w:id="116265609">
      <w:bodyDiv w:val="1"/>
      <w:marLeft w:val="0"/>
      <w:marRight w:val="0"/>
      <w:marTop w:val="0"/>
      <w:marBottom w:val="0"/>
      <w:divBdr>
        <w:top w:val="none" w:sz="0" w:space="0" w:color="auto"/>
        <w:left w:val="none" w:sz="0" w:space="0" w:color="auto"/>
        <w:bottom w:val="none" w:sz="0" w:space="0" w:color="auto"/>
        <w:right w:val="none" w:sz="0" w:space="0" w:color="auto"/>
      </w:divBdr>
    </w:div>
    <w:div w:id="158544907">
      <w:bodyDiv w:val="1"/>
      <w:marLeft w:val="0"/>
      <w:marRight w:val="0"/>
      <w:marTop w:val="0"/>
      <w:marBottom w:val="0"/>
      <w:divBdr>
        <w:top w:val="none" w:sz="0" w:space="0" w:color="auto"/>
        <w:left w:val="none" w:sz="0" w:space="0" w:color="auto"/>
        <w:bottom w:val="none" w:sz="0" w:space="0" w:color="auto"/>
        <w:right w:val="none" w:sz="0" w:space="0" w:color="auto"/>
      </w:divBdr>
      <w:divsChild>
        <w:div w:id="1495032488">
          <w:marLeft w:val="0"/>
          <w:marRight w:val="0"/>
          <w:marTop w:val="0"/>
          <w:marBottom w:val="0"/>
          <w:divBdr>
            <w:top w:val="none" w:sz="0" w:space="0" w:color="auto"/>
            <w:left w:val="none" w:sz="0" w:space="0" w:color="auto"/>
            <w:bottom w:val="none" w:sz="0" w:space="0" w:color="auto"/>
            <w:right w:val="none" w:sz="0" w:space="0" w:color="auto"/>
          </w:divBdr>
        </w:div>
        <w:div w:id="2074548827">
          <w:marLeft w:val="0"/>
          <w:marRight w:val="0"/>
          <w:marTop w:val="0"/>
          <w:marBottom w:val="0"/>
          <w:divBdr>
            <w:top w:val="none" w:sz="0" w:space="0" w:color="auto"/>
            <w:left w:val="none" w:sz="0" w:space="0" w:color="auto"/>
            <w:bottom w:val="none" w:sz="0" w:space="0" w:color="auto"/>
            <w:right w:val="none" w:sz="0" w:space="0" w:color="auto"/>
          </w:divBdr>
        </w:div>
        <w:div w:id="362826733">
          <w:marLeft w:val="0"/>
          <w:marRight w:val="0"/>
          <w:marTop w:val="0"/>
          <w:marBottom w:val="0"/>
          <w:divBdr>
            <w:top w:val="none" w:sz="0" w:space="0" w:color="auto"/>
            <w:left w:val="none" w:sz="0" w:space="0" w:color="auto"/>
            <w:bottom w:val="none" w:sz="0" w:space="0" w:color="auto"/>
            <w:right w:val="none" w:sz="0" w:space="0" w:color="auto"/>
          </w:divBdr>
        </w:div>
        <w:div w:id="1503931846">
          <w:marLeft w:val="0"/>
          <w:marRight w:val="0"/>
          <w:marTop w:val="0"/>
          <w:marBottom w:val="0"/>
          <w:divBdr>
            <w:top w:val="none" w:sz="0" w:space="0" w:color="auto"/>
            <w:left w:val="none" w:sz="0" w:space="0" w:color="auto"/>
            <w:bottom w:val="none" w:sz="0" w:space="0" w:color="auto"/>
            <w:right w:val="none" w:sz="0" w:space="0" w:color="auto"/>
          </w:divBdr>
        </w:div>
        <w:div w:id="707295484">
          <w:marLeft w:val="0"/>
          <w:marRight w:val="0"/>
          <w:marTop w:val="0"/>
          <w:marBottom w:val="0"/>
          <w:divBdr>
            <w:top w:val="none" w:sz="0" w:space="0" w:color="auto"/>
            <w:left w:val="none" w:sz="0" w:space="0" w:color="auto"/>
            <w:bottom w:val="none" w:sz="0" w:space="0" w:color="auto"/>
            <w:right w:val="none" w:sz="0" w:space="0" w:color="auto"/>
          </w:divBdr>
        </w:div>
        <w:div w:id="210532596">
          <w:marLeft w:val="0"/>
          <w:marRight w:val="0"/>
          <w:marTop w:val="0"/>
          <w:marBottom w:val="0"/>
          <w:divBdr>
            <w:top w:val="none" w:sz="0" w:space="0" w:color="auto"/>
            <w:left w:val="none" w:sz="0" w:space="0" w:color="auto"/>
            <w:bottom w:val="none" w:sz="0" w:space="0" w:color="auto"/>
            <w:right w:val="none" w:sz="0" w:space="0" w:color="auto"/>
          </w:divBdr>
        </w:div>
        <w:div w:id="1250579663">
          <w:marLeft w:val="0"/>
          <w:marRight w:val="0"/>
          <w:marTop w:val="0"/>
          <w:marBottom w:val="0"/>
          <w:divBdr>
            <w:top w:val="none" w:sz="0" w:space="0" w:color="auto"/>
            <w:left w:val="none" w:sz="0" w:space="0" w:color="auto"/>
            <w:bottom w:val="none" w:sz="0" w:space="0" w:color="auto"/>
            <w:right w:val="none" w:sz="0" w:space="0" w:color="auto"/>
          </w:divBdr>
        </w:div>
        <w:div w:id="894705212">
          <w:marLeft w:val="0"/>
          <w:marRight w:val="0"/>
          <w:marTop w:val="0"/>
          <w:marBottom w:val="0"/>
          <w:divBdr>
            <w:top w:val="none" w:sz="0" w:space="0" w:color="auto"/>
            <w:left w:val="none" w:sz="0" w:space="0" w:color="auto"/>
            <w:bottom w:val="none" w:sz="0" w:space="0" w:color="auto"/>
            <w:right w:val="none" w:sz="0" w:space="0" w:color="auto"/>
          </w:divBdr>
        </w:div>
        <w:div w:id="1949001721">
          <w:marLeft w:val="0"/>
          <w:marRight w:val="0"/>
          <w:marTop w:val="0"/>
          <w:marBottom w:val="0"/>
          <w:divBdr>
            <w:top w:val="none" w:sz="0" w:space="0" w:color="auto"/>
            <w:left w:val="none" w:sz="0" w:space="0" w:color="auto"/>
            <w:bottom w:val="none" w:sz="0" w:space="0" w:color="auto"/>
            <w:right w:val="none" w:sz="0" w:space="0" w:color="auto"/>
          </w:divBdr>
        </w:div>
        <w:div w:id="1368332620">
          <w:marLeft w:val="0"/>
          <w:marRight w:val="0"/>
          <w:marTop w:val="0"/>
          <w:marBottom w:val="0"/>
          <w:divBdr>
            <w:top w:val="none" w:sz="0" w:space="0" w:color="auto"/>
            <w:left w:val="none" w:sz="0" w:space="0" w:color="auto"/>
            <w:bottom w:val="none" w:sz="0" w:space="0" w:color="auto"/>
            <w:right w:val="none" w:sz="0" w:space="0" w:color="auto"/>
          </w:divBdr>
        </w:div>
        <w:div w:id="2065986087">
          <w:marLeft w:val="0"/>
          <w:marRight w:val="0"/>
          <w:marTop w:val="0"/>
          <w:marBottom w:val="0"/>
          <w:divBdr>
            <w:top w:val="none" w:sz="0" w:space="0" w:color="auto"/>
            <w:left w:val="none" w:sz="0" w:space="0" w:color="auto"/>
            <w:bottom w:val="none" w:sz="0" w:space="0" w:color="auto"/>
            <w:right w:val="none" w:sz="0" w:space="0" w:color="auto"/>
          </w:divBdr>
        </w:div>
        <w:div w:id="1512449319">
          <w:marLeft w:val="0"/>
          <w:marRight w:val="0"/>
          <w:marTop w:val="0"/>
          <w:marBottom w:val="0"/>
          <w:divBdr>
            <w:top w:val="none" w:sz="0" w:space="0" w:color="auto"/>
            <w:left w:val="none" w:sz="0" w:space="0" w:color="auto"/>
            <w:bottom w:val="none" w:sz="0" w:space="0" w:color="auto"/>
            <w:right w:val="none" w:sz="0" w:space="0" w:color="auto"/>
          </w:divBdr>
        </w:div>
        <w:div w:id="1374040235">
          <w:marLeft w:val="0"/>
          <w:marRight w:val="0"/>
          <w:marTop w:val="0"/>
          <w:marBottom w:val="0"/>
          <w:divBdr>
            <w:top w:val="none" w:sz="0" w:space="0" w:color="auto"/>
            <w:left w:val="none" w:sz="0" w:space="0" w:color="auto"/>
            <w:bottom w:val="none" w:sz="0" w:space="0" w:color="auto"/>
            <w:right w:val="none" w:sz="0" w:space="0" w:color="auto"/>
          </w:divBdr>
        </w:div>
        <w:div w:id="369452259">
          <w:marLeft w:val="0"/>
          <w:marRight w:val="0"/>
          <w:marTop w:val="0"/>
          <w:marBottom w:val="0"/>
          <w:divBdr>
            <w:top w:val="none" w:sz="0" w:space="0" w:color="auto"/>
            <w:left w:val="none" w:sz="0" w:space="0" w:color="auto"/>
            <w:bottom w:val="none" w:sz="0" w:space="0" w:color="auto"/>
            <w:right w:val="none" w:sz="0" w:space="0" w:color="auto"/>
          </w:divBdr>
        </w:div>
        <w:div w:id="2074232082">
          <w:marLeft w:val="0"/>
          <w:marRight w:val="0"/>
          <w:marTop w:val="0"/>
          <w:marBottom w:val="0"/>
          <w:divBdr>
            <w:top w:val="none" w:sz="0" w:space="0" w:color="auto"/>
            <w:left w:val="none" w:sz="0" w:space="0" w:color="auto"/>
            <w:bottom w:val="none" w:sz="0" w:space="0" w:color="auto"/>
            <w:right w:val="none" w:sz="0" w:space="0" w:color="auto"/>
          </w:divBdr>
        </w:div>
        <w:div w:id="1762291377">
          <w:marLeft w:val="0"/>
          <w:marRight w:val="0"/>
          <w:marTop w:val="0"/>
          <w:marBottom w:val="0"/>
          <w:divBdr>
            <w:top w:val="none" w:sz="0" w:space="0" w:color="auto"/>
            <w:left w:val="none" w:sz="0" w:space="0" w:color="auto"/>
            <w:bottom w:val="none" w:sz="0" w:space="0" w:color="auto"/>
            <w:right w:val="none" w:sz="0" w:space="0" w:color="auto"/>
          </w:divBdr>
        </w:div>
        <w:div w:id="848982355">
          <w:marLeft w:val="0"/>
          <w:marRight w:val="0"/>
          <w:marTop w:val="0"/>
          <w:marBottom w:val="0"/>
          <w:divBdr>
            <w:top w:val="none" w:sz="0" w:space="0" w:color="auto"/>
            <w:left w:val="none" w:sz="0" w:space="0" w:color="auto"/>
            <w:bottom w:val="none" w:sz="0" w:space="0" w:color="auto"/>
            <w:right w:val="none" w:sz="0" w:space="0" w:color="auto"/>
          </w:divBdr>
        </w:div>
        <w:div w:id="390155483">
          <w:marLeft w:val="0"/>
          <w:marRight w:val="0"/>
          <w:marTop w:val="0"/>
          <w:marBottom w:val="0"/>
          <w:divBdr>
            <w:top w:val="none" w:sz="0" w:space="0" w:color="auto"/>
            <w:left w:val="none" w:sz="0" w:space="0" w:color="auto"/>
            <w:bottom w:val="none" w:sz="0" w:space="0" w:color="auto"/>
            <w:right w:val="none" w:sz="0" w:space="0" w:color="auto"/>
          </w:divBdr>
        </w:div>
      </w:divsChild>
    </w:div>
    <w:div w:id="177743619">
      <w:bodyDiv w:val="1"/>
      <w:marLeft w:val="0"/>
      <w:marRight w:val="0"/>
      <w:marTop w:val="0"/>
      <w:marBottom w:val="0"/>
      <w:divBdr>
        <w:top w:val="none" w:sz="0" w:space="0" w:color="auto"/>
        <w:left w:val="none" w:sz="0" w:space="0" w:color="auto"/>
        <w:bottom w:val="none" w:sz="0" w:space="0" w:color="auto"/>
        <w:right w:val="none" w:sz="0" w:space="0" w:color="auto"/>
      </w:divBdr>
    </w:div>
    <w:div w:id="241842853">
      <w:bodyDiv w:val="1"/>
      <w:marLeft w:val="0"/>
      <w:marRight w:val="0"/>
      <w:marTop w:val="0"/>
      <w:marBottom w:val="0"/>
      <w:divBdr>
        <w:top w:val="none" w:sz="0" w:space="0" w:color="auto"/>
        <w:left w:val="none" w:sz="0" w:space="0" w:color="auto"/>
        <w:bottom w:val="none" w:sz="0" w:space="0" w:color="auto"/>
        <w:right w:val="none" w:sz="0" w:space="0" w:color="auto"/>
      </w:divBdr>
      <w:divsChild>
        <w:div w:id="1795439850">
          <w:marLeft w:val="547"/>
          <w:marRight w:val="0"/>
          <w:marTop w:val="67"/>
          <w:marBottom w:val="0"/>
          <w:divBdr>
            <w:top w:val="none" w:sz="0" w:space="0" w:color="auto"/>
            <w:left w:val="none" w:sz="0" w:space="0" w:color="auto"/>
            <w:bottom w:val="none" w:sz="0" w:space="0" w:color="auto"/>
            <w:right w:val="none" w:sz="0" w:space="0" w:color="auto"/>
          </w:divBdr>
        </w:div>
        <w:div w:id="1312367447">
          <w:marLeft w:val="547"/>
          <w:marRight w:val="0"/>
          <w:marTop w:val="67"/>
          <w:marBottom w:val="0"/>
          <w:divBdr>
            <w:top w:val="none" w:sz="0" w:space="0" w:color="auto"/>
            <w:left w:val="none" w:sz="0" w:space="0" w:color="auto"/>
            <w:bottom w:val="none" w:sz="0" w:space="0" w:color="auto"/>
            <w:right w:val="none" w:sz="0" w:space="0" w:color="auto"/>
          </w:divBdr>
        </w:div>
        <w:div w:id="2098793313">
          <w:marLeft w:val="547"/>
          <w:marRight w:val="0"/>
          <w:marTop w:val="67"/>
          <w:marBottom w:val="0"/>
          <w:divBdr>
            <w:top w:val="none" w:sz="0" w:space="0" w:color="auto"/>
            <w:left w:val="none" w:sz="0" w:space="0" w:color="auto"/>
            <w:bottom w:val="none" w:sz="0" w:space="0" w:color="auto"/>
            <w:right w:val="none" w:sz="0" w:space="0" w:color="auto"/>
          </w:divBdr>
        </w:div>
      </w:divsChild>
    </w:div>
    <w:div w:id="708067527">
      <w:bodyDiv w:val="1"/>
      <w:marLeft w:val="0"/>
      <w:marRight w:val="0"/>
      <w:marTop w:val="0"/>
      <w:marBottom w:val="0"/>
      <w:divBdr>
        <w:top w:val="none" w:sz="0" w:space="0" w:color="auto"/>
        <w:left w:val="none" w:sz="0" w:space="0" w:color="auto"/>
        <w:bottom w:val="none" w:sz="0" w:space="0" w:color="auto"/>
        <w:right w:val="none" w:sz="0" w:space="0" w:color="auto"/>
      </w:divBdr>
      <w:divsChild>
        <w:div w:id="1867979559">
          <w:marLeft w:val="547"/>
          <w:marRight w:val="0"/>
          <w:marTop w:val="77"/>
          <w:marBottom w:val="0"/>
          <w:divBdr>
            <w:top w:val="none" w:sz="0" w:space="0" w:color="auto"/>
            <w:left w:val="none" w:sz="0" w:space="0" w:color="auto"/>
            <w:bottom w:val="none" w:sz="0" w:space="0" w:color="auto"/>
            <w:right w:val="none" w:sz="0" w:space="0" w:color="auto"/>
          </w:divBdr>
        </w:div>
        <w:div w:id="1315447875">
          <w:marLeft w:val="547"/>
          <w:marRight w:val="0"/>
          <w:marTop w:val="77"/>
          <w:marBottom w:val="0"/>
          <w:divBdr>
            <w:top w:val="none" w:sz="0" w:space="0" w:color="auto"/>
            <w:left w:val="none" w:sz="0" w:space="0" w:color="auto"/>
            <w:bottom w:val="none" w:sz="0" w:space="0" w:color="auto"/>
            <w:right w:val="none" w:sz="0" w:space="0" w:color="auto"/>
          </w:divBdr>
        </w:div>
      </w:divsChild>
    </w:div>
    <w:div w:id="904070176">
      <w:bodyDiv w:val="1"/>
      <w:marLeft w:val="0"/>
      <w:marRight w:val="0"/>
      <w:marTop w:val="0"/>
      <w:marBottom w:val="0"/>
      <w:divBdr>
        <w:top w:val="none" w:sz="0" w:space="0" w:color="auto"/>
        <w:left w:val="none" w:sz="0" w:space="0" w:color="auto"/>
        <w:bottom w:val="none" w:sz="0" w:space="0" w:color="auto"/>
        <w:right w:val="none" w:sz="0" w:space="0" w:color="auto"/>
      </w:divBdr>
    </w:div>
    <w:div w:id="1437019208">
      <w:bodyDiv w:val="1"/>
      <w:marLeft w:val="0"/>
      <w:marRight w:val="0"/>
      <w:marTop w:val="0"/>
      <w:marBottom w:val="0"/>
      <w:divBdr>
        <w:top w:val="none" w:sz="0" w:space="0" w:color="auto"/>
        <w:left w:val="none" w:sz="0" w:space="0" w:color="auto"/>
        <w:bottom w:val="none" w:sz="0" w:space="0" w:color="auto"/>
        <w:right w:val="none" w:sz="0" w:space="0" w:color="auto"/>
      </w:divBdr>
    </w:div>
    <w:div w:id="1454132186">
      <w:bodyDiv w:val="1"/>
      <w:marLeft w:val="0"/>
      <w:marRight w:val="0"/>
      <w:marTop w:val="0"/>
      <w:marBottom w:val="0"/>
      <w:divBdr>
        <w:top w:val="none" w:sz="0" w:space="0" w:color="auto"/>
        <w:left w:val="none" w:sz="0" w:space="0" w:color="auto"/>
        <w:bottom w:val="none" w:sz="0" w:space="0" w:color="auto"/>
        <w:right w:val="none" w:sz="0" w:space="0" w:color="auto"/>
      </w:divBdr>
    </w:div>
    <w:div w:id="1491827238">
      <w:bodyDiv w:val="1"/>
      <w:marLeft w:val="0"/>
      <w:marRight w:val="0"/>
      <w:marTop w:val="0"/>
      <w:marBottom w:val="0"/>
      <w:divBdr>
        <w:top w:val="none" w:sz="0" w:space="0" w:color="auto"/>
        <w:left w:val="none" w:sz="0" w:space="0" w:color="auto"/>
        <w:bottom w:val="none" w:sz="0" w:space="0" w:color="auto"/>
        <w:right w:val="none" w:sz="0" w:space="0" w:color="auto"/>
      </w:divBdr>
      <w:divsChild>
        <w:div w:id="209272295">
          <w:marLeft w:val="0"/>
          <w:marRight w:val="0"/>
          <w:marTop w:val="0"/>
          <w:marBottom w:val="300"/>
          <w:divBdr>
            <w:top w:val="none" w:sz="0" w:space="0" w:color="auto"/>
            <w:left w:val="none" w:sz="0" w:space="0" w:color="auto"/>
            <w:bottom w:val="none" w:sz="0" w:space="0" w:color="auto"/>
            <w:right w:val="none" w:sz="0" w:space="0" w:color="auto"/>
          </w:divBdr>
          <w:divsChild>
            <w:div w:id="1554392207">
              <w:marLeft w:val="0"/>
              <w:marRight w:val="0"/>
              <w:marTop w:val="0"/>
              <w:marBottom w:val="0"/>
              <w:divBdr>
                <w:top w:val="none" w:sz="0" w:space="0" w:color="auto"/>
                <w:left w:val="single" w:sz="6" w:space="1" w:color="FFFFFF"/>
                <w:bottom w:val="none" w:sz="0" w:space="0" w:color="auto"/>
                <w:right w:val="single" w:sz="6" w:space="1" w:color="FFFFFF"/>
              </w:divBdr>
              <w:divsChild>
                <w:div w:id="518667537">
                  <w:marLeft w:val="0"/>
                  <w:marRight w:val="0"/>
                  <w:marTop w:val="0"/>
                  <w:marBottom w:val="0"/>
                  <w:divBdr>
                    <w:top w:val="none" w:sz="0" w:space="0" w:color="auto"/>
                    <w:left w:val="none" w:sz="0" w:space="0" w:color="auto"/>
                    <w:bottom w:val="none" w:sz="0" w:space="0" w:color="auto"/>
                    <w:right w:val="none" w:sz="0" w:space="0" w:color="auto"/>
                  </w:divBdr>
                  <w:divsChild>
                    <w:div w:id="514543259">
                      <w:marLeft w:val="0"/>
                      <w:marRight w:val="0"/>
                      <w:marTop w:val="0"/>
                      <w:marBottom w:val="0"/>
                      <w:divBdr>
                        <w:top w:val="none" w:sz="0" w:space="0" w:color="auto"/>
                        <w:left w:val="none" w:sz="0" w:space="0" w:color="auto"/>
                        <w:bottom w:val="none" w:sz="0" w:space="0" w:color="auto"/>
                        <w:right w:val="none" w:sz="0" w:space="0" w:color="auto"/>
                      </w:divBdr>
                      <w:divsChild>
                        <w:div w:id="469248904">
                          <w:marLeft w:val="0"/>
                          <w:marRight w:val="0"/>
                          <w:marTop w:val="0"/>
                          <w:marBottom w:val="0"/>
                          <w:divBdr>
                            <w:top w:val="none" w:sz="0" w:space="0" w:color="auto"/>
                            <w:left w:val="none" w:sz="0" w:space="0" w:color="auto"/>
                            <w:bottom w:val="none" w:sz="0" w:space="0" w:color="auto"/>
                            <w:right w:val="none" w:sz="0" w:space="0" w:color="auto"/>
                          </w:divBdr>
                          <w:divsChild>
                            <w:div w:id="758134188">
                              <w:marLeft w:val="0"/>
                              <w:marRight w:val="0"/>
                              <w:marTop w:val="0"/>
                              <w:marBottom w:val="0"/>
                              <w:divBdr>
                                <w:top w:val="none" w:sz="0" w:space="0" w:color="auto"/>
                                <w:left w:val="none" w:sz="0" w:space="0" w:color="auto"/>
                                <w:bottom w:val="none" w:sz="0" w:space="0" w:color="auto"/>
                                <w:right w:val="none" w:sz="0" w:space="0" w:color="auto"/>
                              </w:divBdr>
                              <w:divsChild>
                                <w:div w:id="1425766296">
                                  <w:marLeft w:val="0"/>
                                  <w:marRight w:val="0"/>
                                  <w:marTop w:val="0"/>
                                  <w:marBottom w:val="0"/>
                                  <w:divBdr>
                                    <w:top w:val="none" w:sz="0" w:space="0" w:color="auto"/>
                                    <w:left w:val="none" w:sz="0" w:space="0" w:color="auto"/>
                                    <w:bottom w:val="none" w:sz="0" w:space="0" w:color="auto"/>
                                    <w:right w:val="none" w:sz="0" w:space="0" w:color="auto"/>
                                  </w:divBdr>
                                  <w:divsChild>
                                    <w:div w:id="1225489759">
                                      <w:marLeft w:val="0"/>
                                      <w:marRight w:val="0"/>
                                      <w:marTop w:val="0"/>
                                      <w:marBottom w:val="0"/>
                                      <w:divBdr>
                                        <w:top w:val="none" w:sz="0" w:space="0" w:color="auto"/>
                                        <w:left w:val="none" w:sz="0" w:space="0" w:color="auto"/>
                                        <w:bottom w:val="none" w:sz="0" w:space="0" w:color="auto"/>
                                        <w:right w:val="none" w:sz="0" w:space="0" w:color="auto"/>
                                      </w:divBdr>
                                      <w:divsChild>
                                        <w:div w:id="2292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618874">
      <w:bodyDiv w:val="1"/>
      <w:marLeft w:val="0"/>
      <w:marRight w:val="0"/>
      <w:marTop w:val="0"/>
      <w:marBottom w:val="0"/>
      <w:divBdr>
        <w:top w:val="none" w:sz="0" w:space="0" w:color="auto"/>
        <w:left w:val="none" w:sz="0" w:space="0" w:color="auto"/>
        <w:bottom w:val="none" w:sz="0" w:space="0" w:color="auto"/>
        <w:right w:val="none" w:sz="0" w:space="0" w:color="auto"/>
      </w:divBdr>
    </w:div>
    <w:div w:id="1798336109">
      <w:bodyDiv w:val="1"/>
      <w:marLeft w:val="0"/>
      <w:marRight w:val="0"/>
      <w:marTop w:val="0"/>
      <w:marBottom w:val="0"/>
      <w:divBdr>
        <w:top w:val="none" w:sz="0" w:space="0" w:color="auto"/>
        <w:left w:val="none" w:sz="0" w:space="0" w:color="auto"/>
        <w:bottom w:val="none" w:sz="0" w:space="0" w:color="auto"/>
        <w:right w:val="none" w:sz="0" w:space="0" w:color="auto"/>
      </w:divBdr>
    </w:div>
    <w:div w:id="1798447890">
      <w:bodyDiv w:val="1"/>
      <w:marLeft w:val="0"/>
      <w:marRight w:val="0"/>
      <w:marTop w:val="0"/>
      <w:marBottom w:val="0"/>
      <w:divBdr>
        <w:top w:val="none" w:sz="0" w:space="0" w:color="auto"/>
        <w:left w:val="none" w:sz="0" w:space="0" w:color="auto"/>
        <w:bottom w:val="none" w:sz="0" w:space="0" w:color="auto"/>
        <w:right w:val="none" w:sz="0" w:space="0" w:color="auto"/>
      </w:divBdr>
    </w:div>
    <w:div w:id="2072996779">
      <w:bodyDiv w:val="1"/>
      <w:marLeft w:val="0"/>
      <w:marRight w:val="0"/>
      <w:marTop w:val="0"/>
      <w:marBottom w:val="0"/>
      <w:divBdr>
        <w:top w:val="none" w:sz="0" w:space="0" w:color="auto"/>
        <w:left w:val="none" w:sz="0" w:space="0" w:color="auto"/>
        <w:bottom w:val="none" w:sz="0" w:space="0" w:color="auto"/>
        <w:right w:val="none" w:sz="0" w:space="0" w:color="auto"/>
      </w:divBdr>
    </w:div>
    <w:div w:id="2132552772">
      <w:bodyDiv w:val="1"/>
      <w:marLeft w:val="0"/>
      <w:marRight w:val="0"/>
      <w:marTop w:val="0"/>
      <w:marBottom w:val="0"/>
      <w:divBdr>
        <w:top w:val="none" w:sz="0" w:space="0" w:color="auto"/>
        <w:left w:val="none" w:sz="0" w:space="0" w:color="auto"/>
        <w:bottom w:val="none" w:sz="0" w:space="0" w:color="auto"/>
        <w:right w:val="none" w:sz="0" w:space="0" w:color="auto"/>
      </w:divBdr>
      <w:divsChild>
        <w:div w:id="3844534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1641-835A-4BAB-8DE3-DCB9A4BE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7640</Words>
  <Characters>46605</Characters>
  <Application>Microsoft Office Word</Application>
  <DocSecurity>4</DocSecurity>
  <Lines>388</Lines>
  <Paragraphs>108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Imer Møller</dc:creator>
  <cp:lastModifiedBy>Christina Ravn</cp:lastModifiedBy>
  <cp:revision>2</cp:revision>
  <cp:lastPrinted>2016-06-21T14:29:00Z</cp:lastPrinted>
  <dcterms:created xsi:type="dcterms:W3CDTF">2016-06-30T09:37:00Z</dcterms:created>
  <dcterms:modified xsi:type="dcterms:W3CDTF">2016-06-30T09:37:00Z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