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EC" w:rsidRPr="0074079E" w:rsidRDefault="00DD41EC" w:rsidP="00DD41EC">
      <w:pPr>
        <w:jc w:val="center"/>
        <w:rPr>
          <w:b/>
        </w:rPr>
      </w:pPr>
      <w:bookmarkStart w:id="0" w:name="_GoBack"/>
      <w:bookmarkEnd w:id="0"/>
      <w:r w:rsidRPr="0074079E">
        <w:rPr>
          <w:b/>
        </w:rPr>
        <w:t>Forslag</w:t>
      </w:r>
    </w:p>
    <w:p w:rsidR="00DD41EC" w:rsidRPr="0074079E" w:rsidRDefault="00DD41EC" w:rsidP="00DD41EC">
      <w:pPr>
        <w:jc w:val="center"/>
        <w:rPr>
          <w:b/>
        </w:rPr>
      </w:pPr>
      <w:r w:rsidRPr="0074079E">
        <w:rPr>
          <w:b/>
        </w:rPr>
        <w:t>til</w:t>
      </w:r>
    </w:p>
    <w:p w:rsidR="00DD41EC" w:rsidRPr="0074079E" w:rsidRDefault="00DD41EC" w:rsidP="00DD41EC">
      <w:pPr>
        <w:jc w:val="center"/>
        <w:rPr>
          <w:b/>
        </w:rPr>
      </w:pPr>
      <w:r>
        <w:rPr>
          <w:b/>
        </w:rPr>
        <w:t>Æ</w:t>
      </w:r>
      <w:r w:rsidRPr="0074079E">
        <w:rPr>
          <w:b/>
        </w:rPr>
        <w:t xml:space="preserve">ndring af lov om </w:t>
      </w:r>
      <w:r>
        <w:rPr>
          <w:b/>
        </w:rPr>
        <w:t>Dansk Institut for Internationale Studier</w:t>
      </w:r>
    </w:p>
    <w:p w:rsidR="00DD41EC" w:rsidRDefault="00DD41EC" w:rsidP="00C51211">
      <w:pPr>
        <w:spacing w:after="240"/>
        <w:jc w:val="center"/>
      </w:pPr>
      <w:r w:rsidRPr="0074079E">
        <w:t>(</w:t>
      </w:r>
      <w:r>
        <w:t xml:space="preserve">Fastsættelse af </w:t>
      </w:r>
      <w:r w:rsidRPr="00E73305">
        <w:t>instituttets hjemsted)</w:t>
      </w:r>
    </w:p>
    <w:p w:rsidR="00950DD7" w:rsidRDefault="00950DD7" w:rsidP="00C51211">
      <w:pPr>
        <w:spacing w:after="240"/>
        <w:jc w:val="center"/>
      </w:pPr>
    </w:p>
    <w:p w:rsidR="00DD41EC" w:rsidRPr="0074079E" w:rsidRDefault="00DD41EC" w:rsidP="00DD41EC">
      <w:pPr>
        <w:jc w:val="center"/>
      </w:pPr>
      <w:r w:rsidRPr="0074079E">
        <w:rPr>
          <w:b/>
        </w:rPr>
        <w:t>§ 1</w:t>
      </w:r>
    </w:p>
    <w:p w:rsidR="00F651D8" w:rsidRDefault="00F651D8" w:rsidP="00DD41EC">
      <w:pPr>
        <w:jc w:val="both"/>
      </w:pPr>
    </w:p>
    <w:p w:rsidR="00DD41EC" w:rsidRDefault="00DD41EC" w:rsidP="00DD41EC">
      <w:pPr>
        <w:jc w:val="both"/>
      </w:pPr>
      <w:r w:rsidRPr="0074079E">
        <w:t xml:space="preserve">I lov nr. </w:t>
      </w:r>
      <w:r w:rsidR="00443EC6">
        <w:t>554 af 18</w:t>
      </w:r>
      <w:r w:rsidRPr="0074079E">
        <w:t xml:space="preserve">. </w:t>
      </w:r>
      <w:r w:rsidR="00443EC6">
        <w:t>juni 2012 om Dansk Institut for Internationale Studier</w:t>
      </w:r>
      <w:r>
        <w:t>,</w:t>
      </w:r>
      <w:r w:rsidR="006D7ACA">
        <w:t xml:space="preserve"> som ændret ved § 2 i lov nr. 656 af 12. juni 2013,</w:t>
      </w:r>
      <w:r>
        <w:t xml:space="preserve"> </w:t>
      </w:r>
      <w:r w:rsidR="00443EC6">
        <w:t>foretages følgende ændring</w:t>
      </w:r>
      <w:r w:rsidRPr="0074079E">
        <w:t>:</w:t>
      </w:r>
    </w:p>
    <w:p w:rsidR="006D7ACA" w:rsidRPr="0074079E" w:rsidRDefault="006D7ACA" w:rsidP="00DD41EC">
      <w:pPr>
        <w:jc w:val="both"/>
      </w:pPr>
    </w:p>
    <w:p w:rsidR="001657B0" w:rsidRDefault="006D7ACA" w:rsidP="00E73305">
      <w:pPr>
        <w:jc w:val="both"/>
      </w:pPr>
      <w:r>
        <w:rPr>
          <w:b/>
        </w:rPr>
        <w:t>1.</w:t>
      </w:r>
      <w:r>
        <w:t xml:space="preserve"> </w:t>
      </w:r>
      <w:r w:rsidR="00DD41EC" w:rsidRPr="006D7ACA">
        <w:t xml:space="preserve">I </w:t>
      </w:r>
      <w:r w:rsidR="00FE615C" w:rsidRPr="00E73305">
        <w:rPr>
          <w:i/>
        </w:rPr>
        <w:t>§ 1</w:t>
      </w:r>
      <w:r w:rsidR="00FE615C" w:rsidRPr="006D7ACA">
        <w:t xml:space="preserve"> indsættes som</w:t>
      </w:r>
      <w:r w:rsidR="00DD41EC" w:rsidRPr="006D7ACA">
        <w:t xml:space="preserve"> </w:t>
      </w:r>
      <w:r w:rsidR="00DD41EC" w:rsidRPr="00E73305">
        <w:rPr>
          <w:i/>
        </w:rPr>
        <w:t>stk. 2</w:t>
      </w:r>
      <w:r w:rsidR="001657B0">
        <w:t>:</w:t>
      </w:r>
    </w:p>
    <w:p w:rsidR="001657B0" w:rsidRDefault="001657B0" w:rsidP="00E73305">
      <w:pPr>
        <w:jc w:val="both"/>
      </w:pPr>
      <w:r>
        <w:t>”</w:t>
      </w:r>
      <w:r w:rsidRPr="00E73305">
        <w:rPr>
          <w:i/>
        </w:rPr>
        <w:t>Stk. 2.</w:t>
      </w:r>
      <w:r>
        <w:t xml:space="preserve"> Dansk Institut for Internationale Studier </w:t>
      </w:r>
      <w:r w:rsidRPr="00E73305">
        <w:t xml:space="preserve">har </w:t>
      </w:r>
      <w:r w:rsidR="00DA334C" w:rsidRPr="00E73305">
        <w:t>hjemsted</w:t>
      </w:r>
      <w:r w:rsidRPr="00E73305">
        <w:t xml:space="preserve"> i Aarhus.”</w:t>
      </w:r>
      <w:r>
        <w:t xml:space="preserve"> </w:t>
      </w:r>
    </w:p>
    <w:p w:rsidR="001657B0" w:rsidRDefault="001657B0" w:rsidP="001657B0">
      <w:pPr>
        <w:pStyle w:val="Listeafsnit"/>
        <w:ind w:left="851"/>
        <w:jc w:val="both"/>
      </w:pPr>
    </w:p>
    <w:p w:rsidR="00DD41EC" w:rsidRPr="0074079E" w:rsidRDefault="00DD41EC" w:rsidP="00DD41EC">
      <w:pPr>
        <w:spacing w:after="120"/>
        <w:jc w:val="center"/>
        <w:rPr>
          <w:b/>
        </w:rPr>
      </w:pPr>
      <w:r w:rsidRPr="0074079E">
        <w:rPr>
          <w:b/>
        </w:rPr>
        <w:t>§ 2</w:t>
      </w:r>
    </w:p>
    <w:p w:rsidR="00F651D8" w:rsidRDefault="00F651D8" w:rsidP="00DD41EC">
      <w:pPr>
        <w:jc w:val="both"/>
      </w:pPr>
    </w:p>
    <w:p w:rsidR="00A502A6" w:rsidRPr="00A502A6" w:rsidRDefault="00DD41EC" w:rsidP="00DD41EC">
      <w:pPr>
        <w:jc w:val="both"/>
      </w:pPr>
      <w:r w:rsidRPr="0074079E">
        <w:t>Loven træder i kraft</w:t>
      </w:r>
      <w:r>
        <w:t xml:space="preserve"> </w:t>
      </w:r>
      <w:r w:rsidRPr="00E73305">
        <w:t xml:space="preserve">den 1. </w:t>
      </w:r>
      <w:r w:rsidR="00E73305" w:rsidRPr="00E73305">
        <w:t>oktober</w:t>
      </w:r>
      <w:r w:rsidR="00D543CE" w:rsidRPr="00E73305">
        <w:t xml:space="preserve"> 201</w:t>
      </w:r>
      <w:r w:rsidR="001657B0" w:rsidRPr="00E73305">
        <w:t>6</w:t>
      </w:r>
      <w:r w:rsidRPr="00E73305">
        <w:t>.</w:t>
      </w:r>
      <w:r w:rsidRPr="0074079E">
        <w:t xml:space="preserve"> </w:t>
      </w:r>
    </w:p>
    <w:p w:rsidR="00A502A6" w:rsidRDefault="00A502A6" w:rsidP="00E73305">
      <w:r>
        <w:rPr>
          <w:b/>
        </w:rPr>
        <w:t xml:space="preserve">   </w:t>
      </w:r>
      <w:r>
        <w:rPr>
          <w:i/>
        </w:rPr>
        <w:t>Stk. 2.</w:t>
      </w:r>
      <w:r>
        <w:t xml:space="preserve"> </w:t>
      </w:r>
      <w:r w:rsidR="00C40D76">
        <w:t xml:space="preserve">Dansk Institut for Internationale Studier kan </w:t>
      </w:r>
      <w:r>
        <w:t>indtil den [31. december 2017] udøve sin virksomhed fra sine hidtidige fysiske lokaliteter, i det omfang instituttet ikke er fraflyttet disse</w:t>
      </w:r>
      <w:r w:rsidR="00C40D76">
        <w:t xml:space="preserve"> lokaliteter</w:t>
      </w:r>
      <w:r>
        <w:t>.</w:t>
      </w:r>
    </w:p>
    <w:p w:rsidR="00E73305" w:rsidRDefault="00E73305" w:rsidP="00A502A6">
      <w:pPr>
        <w:jc w:val="center"/>
        <w:rPr>
          <w:b/>
        </w:rPr>
      </w:pPr>
    </w:p>
    <w:p w:rsidR="00E73305" w:rsidRDefault="00E73305" w:rsidP="00A502A6">
      <w:pPr>
        <w:jc w:val="center"/>
        <w:rPr>
          <w:b/>
        </w:rPr>
      </w:pPr>
    </w:p>
    <w:p w:rsidR="00E73305" w:rsidRDefault="00E73305" w:rsidP="00E73305">
      <w:pPr>
        <w:spacing w:after="120"/>
        <w:jc w:val="center"/>
        <w:rPr>
          <w:b/>
        </w:rPr>
      </w:pPr>
      <w:r>
        <w:rPr>
          <w:b/>
        </w:rPr>
        <w:t>§ 3</w:t>
      </w:r>
    </w:p>
    <w:p w:rsidR="00E73305" w:rsidRPr="00BD4080" w:rsidRDefault="00E73305" w:rsidP="00BD4080">
      <w:pPr>
        <w:spacing w:after="120"/>
        <w:rPr>
          <w:b/>
        </w:rPr>
      </w:pPr>
      <w:r w:rsidRPr="00BD4080">
        <w:t>Loven gælder ikke for Færøerne og Grønland, men kan ved kongelig anordning helt eller delvist sættes i kraft for Færøerne og Grønland med de ændringer, som de færøske og grønlandske forhold tilsiger.</w:t>
      </w:r>
    </w:p>
    <w:p w:rsidR="00DD41EC" w:rsidRPr="00252ACA" w:rsidRDefault="00DD41EC" w:rsidP="00A502A6">
      <w:pPr>
        <w:jc w:val="center"/>
        <w:rPr>
          <w:i/>
        </w:rPr>
      </w:pPr>
      <w:r>
        <w:rPr>
          <w:b/>
        </w:rPr>
        <w:br w:type="page"/>
      </w:r>
      <w:r w:rsidRPr="00252ACA">
        <w:rPr>
          <w:i/>
        </w:rPr>
        <w:lastRenderedPageBreak/>
        <w:t>Bemærkninger til lovforslaget</w:t>
      </w:r>
    </w:p>
    <w:p w:rsidR="000B4E15" w:rsidRDefault="000B4E15" w:rsidP="00DD41EC">
      <w:pPr>
        <w:jc w:val="center"/>
        <w:rPr>
          <w:i/>
        </w:rPr>
      </w:pPr>
    </w:p>
    <w:p w:rsidR="00DD41EC" w:rsidRPr="00252ACA" w:rsidRDefault="00DD41EC" w:rsidP="00DD41EC">
      <w:pPr>
        <w:jc w:val="center"/>
        <w:rPr>
          <w:i/>
        </w:rPr>
      </w:pPr>
      <w:r w:rsidRPr="00252ACA">
        <w:rPr>
          <w:i/>
        </w:rPr>
        <w:t>Almindelige bemærkninger</w:t>
      </w:r>
    </w:p>
    <w:p w:rsidR="00DD41EC" w:rsidRDefault="00DD41EC" w:rsidP="00DD41EC">
      <w:pPr>
        <w:jc w:val="both"/>
        <w:rPr>
          <w:i/>
        </w:rPr>
      </w:pPr>
    </w:p>
    <w:p w:rsidR="00DD41EC" w:rsidRPr="00252ACA" w:rsidRDefault="00DD41EC" w:rsidP="00690990">
      <w:pPr>
        <w:rPr>
          <w:i/>
        </w:rPr>
      </w:pPr>
      <w:r w:rsidRPr="00252ACA">
        <w:rPr>
          <w:i/>
        </w:rPr>
        <w:t>1. Indledning</w:t>
      </w:r>
    </w:p>
    <w:p w:rsidR="00F71BE7" w:rsidRPr="0032509E" w:rsidRDefault="0024404F" w:rsidP="00690990">
      <w:r w:rsidRPr="0032509E">
        <w:t xml:space="preserve">Regeringen fremlagde i oktober 2015 udspillet </w:t>
      </w:r>
      <w:r w:rsidR="00EF1523" w:rsidRPr="0032509E">
        <w:t>’</w:t>
      </w:r>
      <w:r w:rsidRPr="0032509E">
        <w:t>Bedre Balance</w:t>
      </w:r>
      <w:r w:rsidR="00EF1523" w:rsidRPr="0032509E">
        <w:t xml:space="preserve"> – Statslige arbejdspladser tættere på borgere og virksomheder’. Regeringen ønsker, at de statslige arbejdspladser skal være fordelt bedre i hele landet og være tættere på borgerne. For at tilgodese disse hensyn </w:t>
      </w:r>
      <w:r w:rsidR="00C727C8">
        <w:t xml:space="preserve">annonceres </w:t>
      </w:r>
      <w:r w:rsidR="00EF1523" w:rsidRPr="0032509E">
        <w:t>det i udspillet, at regeringen over de kommende år vil flytte ca. 3.900 arbejdspladser fra hovedstadsområdet til landets fire andre regioner. Det er den største samlede flytning af statslige arbejdspladser</w:t>
      </w:r>
      <w:r w:rsidR="004F33F3" w:rsidRPr="0032509E">
        <w:t xml:space="preserve"> nogen</w:t>
      </w:r>
      <w:r w:rsidR="00EF1523" w:rsidRPr="0032509E">
        <w:t xml:space="preserve">sinde herhjemme. </w:t>
      </w:r>
      <w:r w:rsidR="007D5FFA" w:rsidRPr="0032509E">
        <w:t>Som en del af udspillet foreslås det</w:t>
      </w:r>
      <w:r w:rsidR="002146F8">
        <w:t>,</w:t>
      </w:r>
      <w:r w:rsidR="007D5FFA" w:rsidRPr="0032509E">
        <w:t xml:space="preserve"> at D</w:t>
      </w:r>
      <w:r w:rsidR="003846F9">
        <w:t xml:space="preserve">ansk Institut for Internationale </w:t>
      </w:r>
      <w:r w:rsidR="003846F9" w:rsidRPr="00E73305">
        <w:t xml:space="preserve">Studiers </w:t>
      </w:r>
      <w:r w:rsidR="007D5FFA" w:rsidRPr="00E73305">
        <w:t>hjemsted flyttes</w:t>
      </w:r>
      <w:r w:rsidR="007D5FFA" w:rsidRPr="0032509E">
        <w:t xml:space="preserve"> til Aarhus.</w:t>
      </w:r>
      <w:r w:rsidR="00F71BE7" w:rsidRPr="0032509E">
        <w:t xml:space="preserve"> Formålet med </w:t>
      </w:r>
      <w:r w:rsidR="00C727C8">
        <w:t xml:space="preserve">nærværende </w:t>
      </w:r>
      <w:r w:rsidR="00F71BE7" w:rsidRPr="0032509E">
        <w:t xml:space="preserve">lovforslag er på den baggrund at ændre lovgrundlaget </w:t>
      </w:r>
      <w:r w:rsidR="00C727C8">
        <w:t xml:space="preserve">for Dansk Institut for Internationale Studier </w:t>
      </w:r>
      <w:r w:rsidR="00F71BE7" w:rsidRPr="0032509E">
        <w:t xml:space="preserve">således, at </w:t>
      </w:r>
      <w:r w:rsidR="00AF7C24" w:rsidRPr="0032509E">
        <w:t xml:space="preserve">det fastsættes ved lov, at </w:t>
      </w:r>
      <w:r w:rsidR="00C727C8" w:rsidRPr="00E73305">
        <w:t>instituttets</w:t>
      </w:r>
      <w:r w:rsidR="00AF7C24" w:rsidRPr="00E73305">
        <w:t xml:space="preserve"> </w:t>
      </w:r>
      <w:r w:rsidR="00DA334C" w:rsidRPr="00E73305">
        <w:t>hjemsted</w:t>
      </w:r>
      <w:r w:rsidR="00AF7C24" w:rsidRPr="00E73305">
        <w:t xml:space="preserve"> fremover</w:t>
      </w:r>
      <w:r w:rsidR="00AF7C24" w:rsidRPr="0032509E">
        <w:t xml:space="preserve"> skal ligge i Aarhus</w:t>
      </w:r>
      <w:r w:rsidR="00F71BE7" w:rsidRPr="0032509E">
        <w:t>.</w:t>
      </w:r>
    </w:p>
    <w:p w:rsidR="00DD41EC" w:rsidRDefault="00DD41EC" w:rsidP="00690990">
      <w:pPr>
        <w:rPr>
          <w:i/>
        </w:rPr>
      </w:pPr>
    </w:p>
    <w:p w:rsidR="00DD41EC" w:rsidRDefault="00DD41EC" w:rsidP="00690990">
      <w:pPr>
        <w:rPr>
          <w:i/>
        </w:rPr>
      </w:pPr>
      <w:r w:rsidRPr="00252ACA">
        <w:rPr>
          <w:i/>
        </w:rPr>
        <w:t>2. Lovforslagets hovedindhold</w:t>
      </w:r>
    </w:p>
    <w:p w:rsidR="00F71BE7" w:rsidRDefault="00310E25" w:rsidP="00690990">
      <w:pPr>
        <w:rPr>
          <w:i/>
        </w:rPr>
      </w:pPr>
      <w:r>
        <w:rPr>
          <w:i/>
        </w:rPr>
        <w:t xml:space="preserve">2.1 </w:t>
      </w:r>
      <w:r w:rsidR="000B4E15">
        <w:rPr>
          <w:i/>
        </w:rPr>
        <w:t xml:space="preserve">Fastlæggelse </w:t>
      </w:r>
      <w:r>
        <w:rPr>
          <w:i/>
        </w:rPr>
        <w:t>af D</w:t>
      </w:r>
      <w:r w:rsidR="003846F9">
        <w:rPr>
          <w:i/>
        </w:rPr>
        <w:t>ansk Institut for Internationale Studier</w:t>
      </w:r>
      <w:r w:rsidR="000B4E15">
        <w:rPr>
          <w:i/>
        </w:rPr>
        <w:t xml:space="preserve">s </w:t>
      </w:r>
      <w:r w:rsidR="000B4E15" w:rsidRPr="00E73305">
        <w:rPr>
          <w:i/>
        </w:rPr>
        <w:t>hjemsted</w:t>
      </w:r>
      <w:r w:rsidR="003846F9">
        <w:rPr>
          <w:i/>
        </w:rPr>
        <w:t xml:space="preserve"> </w:t>
      </w:r>
      <w:r>
        <w:rPr>
          <w:i/>
        </w:rPr>
        <w:t>til Aarhus</w:t>
      </w:r>
    </w:p>
    <w:p w:rsidR="00310E25" w:rsidRDefault="00310E25" w:rsidP="00690990">
      <w:pPr>
        <w:rPr>
          <w:i/>
        </w:rPr>
      </w:pPr>
      <w:r>
        <w:rPr>
          <w:i/>
        </w:rPr>
        <w:t>2.1.1. Gældende ret</w:t>
      </w:r>
    </w:p>
    <w:p w:rsidR="00690990" w:rsidRPr="0032509E" w:rsidRDefault="00690990" w:rsidP="00690990">
      <w:pPr>
        <w:rPr>
          <w:rFonts w:cs="TimesNewRomanPSMT"/>
          <w:szCs w:val="26"/>
        </w:rPr>
      </w:pPr>
      <w:r w:rsidRPr="0032509E">
        <w:rPr>
          <w:szCs w:val="26"/>
        </w:rPr>
        <w:t>Dansk Institut f</w:t>
      </w:r>
      <w:r w:rsidR="003846F9">
        <w:rPr>
          <w:szCs w:val="26"/>
        </w:rPr>
        <w:t xml:space="preserve">or Internationale Studier </w:t>
      </w:r>
      <w:r w:rsidRPr="0032509E">
        <w:rPr>
          <w:szCs w:val="26"/>
        </w:rPr>
        <w:t>blev oprettet ved lov nr. 554 af 18. juni 2012 som en selvejende institution</w:t>
      </w:r>
      <w:r w:rsidR="001F3397">
        <w:rPr>
          <w:szCs w:val="26"/>
        </w:rPr>
        <w:t xml:space="preserve"> inden for den offentlige forvaltning</w:t>
      </w:r>
      <w:r w:rsidRPr="0032509E">
        <w:rPr>
          <w:szCs w:val="26"/>
        </w:rPr>
        <w:t xml:space="preserve">. </w:t>
      </w:r>
      <w:r w:rsidR="003846F9">
        <w:rPr>
          <w:rFonts w:cs="TimesNewRomanPSMT"/>
          <w:szCs w:val="26"/>
        </w:rPr>
        <w:t xml:space="preserve">Instituttet </w:t>
      </w:r>
      <w:r w:rsidRPr="0032509E">
        <w:rPr>
          <w:rFonts w:cs="TimesNewRomanPSMT"/>
          <w:szCs w:val="26"/>
        </w:rPr>
        <w:t xml:space="preserve">har som sit primære formål at udføre uafhængig forskning og analysevirksomhed på internationalt niveau af betydning for dansk udenrigs-, sikkerheds- og udviklingspolitik inden for et bredt felt af internationale emner. Det </w:t>
      </w:r>
      <w:r w:rsidRPr="0032509E">
        <w:rPr>
          <w:szCs w:val="26"/>
        </w:rPr>
        <w:t>fremgår desuden af loven vedrørende D</w:t>
      </w:r>
      <w:r w:rsidR="003846F9">
        <w:rPr>
          <w:szCs w:val="26"/>
        </w:rPr>
        <w:t>ansk Institut for Internationale Studier</w:t>
      </w:r>
      <w:r w:rsidRPr="0032509E">
        <w:rPr>
          <w:szCs w:val="26"/>
        </w:rPr>
        <w:t xml:space="preserve">, at </w:t>
      </w:r>
      <w:r w:rsidR="000B4E15">
        <w:rPr>
          <w:szCs w:val="26"/>
        </w:rPr>
        <w:t>instituttet</w:t>
      </w:r>
      <w:r w:rsidRPr="0032509E">
        <w:rPr>
          <w:szCs w:val="26"/>
        </w:rPr>
        <w:t xml:space="preserve"> skal formidle forskningsresultater, analyser og viden og udøve dokumentations- og informationsvirksomhed, herunder biblioteksvirksomhed, om internationale forhold.</w:t>
      </w:r>
    </w:p>
    <w:p w:rsidR="00690990" w:rsidRPr="0032509E" w:rsidRDefault="00690990" w:rsidP="00690990"/>
    <w:p w:rsidR="00690990" w:rsidRPr="0032509E" w:rsidRDefault="000B4E15" w:rsidP="00690990">
      <w:r>
        <w:t>I</w:t>
      </w:r>
      <w:r w:rsidR="003846F9">
        <w:t>nstituttet</w:t>
      </w:r>
      <w:r w:rsidR="00F71BE7" w:rsidRPr="0032509E">
        <w:t xml:space="preserve"> ledes af en bestyrelse, der træffer afgørelse i alle væsentlige spørgsmål om institutionens faglige arbejdsområde, økonomi og forvaltning</w:t>
      </w:r>
      <w:r>
        <w:t>, jf. den nævnte lovs kapitel 2</w:t>
      </w:r>
      <w:r w:rsidR="00F71BE7" w:rsidRPr="0032509E">
        <w:t xml:space="preserve">. </w:t>
      </w:r>
      <w:r w:rsidR="001E47E3">
        <w:t>Staten yder et årligt tilskud til instituttets drift og aktiviteter, men instituttet kan i overensstemmelse med sit formål modtage indtægter fra fonde, gaver m.v. og kan drive indtægtsdækket virksomhed, tilskudsfinansieret forskningsvirksomhed og andre tilskudsfinansierede aktiviteter, herunder konsulent</w:t>
      </w:r>
      <w:r w:rsidR="00141BF9">
        <w:t xml:space="preserve">bistand og rådgivning, i det omfang det er foreneligt med varetagelsen af instituttets øvrige opgaver, jf. kapitel 3. Det følger endvidere af lovens kapitel 4, at instituttet kun kan nedlægges ved lov. </w:t>
      </w:r>
    </w:p>
    <w:p w:rsidR="007E21DB" w:rsidRDefault="007E21DB" w:rsidP="00690990">
      <w:pPr>
        <w:rPr>
          <w:i/>
        </w:rPr>
      </w:pPr>
    </w:p>
    <w:p w:rsidR="00F71BE7" w:rsidRDefault="00310E25" w:rsidP="00690990">
      <w:pPr>
        <w:rPr>
          <w:i/>
        </w:rPr>
      </w:pPr>
      <w:r>
        <w:rPr>
          <w:i/>
        </w:rPr>
        <w:t>2.1.2.</w:t>
      </w:r>
      <w:r w:rsidR="007E21DB">
        <w:rPr>
          <w:i/>
        </w:rPr>
        <w:t xml:space="preserve"> Udenrigsministeriets overvejelser og</w:t>
      </w:r>
      <w:r w:rsidR="00CA0FD1">
        <w:rPr>
          <w:i/>
        </w:rPr>
        <w:t xml:space="preserve"> </w:t>
      </w:r>
      <w:r w:rsidR="000B4E15">
        <w:rPr>
          <w:i/>
        </w:rPr>
        <w:t>den foreslåede ordning</w:t>
      </w:r>
    </w:p>
    <w:p w:rsidR="00BF7366" w:rsidRPr="0032509E" w:rsidRDefault="00BF7366" w:rsidP="00BF7366">
      <w:pPr>
        <w:rPr>
          <w:b/>
          <w:szCs w:val="26"/>
        </w:rPr>
      </w:pPr>
      <w:r w:rsidRPr="0032509E">
        <w:rPr>
          <w:szCs w:val="26"/>
        </w:rPr>
        <w:t>D</w:t>
      </w:r>
      <w:r w:rsidR="003846F9">
        <w:rPr>
          <w:szCs w:val="26"/>
        </w:rPr>
        <w:t>ansk Institut for Internationale Studier</w:t>
      </w:r>
      <w:r w:rsidRPr="0032509E">
        <w:rPr>
          <w:szCs w:val="26"/>
        </w:rPr>
        <w:t xml:space="preserve"> indgår som følge af sin status </w:t>
      </w:r>
      <w:r w:rsidRPr="00B56763">
        <w:rPr>
          <w:szCs w:val="26"/>
        </w:rPr>
        <w:t>som selvejende institution</w:t>
      </w:r>
      <w:r w:rsidR="001E47E3">
        <w:rPr>
          <w:szCs w:val="26"/>
        </w:rPr>
        <w:t xml:space="preserve"> (særligt forvaltningssubjekt)</w:t>
      </w:r>
      <w:r w:rsidRPr="0032509E">
        <w:rPr>
          <w:szCs w:val="26"/>
        </w:rPr>
        <w:t xml:space="preserve"> ikke i et administrativt hierarki</w:t>
      </w:r>
      <w:r w:rsidR="001F3397">
        <w:rPr>
          <w:szCs w:val="26"/>
        </w:rPr>
        <w:t>.</w:t>
      </w:r>
      <w:r w:rsidR="00E11A70">
        <w:rPr>
          <w:szCs w:val="26"/>
        </w:rPr>
        <w:t xml:space="preserve"> </w:t>
      </w:r>
      <w:r w:rsidR="001F3397">
        <w:rPr>
          <w:szCs w:val="26"/>
        </w:rPr>
        <w:t xml:space="preserve">Det er </w:t>
      </w:r>
      <w:r w:rsidRPr="0032509E">
        <w:rPr>
          <w:szCs w:val="26"/>
        </w:rPr>
        <w:t>Udenrigsministeriet</w:t>
      </w:r>
      <w:r w:rsidR="001F3397">
        <w:rPr>
          <w:szCs w:val="26"/>
        </w:rPr>
        <w:t>s</w:t>
      </w:r>
      <w:r w:rsidR="001E47E3">
        <w:rPr>
          <w:szCs w:val="26"/>
        </w:rPr>
        <w:t xml:space="preserve"> vurdering, at det er forudsat i forbindelse med etableringen af instituttet,</w:t>
      </w:r>
      <w:r w:rsidR="001F3397">
        <w:rPr>
          <w:szCs w:val="26"/>
        </w:rPr>
        <w:t xml:space="preserve"> at ministeriet ikke</w:t>
      </w:r>
      <w:r w:rsidRPr="0032509E">
        <w:rPr>
          <w:szCs w:val="26"/>
        </w:rPr>
        <w:t xml:space="preserve">, udover hvad der måtte følge af </w:t>
      </w:r>
      <w:r w:rsidR="001F3397">
        <w:rPr>
          <w:szCs w:val="26"/>
        </w:rPr>
        <w:t xml:space="preserve">loven eller </w:t>
      </w:r>
      <w:r w:rsidRPr="0032509E">
        <w:rPr>
          <w:szCs w:val="26"/>
        </w:rPr>
        <w:t>lovgivningen</w:t>
      </w:r>
      <w:r w:rsidR="001F3397">
        <w:rPr>
          <w:szCs w:val="26"/>
        </w:rPr>
        <w:t xml:space="preserve"> i øvrigt</w:t>
      </w:r>
      <w:r w:rsidRPr="0032509E">
        <w:rPr>
          <w:szCs w:val="26"/>
        </w:rPr>
        <w:t xml:space="preserve">, </w:t>
      </w:r>
      <w:r w:rsidR="001E47E3">
        <w:rPr>
          <w:szCs w:val="26"/>
        </w:rPr>
        <w:t>har</w:t>
      </w:r>
      <w:r w:rsidR="001F3397">
        <w:rPr>
          <w:szCs w:val="26"/>
        </w:rPr>
        <w:t xml:space="preserve"> </w:t>
      </w:r>
      <w:r w:rsidRPr="0032509E">
        <w:rPr>
          <w:szCs w:val="26"/>
        </w:rPr>
        <w:t xml:space="preserve">mulighed for generel eller konkret styring af instituttet. </w:t>
      </w:r>
      <w:r w:rsidR="000B4E15">
        <w:rPr>
          <w:szCs w:val="26"/>
        </w:rPr>
        <w:t>Det er derfor Udenrigsministeriets vurdering, at en</w:t>
      </w:r>
      <w:r w:rsidR="000B4E15" w:rsidRPr="0032509E">
        <w:rPr>
          <w:szCs w:val="26"/>
        </w:rPr>
        <w:t xml:space="preserve"> </w:t>
      </w:r>
      <w:r w:rsidRPr="0032509E">
        <w:rPr>
          <w:szCs w:val="26"/>
        </w:rPr>
        <w:t xml:space="preserve">udflytning af instituttet kræver en ændring af lovgrundlaget for instituttet således, at </w:t>
      </w:r>
      <w:r w:rsidRPr="00E73305">
        <w:rPr>
          <w:szCs w:val="26"/>
        </w:rPr>
        <w:t>instituttets hjemsted</w:t>
      </w:r>
      <w:r w:rsidRPr="0032509E">
        <w:rPr>
          <w:szCs w:val="26"/>
        </w:rPr>
        <w:t xml:space="preserve"> fastsættes ved lov. </w:t>
      </w:r>
    </w:p>
    <w:p w:rsidR="00BF7366" w:rsidRPr="0032509E" w:rsidRDefault="00BF7366" w:rsidP="00690990"/>
    <w:p w:rsidR="00DD41EC" w:rsidRPr="00252ACA" w:rsidRDefault="00DD41EC" w:rsidP="00DD41EC">
      <w:pPr>
        <w:jc w:val="both"/>
        <w:rPr>
          <w:i/>
        </w:rPr>
      </w:pPr>
      <w:r w:rsidRPr="00252ACA">
        <w:rPr>
          <w:i/>
        </w:rPr>
        <w:t>3. Økonomiske og administrative konsekvenser for det offentlige</w:t>
      </w:r>
    </w:p>
    <w:p w:rsidR="00BD4080" w:rsidRPr="00BD4080" w:rsidRDefault="00BD4080" w:rsidP="00BD4080">
      <w:pPr>
        <w:autoSpaceDE w:val="0"/>
        <w:autoSpaceDN w:val="0"/>
        <w:adjustRightInd w:val="0"/>
        <w:rPr>
          <w:rFonts w:asciiTheme="minorHAnsi" w:hAnsiTheme="minorHAnsi"/>
        </w:rPr>
      </w:pPr>
      <w:r w:rsidRPr="00BD4080">
        <w:rPr>
          <w:rFonts w:asciiTheme="minorHAnsi" w:hAnsiTheme="minorHAnsi"/>
        </w:rPr>
        <w:t xml:space="preserve">Det bemærkes, at der er betydelig usikkerhed forbundet med </w:t>
      </w:r>
      <w:r w:rsidR="001A10D7">
        <w:rPr>
          <w:rFonts w:asciiTheme="minorHAnsi" w:hAnsiTheme="minorHAnsi"/>
        </w:rPr>
        <w:t>at</w:t>
      </w:r>
      <w:r w:rsidR="001A10D7" w:rsidRPr="00BD4080">
        <w:rPr>
          <w:rFonts w:asciiTheme="minorHAnsi" w:hAnsiTheme="minorHAnsi"/>
        </w:rPr>
        <w:t xml:space="preserve"> </w:t>
      </w:r>
      <w:r w:rsidRPr="00BD4080">
        <w:rPr>
          <w:rFonts w:asciiTheme="minorHAnsi" w:hAnsiTheme="minorHAnsi"/>
        </w:rPr>
        <w:t>skønne udgifter</w:t>
      </w:r>
      <w:r w:rsidR="001A10D7">
        <w:rPr>
          <w:rFonts w:asciiTheme="minorHAnsi" w:hAnsiTheme="minorHAnsi"/>
        </w:rPr>
        <w:t>ne</w:t>
      </w:r>
      <w:r w:rsidRPr="00BD4080">
        <w:rPr>
          <w:rFonts w:asciiTheme="minorHAnsi" w:hAnsiTheme="minorHAnsi"/>
        </w:rPr>
        <w:t xml:space="preserve"> bl.a.</w:t>
      </w:r>
      <w:r>
        <w:rPr>
          <w:rFonts w:asciiTheme="minorHAnsi" w:hAnsiTheme="minorHAnsi"/>
        </w:rPr>
        <w:t xml:space="preserve"> pga. </w:t>
      </w:r>
      <w:r w:rsidRPr="00BD4080">
        <w:rPr>
          <w:rFonts w:asciiTheme="minorHAnsi" w:hAnsiTheme="minorHAnsi"/>
        </w:rPr>
        <w:t xml:space="preserve">usikkerhed om, hvor mange medarbejdere der flytter med og hvilke personalepolitiske tiltag der kan blive relevante for at sikre implementeringen og begrænsningen af et eventuelt produktionstab på kort sigt. </w:t>
      </w:r>
    </w:p>
    <w:p w:rsidR="00BD4080" w:rsidRPr="00BD4080" w:rsidRDefault="00BD4080" w:rsidP="00BD4080">
      <w:pPr>
        <w:autoSpaceDE w:val="0"/>
        <w:autoSpaceDN w:val="0"/>
        <w:adjustRightInd w:val="0"/>
        <w:rPr>
          <w:rFonts w:asciiTheme="minorHAnsi" w:hAnsiTheme="minorHAnsi"/>
        </w:rPr>
      </w:pPr>
    </w:p>
    <w:p w:rsidR="00BD4080" w:rsidRPr="00BD4080" w:rsidRDefault="00BD4080" w:rsidP="00BD4080">
      <w:pPr>
        <w:autoSpaceDE w:val="0"/>
        <w:autoSpaceDN w:val="0"/>
        <w:adjustRightInd w:val="0"/>
        <w:rPr>
          <w:rFonts w:asciiTheme="minorHAnsi" w:hAnsiTheme="minorHAnsi"/>
        </w:rPr>
      </w:pPr>
      <w:r w:rsidRPr="00BD4080">
        <w:rPr>
          <w:rFonts w:asciiTheme="minorHAnsi" w:hAnsiTheme="minorHAnsi"/>
        </w:rPr>
        <w:t xml:space="preserve">Regeringen har afsat en reserve på 400 mio. kr. i 2016, der kan indgå i finansieringen af udgifter i forbindelse med flytningen. Udgifter fra 2017 og frem indarbejdes på finanslovsforslaget for 2017. </w:t>
      </w:r>
    </w:p>
    <w:p w:rsidR="00BD4080" w:rsidRPr="00BD4080" w:rsidRDefault="00BD4080" w:rsidP="00BD4080">
      <w:pPr>
        <w:autoSpaceDE w:val="0"/>
        <w:autoSpaceDN w:val="0"/>
        <w:adjustRightInd w:val="0"/>
        <w:rPr>
          <w:rFonts w:asciiTheme="minorHAnsi" w:hAnsiTheme="minorHAnsi"/>
        </w:rPr>
      </w:pPr>
    </w:p>
    <w:p w:rsidR="00BD4080" w:rsidRPr="00BD4080" w:rsidRDefault="00BD4080" w:rsidP="00BD4080">
      <w:pPr>
        <w:autoSpaceDE w:val="0"/>
        <w:autoSpaceDN w:val="0"/>
        <w:adjustRightInd w:val="0"/>
        <w:rPr>
          <w:rFonts w:asciiTheme="minorHAnsi" w:hAnsiTheme="minorHAnsi"/>
        </w:rPr>
      </w:pPr>
      <w:r w:rsidRPr="00BD4080">
        <w:rPr>
          <w:rFonts w:asciiTheme="minorHAnsi" w:hAnsiTheme="minorHAnsi"/>
        </w:rPr>
        <w:lastRenderedPageBreak/>
        <w:t xml:space="preserve">Der må forventes at være administrative konsekvenser forbundet med udflytningen af DIIS, der på kort sigt kan medføre et produktionstab i tilknytning til instituttets forskning og analysevirksomhed. </w:t>
      </w:r>
    </w:p>
    <w:p w:rsidR="00112F7A" w:rsidRPr="0032509E" w:rsidRDefault="00112F7A" w:rsidP="00DD41EC">
      <w:pPr>
        <w:jc w:val="both"/>
      </w:pPr>
    </w:p>
    <w:p w:rsidR="00DD41EC" w:rsidRPr="00252ACA" w:rsidRDefault="00DD41EC" w:rsidP="00DD41EC">
      <w:pPr>
        <w:jc w:val="both"/>
        <w:rPr>
          <w:i/>
        </w:rPr>
      </w:pPr>
      <w:r w:rsidRPr="00252ACA">
        <w:rPr>
          <w:i/>
        </w:rPr>
        <w:t>4. Økonomiske og administrative konsekvenser for erhvervslivet mv.</w:t>
      </w:r>
    </w:p>
    <w:p w:rsidR="00DD41EC" w:rsidRPr="00252ACA" w:rsidRDefault="00DD41EC" w:rsidP="00DD41EC">
      <w:pPr>
        <w:jc w:val="both"/>
      </w:pPr>
      <w:r w:rsidRPr="00252ACA">
        <w:t>Lovforslaget har ingen</w:t>
      </w:r>
      <w:r>
        <w:t xml:space="preserve"> økonomiske </w:t>
      </w:r>
      <w:r w:rsidR="000B4E15">
        <w:t>eller</w:t>
      </w:r>
      <w:r w:rsidR="000B4E15" w:rsidRPr="00252ACA">
        <w:t xml:space="preserve"> </w:t>
      </w:r>
      <w:r w:rsidRPr="00252ACA">
        <w:t>administrative konsekvenser for erhvervslivet.</w:t>
      </w:r>
    </w:p>
    <w:p w:rsidR="0024404F" w:rsidRDefault="0024404F" w:rsidP="00DD41EC">
      <w:pPr>
        <w:jc w:val="both"/>
        <w:rPr>
          <w:i/>
        </w:rPr>
      </w:pPr>
    </w:p>
    <w:p w:rsidR="00DD41EC" w:rsidRPr="00252ACA" w:rsidRDefault="00DD41EC" w:rsidP="00DD41EC">
      <w:pPr>
        <w:jc w:val="both"/>
        <w:rPr>
          <w:i/>
        </w:rPr>
      </w:pPr>
      <w:r w:rsidRPr="00252ACA">
        <w:rPr>
          <w:i/>
        </w:rPr>
        <w:t>5. Administrative konsekvenser for borgerne</w:t>
      </w:r>
    </w:p>
    <w:p w:rsidR="00DD41EC" w:rsidRPr="00252ACA" w:rsidRDefault="00DD41EC" w:rsidP="00DD41EC">
      <w:pPr>
        <w:jc w:val="both"/>
      </w:pPr>
      <w:r w:rsidRPr="00252ACA">
        <w:t>Lovforslaget har ingen administrative konsekvenser for borgerne.</w:t>
      </w:r>
    </w:p>
    <w:p w:rsidR="0024404F" w:rsidRDefault="0024404F" w:rsidP="00DD41EC">
      <w:pPr>
        <w:jc w:val="both"/>
        <w:rPr>
          <w:i/>
        </w:rPr>
      </w:pPr>
    </w:p>
    <w:p w:rsidR="00DD41EC" w:rsidRPr="00252ACA" w:rsidRDefault="00DD41EC" w:rsidP="00DD41EC">
      <w:pPr>
        <w:jc w:val="both"/>
        <w:rPr>
          <w:i/>
        </w:rPr>
      </w:pPr>
      <w:r w:rsidRPr="00252ACA">
        <w:rPr>
          <w:i/>
        </w:rPr>
        <w:t>6. Miljømæssige konsekvenser</w:t>
      </w:r>
    </w:p>
    <w:p w:rsidR="00DD41EC" w:rsidRPr="00252ACA" w:rsidRDefault="00DD41EC" w:rsidP="00DD41EC">
      <w:pPr>
        <w:jc w:val="both"/>
      </w:pPr>
      <w:r w:rsidRPr="00252ACA">
        <w:t>Lovforslaget har ingen miljømæssige konsekvenser.</w:t>
      </w:r>
    </w:p>
    <w:p w:rsidR="0024404F" w:rsidRDefault="0024404F" w:rsidP="00DD41EC">
      <w:pPr>
        <w:jc w:val="both"/>
        <w:rPr>
          <w:i/>
        </w:rPr>
      </w:pPr>
    </w:p>
    <w:p w:rsidR="00DD41EC" w:rsidRPr="00252ACA" w:rsidRDefault="00DD41EC" w:rsidP="00DD41EC">
      <w:pPr>
        <w:jc w:val="both"/>
      </w:pPr>
      <w:r w:rsidRPr="00252ACA">
        <w:rPr>
          <w:i/>
        </w:rPr>
        <w:t>7. Forholdet til EU-retten</w:t>
      </w:r>
    </w:p>
    <w:p w:rsidR="00DD41EC" w:rsidRPr="00252ACA" w:rsidRDefault="00DD41EC" w:rsidP="00DD41EC">
      <w:pPr>
        <w:jc w:val="both"/>
      </w:pPr>
      <w:r w:rsidRPr="00252ACA">
        <w:t>Lovforslaget indeholder ingen EU-retlige aspekter.</w:t>
      </w:r>
    </w:p>
    <w:p w:rsidR="0024404F" w:rsidRDefault="0024404F" w:rsidP="00DD41EC">
      <w:pPr>
        <w:jc w:val="both"/>
        <w:rPr>
          <w:i/>
        </w:rPr>
      </w:pPr>
    </w:p>
    <w:p w:rsidR="00DD41EC" w:rsidRPr="00280721" w:rsidRDefault="00DD41EC" w:rsidP="00DD41EC">
      <w:pPr>
        <w:jc w:val="both"/>
        <w:rPr>
          <w:b/>
          <w:i/>
        </w:rPr>
      </w:pPr>
      <w:r w:rsidRPr="00252ACA">
        <w:rPr>
          <w:i/>
        </w:rPr>
        <w:t>8. Hørte myndigheder og</w:t>
      </w:r>
      <w:r>
        <w:rPr>
          <w:i/>
        </w:rPr>
        <w:t xml:space="preserve"> organisationer mv.</w:t>
      </w:r>
    </w:p>
    <w:p w:rsidR="00DD41EC" w:rsidRPr="00AE03FF" w:rsidRDefault="00DD41EC" w:rsidP="00DD41EC">
      <w:pPr>
        <w:jc w:val="both"/>
      </w:pPr>
      <w:r w:rsidRPr="00252ACA">
        <w:t>Et udkast til lovforslag har i perioden</w:t>
      </w:r>
      <w:r>
        <w:t xml:space="preserve"> </w:t>
      </w:r>
      <w:r w:rsidRPr="00A31F49">
        <w:t xml:space="preserve">fra den </w:t>
      </w:r>
      <w:r w:rsidR="008F25E3">
        <w:t>15</w:t>
      </w:r>
      <w:r w:rsidR="00801D83" w:rsidRPr="00A31F49">
        <w:t>. december 2015</w:t>
      </w:r>
      <w:r w:rsidR="00447027" w:rsidRPr="00A31F49">
        <w:t xml:space="preserve"> til den </w:t>
      </w:r>
      <w:r w:rsidR="008F25E3">
        <w:t>24</w:t>
      </w:r>
      <w:r w:rsidR="00801D83" w:rsidRPr="00A31F49">
        <w:t>. januar 2016</w:t>
      </w:r>
      <w:r w:rsidRPr="00A31F49">
        <w:t xml:space="preserve"> været</w:t>
      </w:r>
      <w:r w:rsidRPr="00252ACA">
        <w:t xml:space="preserve"> sendt i høring </w:t>
      </w:r>
      <w:r w:rsidRPr="00AE03FF">
        <w:t>hos følgende myndigheder og</w:t>
      </w:r>
      <w:r w:rsidRPr="00AE03FF">
        <w:rPr>
          <w:b/>
        </w:rPr>
        <w:t xml:space="preserve"> </w:t>
      </w:r>
      <w:r w:rsidRPr="00AE03FF">
        <w:t>organisationer mv.:</w:t>
      </w:r>
      <w:r w:rsidRPr="00AE03FF">
        <w:rPr>
          <w:b/>
        </w:rPr>
        <w:t xml:space="preserve"> </w:t>
      </w:r>
    </w:p>
    <w:p w:rsidR="00DD41EC" w:rsidRPr="00546955" w:rsidRDefault="00546955" w:rsidP="00DD41EC">
      <w:pPr>
        <w:jc w:val="both"/>
      </w:pPr>
      <w:r w:rsidRPr="00AE03FF">
        <w:t xml:space="preserve">ADRA Danmark, Akademikernes Centralorganisation, Advokatrådet, AIDS-Fondet, Aktive Modstandsfolk, Amnesty International, Arbejderbevægelsens Internationale Forum (nu LO’s Solidaritetsenhed), Art for Living Danmark, Axis, Denmark, Baltic Development Forum, Brahma Kumaris, Børnefonden, CARE Danmark, Caritas Danmark, Center for Etik og Ret i Natur og Samfund, Center for Ligestillingsforskning (Institut for Samfund og Globalisering), </w:t>
      </w:r>
      <w:r w:rsidR="00EC0F05">
        <w:t>Østersø NGO Netværk Danmark</w:t>
      </w:r>
      <w:r w:rsidRPr="00AE03FF">
        <w:t xml:space="preserve">, Danmarks Journalisthøjskole, Danmarks Lærerforening, Dansk Arbejdsgiverforening, Dansk Blindesamfund, Dansk Flygtningehjælp, Dansk Folkeoplysnings Samråd, Dansk Handicap Forbund, </w:t>
      </w:r>
      <w:r w:rsidR="004C28C0">
        <w:t xml:space="preserve">DI - </w:t>
      </w:r>
      <w:r w:rsidRPr="00AE03FF">
        <w:t xml:space="preserve">Dansk Industri, Dansk Institut for Internationale Studier, Dansk Journalistforbund, Dansk Missionsråds Udviklingsafdeling, Dansk PEN, Dansk Røde Kors, Dansk Ungdoms Fællesråd, Danske Handicaporganisationer, Danske Regioner, Dansk-Russisk Forening, Danske Universiteter, Den Danske Europabevægelse, Den Danske Helsinki Komite, Den Danske UNESCO Nationalkommission, Den Internationale Juristkommission, Det Centrale Handicapråd, </w:t>
      </w:r>
      <w:r w:rsidR="004C28C0">
        <w:t xml:space="preserve">Det </w:t>
      </w:r>
      <w:r w:rsidRPr="00AE03FF">
        <w:t>Etisk</w:t>
      </w:r>
      <w:r w:rsidR="004C28C0">
        <w:t>e</w:t>
      </w:r>
      <w:r w:rsidRPr="00AE03FF">
        <w:t xml:space="preserve"> Råd, Det Forskningsfaglige Udvalg, Det Frie Forskningsråd, Det Færøske Landsstyre, Det Mosaiske Trossamfund, Dokumentations- og rådgivningscentret om racediskrimination, ECMI - Euro</w:t>
      </w:r>
      <w:r w:rsidR="002D0EEF">
        <w:t>pean Centre for Minority Issues</w:t>
      </w:r>
      <w:r w:rsidRPr="00AE03FF">
        <w:t>, EGV Fo</w:t>
      </w:r>
      <w:r w:rsidR="002D0EEF">
        <w:t xml:space="preserve">nden, ENAR Danmark, </w:t>
      </w:r>
      <w:r w:rsidRPr="00AE03FF">
        <w:t>3F - Fagligt Fælles Forbund, FN-forbundet, Folkehøjskolernes Forening, Folkekirkens Nødhjælp, Folketingets Ombudsmand, Fontanas Venner, Foreningen af Udviklingsforskere,  Foreningen for Folkehøjskoler, Det Rådgivende Forskningsfaglige udvalg, FRI, Foreningen af Rådgivende Ingeniører, Funktionærernes og Tjenestemændenes Fællesråd, Genvej til Udvikling, Ghana Venskabsgrupperne, GLOBAL CSR, Grønlands Repræsentation i Danmark, Gymnasielærerforeningen, Historielære</w:t>
      </w:r>
      <w:r w:rsidR="002D0EEF">
        <w:t>rforeningen for Gymnasiet og HF</w:t>
      </w:r>
      <w:r w:rsidRPr="00AE03FF">
        <w:t xml:space="preserve">, HK Stat Danmark, Håndværksrådet, IBIS, International Aid Services, International Dalit Solidarity Network, Institut for Flerpartisamarbejde, Institut for Menneskerettigheder, IRCT, Islamisk-Kristent Studiecenter, IWGIA, Kammeradvokaten, </w:t>
      </w:r>
      <w:r w:rsidR="000B4E15">
        <w:t>KL</w:t>
      </w:r>
      <w:r w:rsidRPr="00AE03FF">
        <w:t>, Kriminalpolitisk Forening KRIM, Kvindernes U-landsudvalg, Kvinder</w:t>
      </w:r>
      <w:r w:rsidR="00ED01D3">
        <w:t>ådet,</w:t>
      </w:r>
      <w:r w:rsidR="002D0EEF">
        <w:t xml:space="preserve"> Landbrug &amp; Fødevarer,</w:t>
      </w:r>
      <w:r w:rsidR="00ED01D3">
        <w:t xml:space="preserve"> Landsforeningen af Polio</w:t>
      </w:r>
      <w:r w:rsidRPr="00AE03FF">
        <w:t xml:space="preserve">, Trafik- og Ulykkesskadede (PTU), LGBT </w:t>
      </w:r>
      <w:r w:rsidRPr="00EC0F05">
        <w:t>Danmark, Lige</w:t>
      </w:r>
      <w:r w:rsidR="00EC0F05" w:rsidRPr="00EC0F05">
        <w:t>behandlingsnævnet</w:t>
      </w:r>
      <w:r w:rsidRPr="00EC0F05">
        <w:t>, LO, Læger Uden Grænser</w:t>
      </w:r>
      <w:r w:rsidRPr="00AE03FF">
        <w:t xml:space="preserve">, Mandela Center Danmark, Mellemamerikakomiteen, Mellemfolkeligt Samvirke, Mission Øst, </w:t>
      </w:r>
      <w:r w:rsidR="00EC0F05">
        <w:t>FORA</w:t>
      </w:r>
      <w:r w:rsidRPr="00AE03FF">
        <w:t xml:space="preserve">, NGO Forum, OASIS, </w:t>
      </w:r>
      <w:r w:rsidR="00EC0F05">
        <w:t>MUNDU</w:t>
      </w:r>
      <w:r w:rsidRPr="00AE03FF">
        <w:t xml:space="preserve">, Organisation for vedvarende energi, People Uniting for Generating Aid for Development, Plan Denmark, </w:t>
      </w:r>
      <w:r w:rsidR="00EC0F05">
        <w:t>CISU</w:t>
      </w:r>
      <w:r w:rsidRPr="00AE03FF">
        <w:t xml:space="preserve">, RCT, Red Barnet, Retspolitisk Forening, Rigsombudsmanden i Færøerne, Rigsombudsmanden i Grønland, Rigsrevisionen, Rådet for Etniske Minoriteter, Rådet for Internationalt Udviklingssamarbejde, Sex &amp; Samfund, Solens Børn, Tukae Denmark, Udenrigsdirektoratet, </w:t>
      </w:r>
      <w:r w:rsidR="002D0EEF">
        <w:t xml:space="preserve">Det </w:t>
      </w:r>
      <w:r w:rsidRPr="00AE03FF">
        <w:t>Udenrigspolitisk</w:t>
      </w:r>
      <w:r w:rsidR="002D0EEF">
        <w:t>e</w:t>
      </w:r>
      <w:r w:rsidRPr="00AE03FF">
        <w:t xml:space="preserve"> Selskab, Grønlands Selvstyre, Ulandssekretariatet, Ældremobiliseringen, Ældresagen, Københavns Universitet, Institut for Statskundskab.</w:t>
      </w:r>
      <w:r w:rsidR="00DD41EC" w:rsidRPr="00546955">
        <w:t xml:space="preserve">  </w:t>
      </w:r>
    </w:p>
    <w:p w:rsidR="0024404F" w:rsidRDefault="0024404F" w:rsidP="00DD41EC">
      <w:pPr>
        <w:jc w:val="both"/>
      </w:pPr>
    </w:p>
    <w:p w:rsidR="00BD72E2" w:rsidRDefault="00BD72E2" w:rsidP="00DD41EC">
      <w:pPr>
        <w:jc w:val="both"/>
      </w:pPr>
    </w:p>
    <w:p w:rsidR="00DD41EC" w:rsidRPr="005C163E" w:rsidRDefault="00DD41EC" w:rsidP="00DD41EC">
      <w:pPr>
        <w:jc w:val="both"/>
        <w:rPr>
          <w:b/>
        </w:rPr>
      </w:pPr>
      <w:r w:rsidRPr="00252ACA">
        <w:lastRenderedPageBreak/>
        <w:t>9. Sammenfattende skema</w:t>
      </w:r>
    </w:p>
    <w:tbl>
      <w:tblPr>
        <w:tblStyle w:val="Tabel-Gitter"/>
        <w:tblW w:w="0" w:type="auto"/>
        <w:tblLook w:val="04A0" w:firstRow="1" w:lastRow="0" w:firstColumn="1" w:lastColumn="0" w:noHBand="0" w:noVBand="1"/>
      </w:tblPr>
      <w:tblGrid>
        <w:gridCol w:w="3259"/>
        <w:gridCol w:w="3259"/>
        <w:gridCol w:w="3260"/>
      </w:tblGrid>
      <w:tr w:rsidR="00DD41EC" w:rsidRPr="00252ACA" w:rsidTr="00C24B37">
        <w:tc>
          <w:tcPr>
            <w:tcW w:w="3259" w:type="dxa"/>
          </w:tcPr>
          <w:p w:rsidR="00DD41EC" w:rsidRPr="00252ACA" w:rsidRDefault="00DD41EC" w:rsidP="00C24B37">
            <w:pPr>
              <w:jc w:val="both"/>
            </w:pPr>
          </w:p>
        </w:tc>
        <w:tc>
          <w:tcPr>
            <w:tcW w:w="3259" w:type="dxa"/>
          </w:tcPr>
          <w:p w:rsidR="00DD41EC" w:rsidRPr="00252ACA" w:rsidRDefault="00DD41EC" w:rsidP="00C24B37">
            <w:pPr>
              <w:jc w:val="both"/>
            </w:pPr>
            <w:r w:rsidRPr="00252ACA">
              <w:t>Positive konsekvenser/</w:t>
            </w:r>
          </w:p>
          <w:p w:rsidR="00DD41EC" w:rsidRPr="00252ACA" w:rsidRDefault="00DD41EC" w:rsidP="00C24B37">
            <w:pPr>
              <w:jc w:val="both"/>
            </w:pPr>
            <w:r w:rsidRPr="00252ACA">
              <w:t>mindreudgifter</w:t>
            </w:r>
          </w:p>
          <w:p w:rsidR="00DD41EC" w:rsidRPr="00252ACA" w:rsidRDefault="00DD41EC" w:rsidP="00C24B37">
            <w:pPr>
              <w:jc w:val="both"/>
            </w:pPr>
          </w:p>
        </w:tc>
        <w:tc>
          <w:tcPr>
            <w:tcW w:w="3260" w:type="dxa"/>
          </w:tcPr>
          <w:p w:rsidR="00DD41EC" w:rsidRPr="00252ACA" w:rsidRDefault="00DD41EC" w:rsidP="00C24B37">
            <w:pPr>
              <w:jc w:val="both"/>
            </w:pPr>
            <w:r w:rsidRPr="00252ACA">
              <w:t>Negative konsekvenser/</w:t>
            </w:r>
          </w:p>
          <w:p w:rsidR="00DD41EC" w:rsidRPr="00252ACA" w:rsidRDefault="00DD41EC" w:rsidP="00C24B37">
            <w:pPr>
              <w:jc w:val="both"/>
            </w:pPr>
            <w:r w:rsidRPr="00252ACA">
              <w:t>merudgifter</w:t>
            </w:r>
          </w:p>
        </w:tc>
      </w:tr>
      <w:tr w:rsidR="00DD41EC" w:rsidRPr="00252ACA" w:rsidTr="00C24B37">
        <w:trPr>
          <w:trHeight w:val="918"/>
        </w:trPr>
        <w:tc>
          <w:tcPr>
            <w:tcW w:w="3259" w:type="dxa"/>
          </w:tcPr>
          <w:p w:rsidR="00DD41EC" w:rsidRDefault="00DD41EC" w:rsidP="00C24B37">
            <w:pPr>
              <w:jc w:val="both"/>
              <w:rPr>
                <w:rFonts w:eastAsia="Times New Roman"/>
              </w:rPr>
            </w:pPr>
            <w:r w:rsidRPr="00252ACA">
              <w:rPr>
                <w:rFonts w:eastAsia="Times New Roman"/>
              </w:rPr>
              <w:t>Økonomiske konsekvenser for stat, kommuner og</w:t>
            </w:r>
            <w:r>
              <w:rPr>
                <w:rFonts w:eastAsia="Times New Roman"/>
              </w:rPr>
              <w:t xml:space="preserve"> regioner</w:t>
            </w:r>
          </w:p>
          <w:p w:rsidR="00DD41EC" w:rsidRPr="00252ACA" w:rsidRDefault="00DD41EC" w:rsidP="00C24B37">
            <w:pPr>
              <w:jc w:val="both"/>
            </w:pPr>
          </w:p>
        </w:tc>
        <w:tc>
          <w:tcPr>
            <w:tcW w:w="3259" w:type="dxa"/>
          </w:tcPr>
          <w:p w:rsidR="00DD41EC" w:rsidRPr="00252ACA" w:rsidRDefault="00DD41EC" w:rsidP="00C24B37">
            <w:r w:rsidRPr="00252ACA">
              <w:t>Ingen</w:t>
            </w:r>
          </w:p>
        </w:tc>
        <w:tc>
          <w:tcPr>
            <w:tcW w:w="3260" w:type="dxa"/>
          </w:tcPr>
          <w:p w:rsidR="00DD41EC" w:rsidRPr="00686E55" w:rsidRDefault="00B8379B">
            <w:pPr>
              <w:rPr>
                <w:rFonts w:asciiTheme="minorHAnsi" w:hAnsiTheme="minorHAnsi"/>
              </w:rPr>
            </w:pPr>
            <w:r>
              <w:rPr>
                <w:rFonts w:asciiTheme="minorHAnsi" w:hAnsiTheme="minorHAnsi"/>
              </w:rPr>
              <w:t>Udgifterne vil blive opgjort når der foreligger en plan for flytningen.</w:t>
            </w:r>
            <w:r w:rsidR="001A10D7">
              <w:rPr>
                <w:rFonts w:asciiTheme="minorHAnsi" w:hAnsiTheme="minorHAnsi"/>
              </w:rPr>
              <w:t xml:space="preserve"> </w:t>
            </w:r>
          </w:p>
        </w:tc>
      </w:tr>
      <w:tr w:rsidR="00DD41EC" w:rsidRPr="00252ACA" w:rsidTr="00C24B37">
        <w:trPr>
          <w:trHeight w:val="918"/>
        </w:trPr>
        <w:tc>
          <w:tcPr>
            <w:tcW w:w="3259" w:type="dxa"/>
          </w:tcPr>
          <w:p w:rsidR="00DD41EC" w:rsidRDefault="00DD41EC" w:rsidP="00C24B37">
            <w:pPr>
              <w:jc w:val="both"/>
              <w:rPr>
                <w:rFonts w:eastAsia="Times New Roman"/>
              </w:rPr>
            </w:pPr>
            <w:r w:rsidRPr="00252ACA">
              <w:rPr>
                <w:rFonts w:eastAsia="Times New Roman"/>
              </w:rPr>
              <w:t xml:space="preserve">Administrative konsekvenser for stat, kommuner og </w:t>
            </w:r>
            <w:r>
              <w:rPr>
                <w:rFonts w:eastAsia="Times New Roman"/>
              </w:rPr>
              <w:t>regioner</w:t>
            </w:r>
          </w:p>
          <w:p w:rsidR="00DD41EC" w:rsidRPr="00252ACA" w:rsidRDefault="00DD41EC" w:rsidP="00C24B37">
            <w:pPr>
              <w:jc w:val="both"/>
            </w:pPr>
          </w:p>
        </w:tc>
        <w:tc>
          <w:tcPr>
            <w:tcW w:w="3259" w:type="dxa"/>
          </w:tcPr>
          <w:p w:rsidR="00DD41EC" w:rsidRPr="00252ACA" w:rsidRDefault="00DD41EC" w:rsidP="00C24B37">
            <w:r w:rsidRPr="00252ACA">
              <w:t>Ingen</w:t>
            </w:r>
          </w:p>
        </w:tc>
        <w:tc>
          <w:tcPr>
            <w:tcW w:w="3260" w:type="dxa"/>
          </w:tcPr>
          <w:p w:rsidR="00DD41EC" w:rsidRPr="00686E55" w:rsidRDefault="00686E55" w:rsidP="00C24B37">
            <w:pPr>
              <w:rPr>
                <w:rFonts w:asciiTheme="minorHAnsi" w:hAnsiTheme="minorHAnsi"/>
              </w:rPr>
            </w:pPr>
            <w:r w:rsidRPr="00686E55">
              <w:rPr>
                <w:rFonts w:asciiTheme="minorHAnsi" w:hAnsiTheme="minorHAnsi"/>
              </w:rPr>
              <w:t>Muligt produktionstab bl.a. i tilknytning til instituttets forskning og analysevirksomhed på kort sigt.</w:t>
            </w:r>
          </w:p>
        </w:tc>
      </w:tr>
      <w:tr w:rsidR="00DD41EC" w:rsidRPr="00252ACA" w:rsidTr="00C24B37">
        <w:trPr>
          <w:trHeight w:val="918"/>
        </w:trPr>
        <w:tc>
          <w:tcPr>
            <w:tcW w:w="3259" w:type="dxa"/>
          </w:tcPr>
          <w:p w:rsidR="00DD41EC" w:rsidRPr="00252ACA" w:rsidRDefault="00DD41EC" w:rsidP="00C24B37">
            <w:pPr>
              <w:jc w:val="both"/>
            </w:pPr>
            <w:r w:rsidRPr="00252ACA">
              <w:rPr>
                <w:rFonts w:eastAsia="Times New Roman"/>
              </w:rPr>
              <w:t>Økonomiske konsekvenser for erhvervslivet</w:t>
            </w:r>
          </w:p>
        </w:tc>
        <w:tc>
          <w:tcPr>
            <w:tcW w:w="3259" w:type="dxa"/>
          </w:tcPr>
          <w:p w:rsidR="00DD41EC" w:rsidRPr="00252ACA" w:rsidRDefault="00DD41EC" w:rsidP="00C24B37">
            <w:r w:rsidRPr="00252ACA">
              <w:t>Ingen</w:t>
            </w:r>
          </w:p>
        </w:tc>
        <w:tc>
          <w:tcPr>
            <w:tcW w:w="3260" w:type="dxa"/>
          </w:tcPr>
          <w:p w:rsidR="00DD41EC" w:rsidRPr="00252ACA" w:rsidRDefault="00DD41EC" w:rsidP="00C24B37">
            <w:r w:rsidRPr="00252ACA">
              <w:t>Ingen</w:t>
            </w:r>
          </w:p>
        </w:tc>
      </w:tr>
      <w:tr w:rsidR="00DD41EC" w:rsidRPr="00252ACA" w:rsidTr="00C24B37">
        <w:trPr>
          <w:trHeight w:val="918"/>
        </w:trPr>
        <w:tc>
          <w:tcPr>
            <w:tcW w:w="3259" w:type="dxa"/>
          </w:tcPr>
          <w:p w:rsidR="00DD41EC" w:rsidRPr="00252ACA" w:rsidRDefault="00DD41EC" w:rsidP="00C24B37">
            <w:pPr>
              <w:jc w:val="both"/>
            </w:pPr>
            <w:r w:rsidRPr="00252ACA">
              <w:rPr>
                <w:rFonts w:eastAsia="Times New Roman"/>
              </w:rPr>
              <w:t>Administrative konsekvenser for erhvervslivet</w:t>
            </w:r>
          </w:p>
        </w:tc>
        <w:tc>
          <w:tcPr>
            <w:tcW w:w="3259" w:type="dxa"/>
          </w:tcPr>
          <w:p w:rsidR="00DD41EC" w:rsidRPr="00252ACA" w:rsidRDefault="00DD41EC" w:rsidP="00C24B37">
            <w:r w:rsidRPr="00252ACA">
              <w:t>Ingen</w:t>
            </w:r>
          </w:p>
        </w:tc>
        <w:tc>
          <w:tcPr>
            <w:tcW w:w="3260" w:type="dxa"/>
          </w:tcPr>
          <w:p w:rsidR="00DD41EC" w:rsidRPr="00252ACA" w:rsidRDefault="00DD41EC" w:rsidP="00C24B37">
            <w:r w:rsidRPr="00252ACA">
              <w:t>Ingen</w:t>
            </w:r>
          </w:p>
        </w:tc>
      </w:tr>
      <w:tr w:rsidR="00DD41EC" w:rsidRPr="00252ACA" w:rsidTr="00C24B37">
        <w:trPr>
          <w:trHeight w:val="918"/>
        </w:trPr>
        <w:tc>
          <w:tcPr>
            <w:tcW w:w="3259" w:type="dxa"/>
          </w:tcPr>
          <w:p w:rsidR="00DD41EC" w:rsidRPr="00252ACA" w:rsidRDefault="00DD41EC" w:rsidP="00C24B37">
            <w:pPr>
              <w:jc w:val="both"/>
            </w:pPr>
            <w:r w:rsidRPr="00252ACA">
              <w:rPr>
                <w:rFonts w:eastAsia="Times New Roman"/>
              </w:rPr>
              <w:t>Miljømæssige konsekvenser</w:t>
            </w:r>
          </w:p>
        </w:tc>
        <w:tc>
          <w:tcPr>
            <w:tcW w:w="3259" w:type="dxa"/>
          </w:tcPr>
          <w:p w:rsidR="00DD41EC" w:rsidRPr="00252ACA" w:rsidRDefault="00DD41EC" w:rsidP="00C24B37">
            <w:r w:rsidRPr="00252ACA">
              <w:t>Ingen</w:t>
            </w:r>
          </w:p>
        </w:tc>
        <w:tc>
          <w:tcPr>
            <w:tcW w:w="3260" w:type="dxa"/>
          </w:tcPr>
          <w:p w:rsidR="00DD41EC" w:rsidRPr="00252ACA" w:rsidRDefault="00DD41EC" w:rsidP="00C24B37">
            <w:r w:rsidRPr="00252ACA">
              <w:t>Ingen</w:t>
            </w:r>
          </w:p>
        </w:tc>
      </w:tr>
      <w:tr w:rsidR="00DD41EC" w:rsidRPr="00252ACA" w:rsidTr="00C24B37">
        <w:trPr>
          <w:trHeight w:val="918"/>
        </w:trPr>
        <w:tc>
          <w:tcPr>
            <w:tcW w:w="3259" w:type="dxa"/>
          </w:tcPr>
          <w:p w:rsidR="00DD41EC" w:rsidRPr="00252ACA" w:rsidRDefault="00DD41EC" w:rsidP="00C24B37">
            <w:pPr>
              <w:jc w:val="both"/>
            </w:pPr>
            <w:r w:rsidRPr="00252ACA">
              <w:rPr>
                <w:rFonts w:eastAsia="Times New Roman"/>
              </w:rPr>
              <w:t>Administrative konsekvenser for borgerne</w:t>
            </w:r>
          </w:p>
        </w:tc>
        <w:tc>
          <w:tcPr>
            <w:tcW w:w="3259" w:type="dxa"/>
          </w:tcPr>
          <w:p w:rsidR="00DD41EC" w:rsidRPr="00252ACA" w:rsidRDefault="00DD41EC" w:rsidP="00C24B37">
            <w:r w:rsidRPr="00252ACA">
              <w:t>Ingen</w:t>
            </w:r>
          </w:p>
        </w:tc>
        <w:tc>
          <w:tcPr>
            <w:tcW w:w="3260" w:type="dxa"/>
          </w:tcPr>
          <w:p w:rsidR="00DD41EC" w:rsidRPr="00252ACA" w:rsidRDefault="00DD41EC" w:rsidP="00C24B37">
            <w:r w:rsidRPr="00252ACA">
              <w:t>Ingen</w:t>
            </w:r>
          </w:p>
        </w:tc>
      </w:tr>
      <w:tr w:rsidR="00DD41EC" w:rsidRPr="00252ACA" w:rsidTr="00C24B37">
        <w:trPr>
          <w:trHeight w:val="918"/>
        </w:trPr>
        <w:tc>
          <w:tcPr>
            <w:tcW w:w="3259" w:type="dxa"/>
          </w:tcPr>
          <w:p w:rsidR="00DD41EC" w:rsidRPr="00252ACA" w:rsidRDefault="00DD41EC" w:rsidP="00C24B37">
            <w:pPr>
              <w:jc w:val="both"/>
            </w:pPr>
            <w:r w:rsidRPr="00252ACA">
              <w:rPr>
                <w:rFonts w:eastAsia="Times New Roman"/>
              </w:rPr>
              <w:t>Forholdet til EU-retten</w:t>
            </w:r>
          </w:p>
        </w:tc>
        <w:tc>
          <w:tcPr>
            <w:tcW w:w="6519" w:type="dxa"/>
            <w:gridSpan w:val="2"/>
          </w:tcPr>
          <w:p w:rsidR="00DD41EC" w:rsidRPr="00252ACA" w:rsidRDefault="00DD41EC" w:rsidP="00C24B37">
            <w:r w:rsidRPr="00252ACA">
              <w:t xml:space="preserve">Lovforslaget indeholder ingen EU-retlige aspekter. </w:t>
            </w:r>
          </w:p>
          <w:p w:rsidR="00DD41EC" w:rsidRPr="00252ACA" w:rsidRDefault="00DD41EC" w:rsidP="00C24B37"/>
        </w:tc>
      </w:tr>
    </w:tbl>
    <w:p w:rsidR="00DD41EC" w:rsidRPr="00252ACA" w:rsidRDefault="00DD41EC" w:rsidP="00DD41EC">
      <w:pPr>
        <w:jc w:val="both"/>
      </w:pPr>
      <w:r w:rsidRPr="00252ACA">
        <w:t xml:space="preserve">                                       </w:t>
      </w:r>
    </w:p>
    <w:p w:rsidR="00DD41EC" w:rsidRDefault="00DD41EC" w:rsidP="00DD41EC">
      <w:pPr>
        <w:rPr>
          <w:i/>
        </w:rPr>
      </w:pPr>
      <w:r>
        <w:rPr>
          <w:i/>
        </w:rPr>
        <w:br w:type="page"/>
      </w:r>
    </w:p>
    <w:p w:rsidR="00DD41EC" w:rsidRPr="00CF5F50" w:rsidRDefault="00DD41EC" w:rsidP="00DD41EC">
      <w:pPr>
        <w:jc w:val="center"/>
        <w:rPr>
          <w:i/>
        </w:rPr>
      </w:pPr>
      <w:r w:rsidRPr="00CF5F50">
        <w:rPr>
          <w:i/>
        </w:rPr>
        <w:lastRenderedPageBreak/>
        <w:t>Bemærkninger til lovforslagets enkelte bestemmelser</w:t>
      </w:r>
    </w:p>
    <w:p w:rsidR="00DD41EC" w:rsidRPr="00CF5F50" w:rsidRDefault="00DD41EC" w:rsidP="00DD41EC">
      <w:pPr>
        <w:jc w:val="center"/>
        <w:rPr>
          <w:i/>
        </w:rPr>
      </w:pPr>
    </w:p>
    <w:p w:rsidR="00DD41EC" w:rsidRPr="00CF5F50" w:rsidRDefault="00DD41EC" w:rsidP="00DD41EC">
      <w:pPr>
        <w:jc w:val="center"/>
        <w:rPr>
          <w:i/>
        </w:rPr>
      </w:pPr>
      <w:r w:rsidRPr="00CF5F50">
        <w:rPr>
          <w:i/>
        </w:rPr>
        <w:t>Til § 1</w:t>
      </w:r>
    </w:p>
    <w:p w:rsidR="005020FC" w:rsidRDefault="005020FC" w:rsidP="002146F8"/>
    <w:p w:rsidR="00A502A6" w:rsidRPr="00CF5F50" w:rsidRDefault="00A502A6" w:rsidP="002146F8">
      <w:r>
        <w:t>Til nr. 1</w:t>
      </w:r>
    </w:p>
    <w:p w:rsidR="00CF5F50" w:rsidRPr="00CF5F50" w:rsidRDefault="00CF5F50" w:rsidP="002146F8">
      <w:r w:rsidRPr="00CF5F50">
        <w:t>Det foreslås, at Dansk Institut for Internationale Studier</w:t>
      </w:r>
      <w:r w:rsidR="00A502A6">
        <w:t xml:space="preserve"> </w:t>
      </w:r>
      <w:r w:rsidR="00A502A6" w:rsidRPr="00E73305">
        <w:t>har</w:t>
      </w:r>
      <w:r w:rsidRPr="00E73305">
        <w:t xml:space="preserve"> </w:t>
      </w:r>
      <w:r w:rsidR="00DA334C" w:rsidRPr="00E73305">
        <w:t>hjemsted</w:t>
      </w:r>
      <w:r w:rsidRPr="00E73305">
        <w:t xml:space="preserve"> </w:t>
      </w:r>
      <w:r w:rsidR="00A502A6" w:rsidRPr="00E73305">
        <w:t>i</w:t>
      </w:r>
      <w:r w:rsidRPr="00CF5F50">
        <w:t xml:space="preserve"> Aarhus, som et led i regeringens plan for udflytning af statslige arbejdspladser ´Bedre Balance – Statslige </w:t>
      </w:r>
      <w:r w:rsidR="006440BE">
        <w:t>a</w:t>
      </w:r>
      <w:r w:rsidRPr="00CF5F50">
        <w:t>rbejdspladser</w:t>
      </w:r>
      <w:r w:rsidR="006440BE">
        <w:t xml:space="preserve"> tættere på borgere og v</w:t>
      </w:r>
      <w:r w:rsidRPr="00CF5F50">
        <w:t>irksomheder’.</w:t>
      </w:r>
    </w:p>
    <w:p w:rsidR="00CF5F50" w:rsidRDefault="00CF5F50" w:rsidP="002146F8"/>
    <w:p w:rsidR="0014556D" w:rsidRDefault="0014556D" w:rsidP="002146F8">
      <w:r>
        <w:t>At DIIS har ’hjemsted’ i Aarhus vil sige, at DIIS’ hovedsæde befinder sig i Aarhus og at direktøren for DIIS og instituttets medarbejdere primært arbejder herfra.</w:t>
      </w:r>
    </w:p>
    <w:p w:rsidR="0014556D" w:rsidRDefault="0014556D" w:rsidP="002146F8"/>
    <w:p w:rsidR="0014556D" w:rsidRDefault="0014556D" w:rsidP="0014556D">
      <w:r>
        <w:t>Den foreslåede bestemmelse er ikke til hinder for, at Dansk Institut for Internationale Studier som led i sin opgavevaretagelse opretter mindre lokale filialer andre steder i landet.</w:t>
      </w:r>
    </w:p>
    <w:p w:rsidR="0014556D" w:rsidRDefault="0014556D" w:rsidP="002146F8">
      <w:r>
        <w:t xml:space="preserve"> </w:t>
      </w:r>
    </w:p>
    <w:p w:rsidR="002146F8" w:rsidRPr="009803DA" w:rsidRDefault="002146F8" w:rsidP="00DD41EC">
      <w:pPr>
        <w:jc w:val="center"/>
        <w:rPr>
          <w:i/>
          <w:highlight w:val="yellow"/>
        </w:rPr>
      </w:pPr>
    </w:p>
    <w:p w:rsidR="00DD41EC" w:rsidRDefault="00DD41EC" w:rsidP="00DD41EC">
      <w:pPr>
        <w:jc w:val="center"/>
        <w:rPr>
          <w:i/>
        </w:rPr>
      </w:pPr>
      <w:r w:rsidRPr="00CF5F50">
        <w:rPr>
          <w:i/>
        </w:rPr>
        <w:t>Til § 2</w:t>
      </w:r>
    </w:p>
    <w:p w:rsidR="006A3232" w:rsidRPr="00E73305" w:rsidRDefault="006A3232" w:rsidP="00E73305">
      <w:pPr>
        <w:jc w:val="both"/>
      </w:pPr>
    </w:p>
    <w:p w:rsidR="005020FC" w:rsidRPr="0014556D" w:rsidRDefault="00DD41EC" w:rsidP="005020FC">
      <w:r w:rsidRPr="0014556D">
        <w:t>Det foreslås</w:t>
      </w:r>
      <w:r w:rsidR="00C40D76" w:rsidRPr="0014556D">
        <w:t xml:space="preserve"> i </w:t>
      </w:r>
      <w:r w:rsidR="00C40D76" w:rsidRPr="0014556D">
        <w:rPr>
          <w:i/>
        </w:rPr>
        <w:t>stk. 1</w:t>
      </w:r>
      <w:r w:rsidRPr="0014556D">
        <w:t>, at loven</w:t>
      </w:r>
      <w:r w:rsidR="00767692" w:rsidRPr="0014556D">
        <w:t xml:space="preserve"> træder i kraft den 1. </w:t>
      </w:r>
      <w:r w:rsidR="0014556D" w:rsidRPr="0014556D">
        <w:t>oktober</w:t>
      </w:r>
      <w:r w:rsidR="00767692" w:rsidRPr="0014556D">
        <w:t xml:space="preserve"> 2016</w:t>
      </w:r>
      <w:r w:rsidRPr="0014556D">
        <w:t xml:space="preserve">. </w:t>
      </w:r>
    </w:p>
    <w:p w:rsidR="00C40D76" w:rsidRDefault="00C40D76" w:rsidP="005020FC">
      <w:pPr>
        <w:rPr>
          <w:highlight w:val="yellow"/>
        </w:rPr>
      </w:pPr>
    </w:p>
    <w:p w:rsidR="001803A8" w:rsidRDefault="001803A8" w:rsidP="001803A8">
      <w:r w:rsidRPr="00E73305">
        <w:t xml:space="preserve">Med </w:t>
      </w:r>
      <w:r w:rsidRPr="00E73305">
        <w:rPr>
          <w:i/>
        </w:rPr>
        <w:t>stk. 2</w:t>
      </w:r>
      <w:r w:rsidRPr="00E73305">
        <w:t xml:space="preserve"> foreslås en overgangsregel, hvorefter </w:t>
      </w:r>
      <w:r w:rsidRPr="00F535FB">
        <w:t>Dansk</w:t>
      </w:r>
      <w:r w:rsidRPr="00C40D76">
        <w:t xml:space="preserve"> Institut for Internationale Studier indtil den [31. december 2017] </w:t>
      </w:r>
      <w:r>
        <w:t xml:space="preserve">kan </w:t>
      </w:r>
      <w:r w:rsidRPr="00C40D76">
        <w:t>udøve sin virksomhed fra sine hidtidige fysiske lokaliteter, i det omfang instituttet ikke er fraflyttet disse lokaliteter.</w:t>
      </w:r>
    </w:p>
    <w:p w:rsidR="001803A8" w:rsidRDefault="001803A8" w:rsidP="001803A8"/>
    <w:p w:rsidR="001803A8" w:rsidRDefault="001803A8" w:rsidP="001803A8">
      <w:r>
        <w:t xml:space="preserve">Det fremgår af </w:t>
      </w:r>
      <w:r w:rsidR="00D303F6">
        <w:t>den nævnte plan for udflytning af statslige arbejdspladser</w:t>
      </w:r>
      <w:r>
        <w:t>, at den statslige udflytning skal være gennemført senest med udgangen af 2017. Den nærmere dato for, hvornår udflytningen af Dansk Institut for Internationale Studier skal være gennemført, er endnu ikke fastlagt.</w:t>
      </w:r>
    </w:p>
    <w:p w:rsidR="001803A8" w:rsidRDefault="001803A8" w:rsidP="001803A8"/>
    <w:p w:rsidR="00D70869" w:rsidRDefault="00C32797" w:rsidP="001803A8">
      <w:r>
        <w:t>Det anførte indebærer, at der efter lovens ikrafttræde</w:t>
      </w:r>
      <w:r w:rsidR="00D70869">
        <w:t>n</w:t>
      </w:r>
      <w:r>
        <w:t xml:space="preserve"> den 1. </w:t>
      </w:r>
      <w:r w:rsidR="0014556D">
        <w:t>oktober</w:t>
      </w:r>
      <w:r>
        <w:t xml:space="preserve"> 2016 vil kunne være en periode, hvor Dansk Institut for Internationale Studier formelt har hjemsted i Aarhus</w:t>
      </w:r>
      <w:r w:rsidR="00F535FB">
        <w:t>, jf. den foreslåede § 1, nr. 1, men hvor de</w:t>
      </w:r>
      <w:r w:rsidR="00D70869">
        <w:t>n fysiske udflytning af instituttet endnu ikke er gennemført eller kun delvist er gennemført.</w:t>
      </w:r>
    </w:p>
    <w:p w:rsidR="00D70869" w:rsidRDefault="00D70869" w:rsidP="001803A8"/>
    <w:p w:rsidR="00D70869" w:rsidRDefault="00D70869" w:rsidP="001803A8">
      <w:r>
        <w:t xml:space="preserve">Den foreslåede overgangsregel skal på den baggrund sikre, at instituttet </w:t>
      </w:r>
      <w:r w:rsidR="00D303F6">
        <w:t xml:space="preserve">– i nødvendigt omfang – </w:t>
      </w:r>
      <w:r>
        <w:t xml:space="preserve">kan fortsætte med at udøve sin virksomhed </w:t>
      </w:r>
      <w:r w:rsidR="00D303F6">
        <w:t>fra sine hidtidige lokaliteter i hele den periode, der er fastlagt i udflytningsplanen.</w:t>
      </w:r>
    </w:p>
    <w:p w:rsidR="00D303F6" w:rsidRDefault="00D303F6" w:rsidP="001803A8"/>
    <w:p w:rsidR="00D303F6" w:rsidRDefault="00D303F6" w:rsidP="001803A8">
      <w:r>
        <w:t>Det forudsættes, at instituttet påbegynder og gennemfører udflytningen snare</w:t>
      </w:r>
      <w:r w:rsidR="006A3232">
        <w:t>st muligt efter, at det nærmere tidspunkt for udflytningen er blevet fastlagt.</w:t>
      </w:r>
    </w:p>
    <w:p w:rsidR="00D70869" w:rsidRDefault="00D70869" w:rsidP="001803A8"/>
    <w:p w:rsidR="001803A8" w:rsidRDefault="001803A8" w:rsidP="001803A8"/>
    <w:p w:rsidR="0043477C" w:rsidRDefault="0043477C" w:rsidP="0043477C">
      <w:pPr>
        <w:jc w:val="center"/>
        <w:rPr>
          <w:i/>
        </w:rPr>
      </w:pPr>
      <w:r>
        <w:rPr>
          <w:i/>
        </w:rPr>
        <w:t>Til § 3</w:t>
      </w:r>
    </w:p>
    <w:p w:rsidR="0043477C" w:rsidRDefault="0043477C" w:rsidP="0043477C">
      <w:pPr>
        <w:jc w:val="center"/>
        <w:rPr>
          <w:i/>
        </w:rPr>
      </w:pPr>
    </w:p>
    <w:p w:rsidR="0043477C" w:rsidRPr="0043477C" w:rsidRDefault="0043477C" w:rsidP="0043477C">
      <w:r>
        <w:t>Såfremt lov om Dansk Institut for Internationale Studier skal gælde for Grønland og Færøerne, skal loven helt eller delvist sættes i kraft ved en kongelig anordning for Færøerne og Grønland med de ændringer, som de færøske og grønlandske forhold tilsiger.</w:t>
      </w:r>
    </w:p>
    <w:p w:rsidR="00DD41EC" w:rsidRDefault="00DD41EC" w:rsidP="00DD41EC"/>
    <w:p w:rsidR="00DD41EC" w:rsidRDefault="00DD41EC" w:rsidP="00DD41EC"/>
    <w:p w:rsidR="00DD41EC" w:rsidRDefault="00DD41EC" w:rsidP="00DD41EC">
      <w:r>
        <w:br w:type="page"/>
      </w:r>
    </w:p>
    <w:p w:rsidR="00DD41EC" w:rsidRPr="00252ACA" w:rsidRDefault="00DD41EC" w:rsidP="00DD41EC">
      <w:pPr>
        <w:jc w:val="right"/>
        <w:rPr>
          <w:b/>
        </w:rPr>
      </w:pPr>
      <w:r w:rsidRPr="00252ACA">
        <w:rPr>
          <w:b/>
        </w:rPr>
        <w:lastRenderedPageBreak/>
        <w:t>Bilag 1</w:t>
      </w:r>
    </w:p>
    <w:p w:rsidR="00DD41EC" w:rsidRPr="00252ACA" w:rsidRDefault="00DD41EC" w:rsidP="00DD41EC">
      <w:pPr>
        <w:jc w:val="center"/>
      </w:pPr>
    </w:p>
    <w:p w:rsidR="00DD41EC" w:rsidRDefault="00DD41EC" w:rsidP="00DD41EC">
      <w:pPr>
        <w:jc w:val="center"/>
        <w:rPr>
          <w:b/>
        </w:rPr>
      </w:pPr>
      <w:r w:rsidRPr="00FD3CE6">
        <w:rPr>
          <w:b/>
        </w:rPr>
        <w:t>Lovforslaget sammenholdt med gældende lov</w:t>
      </w:r>
    </w:p>
    <w:p w:rsidR="00DD41EC" w:rsidRPr="00252ACA" w:rsidRDefault="00DD41EC" w:rsidP="00DD41EC">
      <w:pPr>
        <w:spacing w:after="240"/>
        <w:jc w:val="center"/>
        <w:rPr>
          <w: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DD41EC" w:rsidRPr="00252ACA" w:rsidTr="00C24B37">
        <w:tc>
          <w:tcPr>
            <w:tcW w:w="4889" w:type="dxa"/>
          </w:tcPr>
          <w:p w:rsidR="00DD41EC" w:rsidRPr="00252ACA" w:rsidRDefault="00DD41EC" w:rsidP="00C24B37">
            <w:pPr>
              <w:jc w:val="center"/>
            </w:pPr>
            <w:r w:rsidRPr="00252ACA">
              <w:t>Gældende formulering</w:t>
            </w:r>
          </w:p>
        </w:tc>
        <w:tc>
          <w:tcPr>
            <w:tcW w:w="4889" w:type="dxa"/>
          </w:tcPr>
          <w:p w:rsidR="00DD41EC" w:rsidRPr="00252ACA" w:rsidRDefault="00DD41EC" w:rsidP="00C24B37">
            <w:pPr>
              <w:jc w:val="center"/>
            </w:pPr>
            <w:r w:rsidRPr="00252ACA">
              <w:t>Lovforslag</w:t>
            </w:r>
          </w:p>
        </w:tc>
      </w:tr>
      <w:tr w:rsidR="00DD41EC" w:rsidRPr="00252ACA" w:rsidTr="00C24B37">
        <w:tc>
          <w:tcPr>
            <w:tcW w:w="4889" w:type="dxa"/>
          </w:tcPr>
          <w:p w:rsidR="00DD41EC" w:rsidRPr="00252ACA" w:rsidRDefault="00DD41EC" w:rsidP="00C24B37"/>
        </w:tc>
        <w:tc>
          <w:tcPr>
            <w:tcW w:w="4889" w:type="dxa"/>
          </w:tcPr>
          <w:p w:rsidR="00DD41EC" w:rsidRPr="00252ACA" w:rsidRDefault="00DD41EC" w:rsidP="00C24B37"/>
        </w:tc>
      </w:tr>
      <w:tr w:rsidR="00DD41EC" w:rsidRPr="00252ACA" w:rsidTr="00C24B37">
        <w:tc>
          <w:tcPr>
            <w:tcW w:w="4889" w:type="dxa"/>
          </w:tcPr>
          <w:p w:rsidR="002446FC" w:rsidRPr="002446FC" w:rsidRDefault="002446FC" w:rsidP="002446FC">
            <w:pPr>
              <w:jc w:val="both"/>
              <w:rPr>
                <w:rFonts w:asciiTheme="minorHAnsi" w:eastAsia="Times New Roman" w:hAnsiTheme="minorHAnsi" w:cs="Tahoma"/>
                <w:color w:val="000000"/>
              </w:rPr>
            </w:pPr>
            <w:r w:rsidRPr="002446FC">
              <w:rPr>
                <w:rFonts w:asciiTheme="minorHAnsi" w:eastAsia="Times New Roman" w:hAnsiTheme="minorHAnsi" w:cs="Tahoma"/>
                <w:b/>
                <w:bCs/>
                <w:color w:val="000000"/>
              </w:rPr>
              <w:t xml:space="preserve">§ 1. </w:t>
            </w:r>
            <w:r w:rsidRPr="002446FC">
              <w:rPr>
                <w:rFonts w:asciiTheme="minorHAnsi" w:eastAsia="Times New Roman" w:hAnsiTheme="minorHAnsi" w:cs="Tahoma"/>
                <w:color w:val="000000"/>
              </w:rPr>
              <w:t>Med det formål</w:t>
            </w:r>
            <w:r>
              <w:rPr>
                <w:rFonts w:asciiTheme="minorHAnsi" w:eastAsia="Times New Roman" w:hAnsiTheme="minorHAnsi" w:cs="Tahoma"/>
                <w:color w:val="000000"/>
              </w:rPr>
              <w:t xml:space="preserve"> at styrke uafhængig forsknings-</w:t>
            </w:r>
            <w:r w:rsidRPr="002446FC">
              <w:rPr>
                <w:rFonts w:asciiTheme="minorHAnsi" w:eastAsia="Times New Roman" w:hAnsiTheme="minorHAnsi" w:cs="Tahoma"/>
                <w:color w:val="000000"/>
              </w:rPr>
              <w:t>, analyse-, udrednings- og informationsvirksomhed i Danmark om internationale forhold inden for det brede udenrigs-, sikkerheds- og udviklingspolitiske område etableres Dansk Institut for Internationale Studier.</w:t>
            </w:r>
          </w:p>
          <w:p w:rsidR="002446FC" w:rsidRPr="002446FC" w:rsidRDefault="002446FC" w:rsidP="002446FC">
            <w:pPr>
              <w:jc w:val="both"/>
              <w:rPr>
                <w:rFonts w:asciiTheme="minorHAnsi" w:eastAsia="Times New Roman" w:hAnsiTheme="minorHAnsi" w:cs="Tahoma"/>
                <w:color w:val="000000"/>
              </w:rPr>
            </w:pPr>
          </w:p>
          <w:p w:rsidR="00DD41EC" w:rsidRPr="002446FC" w:rsidRDefault="00DD41EC" w:rsidP="00C24B37">
            <w:pPr>
              <w:jc w:val="both"/>
              <w:rPr>
                <w:rFonts w:asciiTheme="minorHAnsi" w:hAnsiTheme="minorHAnsi"/>
              </w:rPr>
            </w:pPr>
          </w:p>
        </w:tc>
        <w:tc>
          <w:tcPr>
            <w:tcW w:w="4889" w:type="dxa"/>
          </w:tcPr>
          <w:p w:rsidR="00A502A6" w:rsidRPr="00A502A6" w:rsidRDefault="00A502A6" w:rsidP="00E73305">
            <w:pPr>
              <w:jc w:val="center"/>
              <w:rPr>
                <w:rFonts w:asciiTheme="minorHAnsi" w:eastAsia="Times New Roman" w:hAnsiTheme="minorHAnsi" w:cs="Tahoma"/>
                <w:b/>
                <w:bCs/>
                <w:color w:val="000000"/>
              </w:rPr>
            </w:pPr>
            <w:r w:rsidRPr="00A502A6">
              <w:rPr>
                <w:rFonts w:asciiTheme="minorHAnsi" w:eastAsia="Times New Roman" w:hAnsiTheme="minorHAnsi" w:cs="Tahoma"/>
                <w:b/>
                <w:bCs/>
                <w:color w:val="000000"/>
              </w:rPr>
              <w:t>§ 1</w:t>
            </w:r>
          </w:p>
          <w:p w:rsidR="00A502A6" w:rsidRDefault="00A502A6" w:rsidP="00A502A6">
            <w:pPr>
              <w:jc w:val="both"/>
              <w:rPr>
                <w:rFonts w:asciiTheme="minorHAnsi" w:eastAsia="Times New Roman" w:hAnsiTheme="minorHAnsi" w:cs="Tahoma"/>
                <w:bCs/>
                <w:color w:val="000000"/>
              </w:rPr>
            </w:pPr>
            <w:r w:rsidRPr="00E73305">
              <w:rPr>
                <w:rFonts w:asciiTheme="minorHAnsi" w:eastAsia="Times New Roman" w:hAnsiTheme="minorHAnsi" w:cs="Tahoma"/>
                <w:bCs/>
                <w:color w:val="000000"/>
              </w:rPr>
              <w:t>I lov nr. 554 af 18. juni 2012 om Dansk Institut for Internationale Studier, som ændret ved § 2 i lov nr. 656 af 12. juni 2013, foretages følgende ændring:</w:t>
            </w:r>
          </w:p>
          <w:p w:rsidR="00A502A6" w:rsidRPr="00E73305" w:rsidRDefault="00A502A6" w:rsidP="00A502A6">
            <w:pPr>
              <w:jc w:val="both"/>
              <w:rPr>
                <w:rFonts w:asciiTheme="minorHAnsi" w:eastAsia="Times New Roman" w:hAnsiTheme="minorHAnsi" w:cs="Tahoma"/>
                <w:bCs/>
                <w:color w:val="000000"/>
              </w:rPr>
            </w:pPr>
          </w:p>
          <w:p w:rsidR="00A502A6" w:rsidRDefault="002446FC" w:rsidP="00C24B37">
            <w:pPr>
              <w:jc w:val="both"/>
              <w:rPr>
                <w:rFonts w:asciiTheme="minorHAnsi" w:eastAsia="Times New Roman" w:hAnsiTheme="minorHAnsi" w:cs="Tahoma"/>
                <w:b/>
                <w:bCs/>
                <w:color w:val="000000"/>
              </w:rPr>
            </w:pPr>
            <w:r w:rsidRPr="00E73305">
              <w:rPr>
                <w:rFonts w:asciiTheme="minorHAnsi" w:eastAsia="Times New Roman" w:hAnsiTheme="minorHAnsi" w:cs="Tahoma"/>
                <w:bCs/>
                <w:color w:val="000000"/>
              </w:rPr>
              <w:t xml:space="preserve">I </w:t>
            </w:r>
            <w:r w:rsidRPr="00E73305">
              <w:rPr>
                <w:rFonts w:asciiTheme="minorHAnsi" w:eastAsia="Times New Roman" w:hAnsiTheme="minorHAnsi" w:cs="Tahoma"/>
                <w:bCs/>
                <w:i/>
                <w:color w:val="000000"/>
              </w:rPr>
              <w:t>§ 1</w:t>
            </w:r>
            <w:r w:rsidRPr="00E73305">
              <w:rPr>
                <w:rFonts w:asciiTheme="minorHAnsi" w:eastAsia="Times New Roman" w:hAnsiTheme="minorHAnsi" w:cs="Tahoma"/>
                <w:bCs/>
                <w:color w:val="000000"/>
              </w:rPr>
              <w:t xml:space="preserve"> indsættes som </w:t>
            </w:r>
            <w:r w:rsidRPr="00E73305">
              <w:rPr>
                <w:rFonts w:asciiTheme="minorHAnsi" w:eastAsia="Times New Roman" w:hAnsiTheme="minorHAnsi" w:cs="Tahoma"/>
                <w:bCs/>
                <w:i/>
                <w:color w:val="000000"/>
              </w:rPr>
              <w:t>stk. 2</w:t>
            </w:r>
            <w:r w:rsidRPr="00E73305">
              <w:rPr>
                <w:rFonts w:asciiTheme="minorHAnsi" w:eastAsia="Times New Roman" w:hAnsiTheme="minorHAnsi" w:cs="Tahoma"/>
                <w:bCs/>
                <w:color w:val="000000"/>
              </w:rPr>
              <w:t>:</w:t>
            </w:r>
            <w:r>
              <w:rPr>
                <w:rFonts w:asciiTheme="minorHAnsi" w:eastAsia="Times New Roman" w:hAnsiTheme="minorHAnsi" w:cs="Tahoma"/>
                <w:b/>
                <w:bCs/>
                <w:color w:val="000000"/>
              </w:rPr>
              <w:t xml:space="preserve"> </w:t>
            </w:r>
          </w:p>
          <w:p w:rsidR="00DD41EC" w:rsidRPr="002446FC" w:rsidRDefault="002446FC" w:rsidP="00C24B37">
            <w:pPr>
              <w:jc w:val="both"/>
            </w:pPr>
            <w:r w:rsidRPr="00252ACA">
              <w:t>»</w:t>
            </w:r>
            <w:r w:rsidRPr="00E73305">
              <w:rPr>
                <w:rFonts w:asciiTheme="minorHAnsi" w:eastAsia="Times New Roman" w:hAnsiTheme="minorHAnsi" w:cs="Tahoma"/>
                <w:bCs/>
                <w:color w:val="000000"/>
              </w:rPr>
              <w:t xml:space="preserve">Dansk Institut for Internationale Studier har </w:t>
            </w:r>
            <w:r w:rsidR="00DA334C" w:rsidRPr="00E73305">
              <w:t>hjemsted</w:t>
            </w:r>
            <w:r>
              <w:rPr>
                <w:rFonts w:asciiTheme="minorHAnsi" w:eastAsia="Times New Roman" w:hAnsiTheme="minorHAnsi" w:cs="Tahoma"/>
                <w:bCs/>
                <w:color w:val="000000"/>
              </w:rPr>
              <w:t xml:space="preserve"> i Aarhus.</w:t>
            </w:r>
            <w:r w:rsidRPr="00252ACA">
              <w:t>«</w:t>
            </w:r>
          </w:p>
          <w:p w:rsidR="00DD41EC" w:rsidRPr="00252ACA" w:rsidRDefault="00DD41EC" w:rsidP="002446FC">
            <w:pPr>
              <w:jc w:val="both"/>
            </w:pPr>
          </w:p>
        </w:tc>
      </w:tr>
      <w:tr w:rsidR="00DD41EC" w:rsidRPr="00252ACA" w:rsidTr="00C24B37">
        <w:tc>
          <w:tcPr>
            <w:tcW w:w="4889" w:type="dxa"/>
          </w:tcPr>
          <w:p w:rsidR="00DD41EC" w:rsidRPr="00252ACA" w:rsidRDefault="00DD41EC" w:rsidP="002446FC">
            <w:pPr>
              <w:jc w:val="both"/>
            </w:pPr>
          </w:p>
        </w:tc>
        <w:tc>
          <w:tcPr>
            <w:tcW w:w="4889" w:type="dxa"/>
          </w:tcPr>
          <w:p w:rsidR="00A502A6" w:rsidRPr="00A502A6" w:rsidRDefault="00A502A6" w:rsidP="00E73305">
            <w:pPr>
              <w:jc w:val="center"/>
              <w:rPr>
                <w:b/>
              </w:rPr>
            </w:pPr>
            <w:r w:rsidRPr="00A502A6">
              <w:rPr>
                <w:b/>
              </w:rPr>
              <w:t>§ 2</w:t>
            </w:r>
          </w:p>
          <w:p w:rsidR="00A502A6" w:rsidRPr="00A502A6" w:rsidRDefault="00A502A6" w:rsidP="00A502A6">
            <w:pPr>
              <w:jc w:val="both"/>
            </w:pPr>
            <w:r w:rsidRPr="00A502A6">
              <w:t xml:space="preserve">Loven træder i kraft den 1. </w:t>
            </w:r>
            <w:r w:rsidR="00CF3DC7">
              <w:t>oktober</w:t>
            </w:r>
            <w:r w:rsidRPr="00A502A6">
              <w:t xml:space="preserve"> 2016. </w:t>
            </w:r>
          </w:p>
          <w:p w:rsidR="00DD41EC" w:rsidRPr="00252ACA" w:rsidRDefault="00DD41EC" w:rsidP="00C24B37">
            <w:pPr>
              <w:jc w:val="both"/>
            </w:pPr>
          </w:p>
        </w:tc>
      </w:tr>
      <w:tr w:rsidR="00DD41EC" w:rsidRPr="00252ACA" w:rsidTr="00C24B37">
        <w:tc>
          <w:tcPr>
            <w:tcW w:w="4889" w:type="dxa"/>
          </w:tcPr>
          <w:p w:rsidR="00DD41EC" w:rsidRPr="00252ACA" w:rsidRDefault="00DD41EC" w:rsidP="00C24B37">
            <w:pPr>
              <w:jc w:val="both"/>
              <w:rPr>
                <w:rFonts w:eastAsia="Times New Roman" w:cs="Tahoma"/>
                <w:b/>
                <w:bCs/>
                <w:color w:val="000000"/>
              </w:rPr>
            </w:pPr>
          </w:p>
        </w:tc>
        <w:tc>
          <w:tcPr>
            <w:tcW w:w="4889" w:type="dxa"/>
          </w:tcPr>
          <w:p w:rsidR="00DD41EC" w:rsidRPr="00252ACA" w:rsidRDefault="00DD41EC" w:rsidP="00C24B37">
            <w:pPr>
              <w:jc w:val="both"/>
            </w:pPr>
          </w:p>
        </w:tc>
      </w:tr>
      <w:tr w:rsidR="00DD41EC" w:rsidRPr="00252ACA" w:rsidTr="00C24B37">
        <w:tc>
          <w:tcPr>
            <w:tcW w:w="4889" w:type="dxa"/>
          </w:tcPr>
          <w:p w:rsidR="00DD41EC" w:rsidRPr="00252ACA" w:rsidRDefault="00DD41EC" w:rsidP="00C24B37">
            <w:pPr>
              <w:jc w:val="both"/>
              <w:rPr>
                <w:rFonts w:eastAsia="Times New Roman" w:cs="Tahoma"/>
                <w:b/>
                <w:bCs/>
                <w:color w:val="000000"/>
              </w:rPr>
            </w:pPr>
          </w:p>
        </w:tc>
        <w:tc>
          <w:tcPr>
            <w:tcW w:w="4889" w:type="dxa"/>
          </w:tcPr>
          <w:p w:rsidR="00DD41EC" w:rsidRPr="00252ACA" w:rsidRDefault="00DD41EC" w:rsidP="00C24B37">
            <w:pPr>
              <w:jc w:val="both"/>
            </w:pPr>
          </w:p>
        </w:tc>
      </w:tr>
      <w:tr w:rsidR="00DD41EC" w:rsidRPr="00252ACA" w:rsidTr="00C24B37">
        <w:tc>
          <w:tcPr>
            <w:tcW w:w="4889" w:type="dxa"/>
          </w:tcPr>
          <w:p w:rsidR="00DD41EC" w:rsidRPr="00252ACA" w:rsidRDefault="00DD41EC" w:rsidP="00C24B37">
            <w:pPr>
              <w:jc w:val="both"/>
              <w:rPr>
                <w:rFonts w:eastAsia="Times New Roman" w:cs="Tahoma"/>
                <w:b/>
                <w:bCs/>
                <w:color w:val="000000"/>
              </w:rPr>
            </w:pPr>
          </w:p>
        </w:tc>
        <w:tc>
          <w:tcPr>
            <w:tcW w:w="4889" w:type="dxa"/>
          </w:tcPr>
          <w:p w:rsidR="00DD41EC" w:rsidRPr="00252ACA" w:rsidRDefault="00DD41EC" w:rsidP="00C24B37">
            <w:pPr>
              <w:jc w:val="both"/>
            </w:pPr>
          </w:p>
        </w:tc>
      </w:tr>
      <w:tr w:rsidR="00DD41EC" w:rsidRPr="00252ACA" w:rsidTr="00C24B37">
        <w:tc>
          <w:tcPr>
            <w:tcW w:w="4889" w:type="dxa"/>
          </w:tcPr>
          <w:p w:rsidR="00DD41EC" w:rsidRPr="00252ACA" w:rsidRDefault="00DD41EC" w:rsidP="00C24B37">
            <w:pPr>
              <w:jc w:val="both"/>
              <w:rPr>
                <w:rFonts w:eastAsia="Times New Roman" w:cs="Tahoma"/>
                <w:b/>
                <w:bCs/>
                <w:color w:val="000000"/>
              </w:rPr>
            </w:pPr>
          </w:p>
        </w:tc>
        <w:tc>
          <w:tcPr>
            <w:tcW w:w="4889" w:type="dxa"/>
          </w:tcPr>
          <w:p w:rsidR="00DD41EC" w:rsidRPr="00252ACA" w:rsidRDefault="00DD41EC" w:rsidP="00C24B37">
            <w:pPr>
              <w:jc w:val="both"/>
            </w:pPr>
          </w:p>
        </w:tc>
      </w:tr>
      <w:tr w:rsidR="00DD41EC" w:rsidRPr="00252ACA" w:rsidTr="00C24B37">
        <w:tc>
          <w:tcPr>
            <w:tcW w:w="4889" w:type="dxa"/>
          </w:tcPr>
          <w:p w:rsidR="00DD41EC" w:rsidRPr="00252ACA" w:rsidRDefault="00DD41EC" w:rsidP="00C24B37">
            <w:pPr>
              <w:jc w:val="both"/>
              <w:rPr>
                <w:rFonts w:eastAsia="Times New Roman" w:cs="Tahoma"/>
                <w:b/>
                <w:bCs/>
                <w:color w:val="000000"/>
              </w:rPr>
            </w:pPr>
          </w:p>
        </w:tc>
        <w:tc>
          <w:tcPr>
            <w:tcW w:w="4889" w:type="dxa"/>
          </w:tcPr>
          <w:p w:rsidR="00DD41EC" w:rsidRPr="00252ACA" w:rsidRDefault="00DD41EC" w:rsidP="00C24B37">
            <w:pPr>
              <w:jc w:val="both"/>
            </w:pPr>
          </w:p>
        </w:tc>
      </w:tr>
      <w:tr w:rsidR="00DD41EC" w:rsidRPr="00252ACA" w:rsidTr="00C24B37">
        <w:tc>
          <w:tcPr>
            <w:tcW w:w="4889" w:type="dxa"/>
          </w:tcPr>
          <w:p w:rsidR="00DD41EC" w:rsidRPr="00252ACA" w:rsidRDefault="00DD41EC" w:rsidP="00C24B37">
            <w:pPr>
              <w:jc w:val="both"/>
              <w:rPr>
                <w:rFonts w:eastAsia="Times New Roman" w:cs="Tahoma"/>
                <w:b/>
                <w:bCs/>
                <w:color w:val="000000"/>
              </w:rPr>
            </w:pPr>
          </w:p>
        </w:tc>
        <w:tc>
          <w:tcPr>
            <w:tcW w:w="4889" w:type="dxa"/>
          </w:tcPr>
          <w:p w:rsidR="00DD41EC" w:rsidRPr="00252ACA" w:rsidRDefault="00DD41EC" w:rsidP="00C24B37">
            <w:pPr>
              <w:jc w:val="both"/>
            </w:pPr>
          </w:p>
        </w:tc>
      </w:tr>
      <w:tr w:rsidR="00DD41EC" w:rsidRPr="00252ACA" w:rsidTr="00C24B37">
        <w:tc>
          <w:tcPr>
            <w:tcW w:w="4889" w:type="dxa"/>
          </w:tcPr>
          <w:p w:rsidR="00DD41EC" w:rsidRPr="00252ACA" w:rsidRDefault="00DD41EC" w:rsidP="00C24B37">
            <w:pPr>
              <w:jc w:val="both"/>
              <w:rPr>
                <w:rFonts w:eastAsia="Times New Roman" w:cs="Tahoma"/>
                <w:b/>
                <w:bCs/>
                <w:color w:val="000000"/>
              </w:rPr>
            </w:pPr>
          </w:p>
        </w:tc>
        <w:tc>
          <w:tcPr>
            <w:tcW w:w="4889" w:type="dxa"/>
          </w:tcPr>
          <w:p w:rsidR="00DD41EC" w:rsidRPr="00252ACA" w:rsidRDefault="00DD41EC" w:rsidP="00C24B37">
            <w:pPr>
              <w:jc w:val="both"/>
            </w:pPr>
          </w:p>
        </w:tc>
      </w:tr>
    </w:tbl>
    <w:p w:rsidR="007D2987" w:rsidRDefault="007D2987"/>
    <w:sectPr w:rsidR="007D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E7E91"/>
    <w:multiLevelType w:val="hybridMultilevel"/>
    <w:tmpl w:val="01162BF0"/>
    <w:lvl w:ilvl="0" w:tplc="4268FCF8">
      <w:start w:val="1"/>
      <w:numFmt w:val="decimal"/>
      <w:lvlText w:val="%1."/>
      <w:lvlJc w:val="left"/>
      <w:pPr>
        <w:ind w:left="0" w:hanging="360"/>
      </w:pPr>
      <w:rPr>
        <w:rFonts w:hint="default"/>
        <w:b/>
      </w:rPr>
    </w:lvl>
    <w:lvl w:ilvl="1" w:tplc="04060019" w:tentative="1">
      <w:start w:val="1"/>
      <w:numFmt w:val="lowerLetter"/>
      <w:lvlText w:val="%2."/>
      <w:lvlJc w:val="left"/>
      <w:pPr>
        <w:ind w:left="720" w:hanging="360"/>
      </w:pPr>
    </w:lvl>
    <w:lvl w:ilvl="2" w:tplc="0406001B" w:tentative="1">
      <w:start w:val="1"/>
      <w:numFmt w:val="lowerRoman"/>
      <w:lvlText w:val="%3."/>
      <w:lvlJc w:val="right"/>
      <w:pPr>
        <w:ind w:left="1440" w:hanging="180"/>
      </w:pPr>
    </w:lvl>
    <w:lvl w:ilvl="3" w:tplc="0406000F" w:tentative="1">
      <w:start w:val="1"/>
      <w:numFmt w:val="decimal"/>
      <w:lvlText w:val="%4."/>
      <w:lvlJc w:val="left"/>
      <w:pPr>
        <w:ind w:left="2160" w:hanging="360"/>
      </w:pPr>
    </w:lvl>
    <w:lvl w:ilvl="4" w:tplc="04060019" w:tentative="1">
      <w:start w:val="1"/>
      <w:numFmt w:val="lowerLetter"/>
      <w:lvlText w:val="%5."/>
      <w:lvlJc w:val="left"/>
      <w:pPr>
        <w:ind w:left="2880" w:hanging="360"/>
      </w:pPr>
    </w:lvl>
    <w:lvl w:ilvl="5" w:tplc="0406001B" w:tentative="1">
      <w:start w:val="1"/>
      <w:numFmt w:val="lowerRoman"/>
      <w:lvlText w:val="%6."/>
      <w:lvlJc w:val="right"/>
      <w:pPr>
        <w:ind w:left="3600" w:hanging="180"/>
      </w:pPr>
    </w:lvl>
    <w:lvl w:ilvl="6" w:tplc="0406000F" w:tentative="1">
      <w:start w:val="1"/>
      <w:numFmt w:val="decimal"/>
      <w:lvlText w:val="%7."/>
      <w:lvlJc w:val="left"/>
      <w:pPr>
        <w:ind w:left="4320" w:hanging="360"/>
      </w:pPr>
    </w:lvl>
    <w:lvl w:ilvl="7" w:tplc="04060019" w:tentative="1">
      <w:start w:val="1"/>
      <w:numFmt w:val="lowerLetter"/>
      <w:lvlText w:val="%8."/>
      <w:lvlJc w:val="left"/>
      <w:pPr>
        <w:ind w:left="5040" w:hanging="360"/>
      </w:pPr>
    </w:lvl>
    <w:lvl w:ilvl="8" w:tplc="0406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16"/>
    <w:rsid w:val="0000064F"/>
    <w:rsid w:val="00003495"/>
    <w:rsid w:val="00004E16"/>
    <w:rsid w:val="00007E5C"/>
    <w:rsid w:val="000103D3"/>
    <w:rsid w:val="000105E6"/>
    <w:rsid w:val="00011588"/>
    <w:rsid w:val="000127FC"/>
    <w:rsid w:val="000130AA"/>
    <w:rsid w:val="000136B9"/>
    <w:rsid w:val="00020FF5"/>
    <w:rsid w:val="00022E66"/>
    <w:rsid w:val="00025575"/>
    <w:rsid w:val="00026636"/>
    <w:rsid w:val="00031FF6"/>
    <w:rsid w:val="00032D04"/>
    <w:rsid w:val="00035487"/>
    <w:rsid w:val="00037B4C"/>
    <w:rsid w:val="0004355A"/>
    <w:rsid w:val="000462C7"/>
    <w:rsid w:val="0005105E"/>
    <w:rsid w:val="0005176E"/>
    <w:rsid w:val="000614BB"/>
    <w:rsid w:val="00065774"/>
    <w:rsid w:val="00065B9E"/>
    <w:rsid w:val="0007120E"/>
    <w:rsid w:val="00080338"/>
    <w:rsid w:val="00080555"/>
    <w:rsid w:val="000908C0"/>
    <w:rsid w:val="000940F7"/>
    <w:rsid w:val="00095128"/>
    <w:rsid w:val="00097295"/>
    <w:rsid w:val="000A0DBB"/>
    <w:rsid w:val="000A0EC3"/>
    <w:rsid w:val="000A68E6"/>
    <w:rsid w:val="000A7149"/>
    <w:rsid w:val="000B1CB4"/>
    <w:rsid w:val="000B4C1D"/>
    <w:rsid w:val="000B4E15"/>
    <w:rsid w:val="000B7E32"/>
    <w:rsid w:val="000B7F89"/>
    <w:rsid w:val="000C1A54"/>
    <w:rsid w:val="000C656F"/>
    <w:rsid w:val="000C6A52"/>
    <w:rsid w:val="000C7188"/>
    <w:rsid w:val="000D34B7"/>
    <w:rsid w:val="000D3CC0"/>
    <w:rsid w:val="000E09A0"/>
    <w:rsid w:val="000E1474"/>
    <w:rsid w:val="000E2F5E"/>
    <w:rsid w:val="000E588F"/>
    <w:rsid w:val="000E6EF4"/>
    <w:rsid w:val="000F1701"/>
    <w:rsid w:val="000F194B"/>
    <w:rsid w:val="000F3138"/>
    <w:rsid w:val="001024A9"/>
    <w:rsid w:val="001124A9"/>
    <w:rsid w:val="00112F7A"/>
    <w:rsid w:val="00114ED5"/>
    <w:rsid w:val="00117045"/>
    <w:rsid w:val="00120B57"/>
    <w:rsid w:val="001232FA"/>
    <w:rsid w:val="00125229"/>
    <w:rsid w:val="001337F1"/>
    <w:rsid w:val="001361E0"/>
    <w:rsid w:val="00141A8F"/>
    <w:rsid w:val="00141BF9"/>
    <w:rsid w:val="00141D4B"/>
    <w:rsid w:val="00143D7B"/>
    <w:rsid w:val="0014556D"/>
    <w:rsid w:val="0014595B"/>
    <w:rsid w:val="00146F6D"/>
    <w:rsid w:val="00156450"/>
    <w:rsid w:val="00156BFC"/>
    <w:rsid w:val="00164440"/>
    <w:rsid w:val="001657B0"/>
    <w:rsid w:val="00166E0B"/>
    <w:rsid w:val="00166F13"/>
    <w:rsid w:val="001678AD"/>
    <w:rsid w:val="001700F8"/>
    <w:rsid w:val="00171C6A"/>
    <w:rsid w:val="00171E79"/>
    <w:rsid w:val="00176E4C"/>
    <w:rsid w:val="001803A8"/>
    <w:rsid w:val="00183146"/>
    <w:rsid w:val="00183ACF"/>
    <w:rsid w:val="00183F7A"/>
    <w:rsid w:val="00185135"/>
    <w:rsid w:val="001861C5"/>
    <w:rsid w:val="00191E6E"/>
    <w:rsid w:val="00192C60"/>
    <w:rsid w:val="001931B5"/>
    <w:rsid w:val="001932D8"/>
    <w:rsid w:val="00194B3E"/>
    <w:rsid w:val="00195450"/>
    <w:rsid w:val="00195B21"/>
    <w:rsid w:val="001A06FD"/>
    <w:rsid w:val="001A0DCE"/>
    <w:rsid w:val="001A10D7"/>
    <w:rsid w:val="001A6CB1"/>
    <w:rsid w:val="001B02CD"/>
    <w:rsid w:val="001B1ED2"/>
    <w:rsid w:val="001B33C0"/>
    <w:rsid w:val="001B351E"/>
    <w:rsid w:val="001B6AEF"/>
    <w:rsid w:val="001C3FFA"/>
    <w:rsid w:val="001C73EC"/>
    <w:rsid w:val="001C7F75"/>
    <w:rsid w:val="001D2216"/>
    <w:rsid w:val="001D4034"/>
    <w:rsid w:val="001D463A"/>
    <w:rsid w:val="001D70E3"/>
    <w:rsid w:val="001E0108"/>
    <w:rsid w:val="001E47E3"/>
    <w:rsid w:val="001E7833"/>
    <w:rsid w:val="001F1BB2"/>
    <w:rsid w:val="001F3397"/>
    <w:rsid w:val="001F36C6"/>
    <w:rsid w:val="001F51F8"/>
    <w:rsid w:val="001F5226"/>
    <w:rsid w:val="001F7C77"/>
    <w:rsid w:val="002047E7"/>
    <w:rsid w:val="0021287B"/>
    <w:rsid w:val="00213CD9"/>
    <w:rsid w:val="0021413D"/>
    <w:rsid w:val="00214191"/>
    <w:rsid w:val="002146F8"/>
    <w:rsid w:val="00214974"/>
    <w:rsid w:val="002158CD"/>
    <w:rsid w:val="002173BB"/>
    <w:rsid w:val="002206D4"/>
    <w:rsid w:val="00222C83"/>
    <w:rsid w:val="00225E8F"/>
    <w:rsid w:val="00226C60"/>
    <w:rsid w:val="002278F8"/>
    <w:rsid w:val="002336DC"/>
    <w:rsid w:val="0024404F"/>
    <w:rsid w:val="002446FC"/>
    <w:rsid w:val="0024481E"/>
    <w:rsid w:val="00247DF8"/>
    <w:rsid w:val="00252D59"/>
    <w:rsid w:val="00252ECC"/>
    <w:rsid w:val="00255762"/>
    <w:rsid w:val="00256A00"/>
    <w:rsid w:val="00265C2A"/>
    <w:rsid w:val="0027159C"/>
    <w:rsid w:val="002768F6"/>
    <w:rsid w:val="002929EC"/>
    <w:rsid w:val="00296EBB"/>
    <w:rsid w:val="002A05AF"/>
    <w:rsid w:val="002A1297"/>
    <w:rsid w:val="002A4692"/>
    <w:rsid w:val="002A5EB3"/>
    <w:rsid w:val="002B0BB9"/>
    <w:rsid w:val="002B0CFF"/>
    <w:rsid w:val="002B6B69"/>
    <w:rsid w:val="002C079C"/>
    <w:rsid w:val="002C19A7"/>
    <w:rsid w:val="002C4B01"/>
    <w:rsid w:val="002C5E8F"/>
    <w:rsid w:val="002C6F92"/>
    <w:rsid w:val="002D04BC"/>
    <w:rsid w:val="002D0EEF"/>
    <w:rsid w:val="002D5021"/>
    <w:rsid w:val="002D6494"/>
    <w:rsid w:val="002D76D7"/>
    <w:rsid w:val="002E550A"/>
    <w:rsid w:val="002F2155"/>
    <w:rsid w:val="002F6AC7"/>
    <w:rsid w:val="002F7A41"/>
    <w:rsid w:val="003014AB"/>
    <w:rsid w:val="00302995"/>
    <w:rsid w:val="0030357F"/>
    <w:rsid w:val="003047CF"/>
    <w:rsid w:val="0030541D"/>
    <w:rsid w:val="00306F39"/>
    <w:rsid w:val="0030724D"/>
    <w:rsid w:val="00307891"/>
    <w:rsid w:val="00310E25"/>
    <w:rsid w:val="0031238D"/>
    <w:rsid w:val="00325096"/>
    <w:rsid w:val="0032509E"/>
    <w:rsid w:val="003307C2"/>
    <w:rsid w:val="003426B9"/>
    <w:rsid w:val="003440CD"/>
    <w:rsid w:val="003452F1"/>
    <w:rsid w:val="0034640F"/>
    <w:rsid w:val="00351062"/>
    <w:rsid w:val="00351696"/>
    <w:rsid w:val="00352C99"/>
    <w:rsid w:val="00355EB4"/>
    <w:rsid w:val="00363121"/>
    <w:rsid w:val="003634B5"/>
    <w:rsid w:val="003644B9"/>
    <w:rsid w:val="003700C5"/>
    <w:rsid w:val="00372F4B"/>
    <w:rsid w:val="00375B54"/>
    <w:rsid w:val="00377D12"/>
    <w:rsid w:val="003846F9"/>
    <w:rsid w:val="003855EE"/>
    <w:rsid w:val="00385C27"/>
    <w:rsid w:val="00386A0B"/>
    <w:rsid w:val="00390CAD"/>
    <w:rsid w:val="00390FEB"/>
    <w:rsid w:val="0039112D"/>
    <w:rsid w:val="0039478A"/>
    <w:rsid w:val="00397B84"/>
    <w:rsid w:val="003A0963"/>
    <w:rsid w:val="003A16F2"/>
    <w:rsid w:val="003A17D0"/>
    <w:rsid w:val="003A1D2A"/>
    <w:rsid w:val="003A2B80"/>
    <w:rsid w:val="003A3A6C"/>
    <w:rsid w:val="003B48EE"/>
    <w:rsid w:val="003C10D0"/>
    <w:rsid w:val="003C16DA"/>
    <w:rsid w:val="003D6850"/>
    <w:rsid w:val="003E0585"/>
    <w:rsid w:val="003E08B4"/>
    <w:rsid w:val="003E0C31"/>
    <w:rsid w:val="003E35CD"/>
    <w:rsid w:val="003F01CE"/>
    <w:rsid w:val="003F16CE"/>
    <w:rsid w:val="003F37DD"/>
    <w:rsid w:val="00400D1E"/>
    <w:rsid w:val="0040111E"/>
    <w:rsid w:val="004013AE"/>
    <w:rsid w:val="00402996"/>
    <w:rsid w:val="00402D00"/>
    <w:rsid w:val="004054F3"/>
    <w:rsid w:val="004062D0"/>
    <w:rsid w:val="0041687E"/>
    <w:rsid w:val="004210CF"/>
    <w:rsid w:val="00422E08"/>
    <w:rsid w:val="00423357"/>
    <w:rsid w:val="00423F69"/>
    <w:rsid w:val="00430370"/>
    <w:rsid w:val="00430F9D"/>
    <w:rsid w:val="004317D3"/>
    <w:rsid w:val="00431B6B"/>
    <w:rsid w:val="00432AAF"/>
    <w:rsid w:val="00434744"/>
    <w:rsid w:val="0043477C"/>
    <w:rsid w:val="004359C7"/>
    <w:rsid w:val="00436DA6"/>
    <w:rsid w:val="00440615"/>
    <w:rsid w:val="004414CA"/>
    <w:rsid w:val="00442C2F"/>
    <w:rsid w:val="00443EC6"/>
    <w:rsid w:val="00447027"/>
    <w:rsid w:val="00447EDF"/>
    <w:rsid w:val="0045397F"/>
    <w:rsid w:val="004576EC"/>
    <w:rsid w:val="0046080F"/>
    <w:rsid w:val="00462885"/>
    <w:rsid w:val="0046533D"/>
    <w:rsid w:val="004708E0"/>
    <w:rsid w:val="00475E30"/>
    <w:rsid w:val="0049012A"/>
    <w:rsid w:val="0049303C"/>
    <w:rsid w:val="00496A9C"/>
    <w:rsid w:val="004B172D"/>
    <w:rsid w:val="004B38A2"/>
    <w:rsid w:val="004B41A0"/>
    <w:rsid w:val="004B42B5"/>
    <w:rsid w:val="004B6B8A"/>
    <w:rsid w:val="004C036B"/>
    <w:rsid w:val="004C2809"/>
    <w:rsid w:val="004C28C0"/>
    <w:rsid w:val="004C361F"/>
    <w:rsid w:val="004C41C8"/>
    <w:rsid w:val="004C4B4F"/>
    <w:rsid w:val="004C55D7"/>
    <w:rsid w:val="004D1BC3"/>
    <w:rsid w:val="004D3ACC"/>
    <w:rsid w:val="004D45A6"/>
    <w:rsid w:val="004E3F8A"/>
    <w:rsid w:val="004E616C"/>
    <w:rsid w:val="004F196B"/>
    <w:rsid w:val="004F2D70"/>
    <w:rsid w:val="004F33F3"/>
    <w:rsid w:val="004F36BA"/>
    <w:rsid w:val="005001DD"/>
    <w:rsid w:val="005020FC"/>
    <w:rsid w:val="00502FF3"/>
    <w:rsid w:val="00503A03"/>
    <w:rsid w:val="00504D9B"/>
    <w:rsid w:val="00507A12"/>
    <w:rsid w:val="00513ECC"/>
    <w:rsid w:val="0051670D"/>
    <w:rsid w:val="00531796"/>
    <w:rsid w:val="00533DB0"/>
    <w:rsid w:val="00536972"/>
    <w:rsid w:val="00542C2B"/>
    <w:rsid w:val="00542C87"/>
    <w:rsid w:val="00545317"/>
    <w:rsid w:val="00546955"/>
    <w:rsid w:val="00547309"/>
    <w:rsid w:val="00550436"/>
    <w:rsid w:val="00556F00"/>
    <w:rsid w:val="005672B8"/>
    <w:rsid w:val="00571AD9"/>
    <w:rsid w:val="005727C8"/>
    <w:rsid w:val="00572AB0"/>
    <w:rsid w:val="00573CE9"/>
    <w:rsid w:val="00580EFE"/>
    <w:rsid w:val="00581AC7"/>
    <w:rsid w:val="00581BE0"/>
    <w:rsid w:val="00581FFC"/>
    <w:rsid w:val="005834FC"/>
    <w:rsid w:val="00587B8F"/>
    <w:rsid w:val="00592470"/>
    <w:rsid w:val="005945F3"/>
    <w:rsid w:val="00596B16"/>
    <w:rsid w:val="005B0152"/>
    <w:rsid w:val="005B19BC"/>
    <w:rsid w:val="005B5796"/>
    <w:rsid w:val="005C6138"/>
    <w:rsid w:val="005C6A5C"/>
    <w:rsid w:val="005D001A"/>
    <w:rsid w:val="005D03F5"/>
    <w:rsid w:val="005D3379"/>
    <w:rsid w:val="005D50D0"/>
    <w:rsid w:val="005D51A5"/>
    <w:rsid w:val="005D5397"/>
    <w:rsid w:val="005D58BB"/>
    <w:rsid w:val="005E1A44"/>
    <w:rsid w:val="005E3ED1"/>
    <w:rsid w:val="005F1E61"/>
    <w:rsid w:val="005F5464"/>
    <w:rsid w:val="005F571F"/>
    <w:rsid w:val="006029E5"/>
    <w:rsid w:val="00605B04"/>
    <w:rsid w:val="00606DA8"/>
    <w:rsid w:val="00607A5F"/>
    <w:rsid w:val="00611CAA"/>
    <w:rsid w:val="006147D6"/>
    <w:rsid w:val="0061759F"/>
    <w:rsid w:val="00617F3A"/>
    <w:rsid w:val="00636944"/>
    <w:rsid w:val="00637B58"/>
    <w:rsid w:val="00641D2B"/>
    <w:rsid w:val="0064209B"/>
    <w:rsid w:val="006440BE"/>
    <w:rsid w:val="006449A0"/>
    <w:rsid w:val="00651F98"/>
    <w:rsid w:val="00652988"/>
    <w:rsid w:val="00654482"/>
    <w:rsid w:val="0065458B"/>
    <w:rsid w:val="006605C0"/>
    <w:rsid w:val="00662DEF"/>
    <w:rsid w:val="00667070"/>
    <w:rsid w:val="00672485"/>
    <w:rsid w:val="00672A6F"/>
    <w:rsid w:val="00676B76"/>
    <w:rsid w:val="00681634"/>
    <w:rsid w:val="00684B7F"/>
    <w:rsid w:val="00684BDC"/>
    <w:rsid w:val="00684FEF"/>
    <w:rsid w:val="00686E55"/>
    <w:rsid w:val="00690990"/>
    <w:rsid w:val="0069120D"/>
    <w:rsid w:val="006926B8"/>
    <w:rsid w:val="006930D8"/>
    <w:rsid w:val="00695531"/>
    <w:rsid w:val="00695E82"/>
    <w:rsid w:val="006975EC"/>
    <w:rsid w:val="006A2B2E"/>
    <w:rsid w:val="006A3232"/>
    <w:rsid w:val="006A37EB"/>
    <w:rsid w:val="006A3993"/>
    <w:rsid w:val="006A566C"/>
    <w:rsid w:val="006A6988"/>
    <w:rsid w:val="006A7E48"/>
    <w:rsid w:val="006B2D27"/>
    <w:rsid w:val="006C158F"/>
    <w:rsid w:val="006C383A"/>
    <w:rsid w:val="006D0C26"/>
    <w:rsid w:val="006D7ACA"/>
    <w:rsid w:val="006E79D9"/>
    <w:rsid w:val="006E7E52"/>
    <w:rsid w:val="006F3B1E"/>
    <w:rsid w:val="006F3C75"/>
    <w:rsid w:val="006F60C9"/>
    <w:rsid w:val="006F6417"/>
    <w:rsid w:val="00700118"/>
    <w:rsid w:val="00701E47"/>
    <w:rsid w:val="007039EB"/>
    <w:rsid w:val="0070737C"/>
    <w:rsid w:val="00707E60"/>
    <w:rsid w:val="00712FDC"/>
    <w:rsid w:val="0071350D"/>
    <w:rsid w:val="0071450E"/>
    <w:rsid w:val="00715BA1"/>
    <w:rsid w:val="00717FF2"/>
    <w:rsid w:val="00724955"/>
    <w:rsid w:val="0073272E"/>
    <w:rsid w:val="00737720"/>
    <w:rsid w:val="007411FD"/>
    <w:rsid w:val="0074368D"/>
    <w:rsid w:val="00744B34"/>
    <w:rsid w:val="00747C29"/>
    <w:rsid w:val="007504CE"/>
    <w:rsid w:val="007524C4"/>
    <w:rsid w:val="007563EA"/>
    <w:rsid w:val="00756E26"/>
    <w:rsid w:val="00757DBB"/>
    <w:rsid w:val="007634BB"/>
    <w:rsid w:val="00765F7E"/>
    <w:rsid w:val="007666C8"/>
    <w:rsid w:val="00767692"/>
    <w:rsid w:val="0077121D"/>
    <w:rsid w:val="007712D3"/>
    <w:rsid w:val="007729E1"/>
    <w:rsid w:val="00773491"/>
    <w:rsid w:val="00776387"/>
    <w:rsid w:val="0079548B"/>
    <w:rsid w:val="007A1CF3"/>
    <w:rsid w:val="007A2B2A"/>
    <w:rsid w:val="007A444B"/>
    <w:rsid w:val="007A58BF"/>
    <w:rsid w:val="007A65BD"/>
    <w:rsid w:val="007B0FB2"/>
    <w:rsid w:val="007B6C7A"/>
    <w:rsid w:val="007C2B4F"/>
    <w:rsid w:val="007C3177"/>
    <w:rsid w:val="007C5B38"/>
    <w:rsid w:val="007C68EE"/>
    <w:rsid w:val="007D02F3"/>
    <w:rsid w:val="007D2987"/>
    <w:rsid w:val="007D50E5"/>
    <w:rsid w:val="007D5877"/>
    <w:rsid w:val="007D5FFA"/>
    <w:rsid w:val="007D6868"/>
    <w:rsid w:val="007D7AD5"/>
    <w:rsid w:val="007E21DB"/>
    <w:rsid w:val="007E45BF"/>
    <w:rsid w:val="007E51C3"/>
    <w:rsid w:val="007F0947"/>
    <w:rsid w:val="007F2BAD"/>
    <w:rsid w:val="007F32E4"/>
    <w:rsid w:val="007F3572"/>
    <w:rsid w:val="007F38B9"/>
    <w:rsid w:val="007F60DB"/>
    <w:rsid w:val="007F6289"/>
    <w:rsid w:val="00800076"/>
    <w:rsid w:val="00800BF1"/>
    <w:rsid w:val="00801D83"/>
    <w:rsid w:val="008060DB"/>
    <w:rsid w:val="00806CDC"/>
    <w:rsid w:val="00810D1B"/>
    <w:rsid w:val="00812DE7"/>
    <w:rsid w:val="008148AC"/>
    <w:rsid w:val="00817B4A"/>
    <w:rsid w:val="00824BAA"/>
    <w:rsid w:val="00825AB1"/>
    <w:rsid w:val="00826CBD"/>
    <w:rsid w:val="008303E8"/>
    <w:rsid w:val="00833C80"/>
    <w:rsid w:val="00844279"/>
    <w:rsid w:val="00845D3F"/>
    <w:rsid w:val="00850098"/>
    <w:rsid w:val="008515D5"/>
    <w:rsid w:val="00853173"/>
    <w:rsid w:val="008631ED"/>
    <w:rsid w:val="0086489F"/>
    <w:rsid w:val="0086505D"/>
    <w:rsid w:val="00865363"/>
    <w:rsid w:val="0086602B"/>
    <w:rsid w:val="00866FC0"/>
    <w:rsid w:val="00872A52"/>
    <w:rsid w:val="00873547"/>
    <w:rsid w:val="00875C45"/>
    <w:rsid w:val="00875FAB"/>
    <w:rsid w:val="00876AB5"/>
    <w:rsid w:val="0088251A"/>
    <w:rsid w:val="00883564"/>
    <w:rsid w:val="00887A94"/>
    <w:rsid w:val="00887F0E"/>
    <w:rsid w:val="00890571"/>
    <w:rsid w:val="00890C9E"/>
    <w:rsid w:val="00892876"/>
    <w:rsid w:val="008928A8"/>
    <w:rsid w:val="008968C9"/>
    <w:rsid w:val="0089780A"/>
    <w:rsid w:val="008A30D4"/>
    <w:rsid w:val="008A3697"/>
    <w:rsid w:val="008A4DAE"/>
    <w:rsid w:val="008B0427"/>
    <w:rsid w:val="008B17F1"/>
    <w:rsid w:val="008B2005"/>
    <w:rsid w:val="008B51D5"/>
    <w:rsid w:val="008B69F3"/>
    <w:rsid w:val="008C7021"/>
    <w:rsid w:val="008D43E3"/>
    <w:rsid w:val="008D4449"/>
    <w:rsid w:val="008D7EEC"/>
    <w:rsid w:val="008E5FF1"/>
    <w:rsid w:val="008E66DF"/>
    <w:rsid w:val="008F18BE"/>
    <w:rsid w:val="008F1C18"/>
    <w:rsid w:val="008F25E3"/>
    <w:rsid w:val="008F32DD"/>
    <w:rsid w:val="008F60C3"/>
    <w:rsid w:val="00901A90"/>
    <w:rsid w:val="00902A3C"/>
    <w:rsid w:val="00912DD8"/>
    <w:rsid w:val="00913734"/>
    <w:rsid w:val="00915B7F"/>
    <w:rsid w:val="00920F48"/>
    <w:rsid w:val="009226ED"/>
    <w:rsid w:val="00922D88"/>
    <w:rsid w:val="00923068"/>
    <w:rsid w:val="0092316F"/>
    <w:rsid w:val="009239A9"/>
    <w:rsid w:val="0093219A"/>
    <w:rsid w:val="009328D9"/>
    <w:rsid w:val="00934860"/>
    <w:rsid w:val="00937855"/>
    <w:rsid w:val="00940964"/>
    <w:rsid w:val="00940BB8"/>
    <w:rsid w:val="00940CEF"/>
    <w:rsid w:val="00942D49"/>
    <w:rsid w:val="00947BD2"/>
    <w:rsid w:val="0095022E"/>
    <w:rsid w:val="00950DD7"/>
    <w:rsid w:val="0095190C"/>
    <w:rsid w:val="00956EAA"/>
    <w:rsid w:val="009602DB"/>
    <w:rsid w:val="00962C71"/>
    <w:rsid w:val="0096399B"/>
    <w:rsid w:val="00967968"/>
    <w:rsid w:val="00970026"/>
    <w:rsid w:val="009718EF"/>
    <w:rsid w:val="009725A8"/>
    <w:rsid w:val="00974460"/>
    <w:rsid w:val="00974830"/>
    <w:rsid w:val="0097706E"/>
    <w:rsid w:val="009803DA"/>
    <w:rsid w:val="0098040F"/>
    <w:rsid w:val="0098117A"/>
    <w:rsid w:val="009846C1"/>
    <w:rsid w:val="00990DC8"/>
    <w:rsid w:val="0099143A"/>
    <w:rsid w:val="00992E7F"/>
    <w:rsid w:val="00996746"/>
    <w:rsid w:val="009A567A"/>
    <w:rsid w:val="009A705E"/>
    <w:rsid w:val="009B4025"/>
    <w:rsid w:val="009C09FF"/>
    <w:rsid w:val="009C1BC2"/>
    <w:rsid w:val="009C65E2"/>
    <w:rsid w:val="009C7899"/>
    <w:rsid w:val="009D458D"/>
    <w:rsid w:val="009D7CE1"/>
    <w:rsid w:val="009E0BB6"/>
    <w:rsid w:val="009E44D9"/>
    <w:rsid w:val="009E6D90"/>
    <w:rsid w:val="009F291C"/>
    <w:rsid w:val="009F3A5C"/>
    <w:rsid w:val="009F3B5A"/>
    <w:rsid w:val="009F7402"/>
    <w:rsid w:val="00A01527"/>
    <w:rsid w:val="00A11CD1"/>
    <w:rsid w:val="00A14178"/>
    <w:rsid w:val="00A14624"/>
    <w:rsid w:val="00A20785"/>
    <w:rsid w:val="00A23024"/>
    <w:rsid w:val="00A25051"/>
    <w:rsid w:val="00A302B1"/>
    <w:rsid w:val="00A30DAC"/>
    <w:rsid w:val="00A31F49"/>
    <w:rsid w:val="00A3347A"/>
    <w:rsid w:val="00A336BF"/>
    <w:rsid w:val="00A35554"/>
    <w:rsid w:val="00A35797"/>
    <w:rsid w:val="00A4278C"/>
    <w:rsid w:val="00A436F6"/>
    <w:rsid w:val="00A43CA0"/>
    <w:rsid w:val="00A45566"/>
    <w:rsid w:val="00A502A6"/>
    <w:rsid w:val="00A50F97"/>
    <w:rsid w:val="00A512A3"/>
    <w:rsid w:val="00A54113"/>
    <w:rsid w:val="00A5467A"/>
    <w:rsid w:val="00A57B0A"/>
    <w:rsid w:val="00A605BB"/>
    <w:rsid w:val="00A60D00"/>
    <w:rsid w:val="00A60FC4"/>
    <w:rsid w:val="00A616F1"/>
    <w:rsid w:val="00A622DE"/>
    <w:rsid w:val="00A633F0"/>
    <w:rsid w:val="00A7742A"/>
    <w:rsid w:val="00A81771"/>
    <w:rsid w:val="00A81AB6"/>
    <w:rsid w:val="00A82E7C"/>
    <w:rsid w:val="00A85E98"/>
    <w:rsid w:val="00A879D8"/>
    <w:rsid w:val="00A9221A"/>
    <w:rsid w:val="00A9633C"/>
    <w:rsid w:val="00A9688A"/>
    <w:rsid w:val="00A96C47"/>
    <w:rsid w:val="00A97CFA"/>
    <w:rsid w:val="00AB587A"/>
    <w:rsid w:val="00AC78F8"/>
    <w:rsid w:val="00AC7BA9"/>
    <w:rsid w:val="00AD2362"/>
    <w:rsid w:val="00AD3158"/>
    <w:rsid w:val="00AD3BB3"/>
    <w:rsid w:val="00AE03FF"/>
    <w:rsid w:val="00AE1D09"/>
    <w:rsid w:val="00AF05D4"/>
    <w:rsid w:val="00AF15DB"/>
    <w:rsid w:val="00AF1B24"/>
    <w:rsid w:val="00AF2510"/>
    <w:rsid w:val="00AF3247"/>
    <w:rsid w:val="00AF7C24"/>
    <w:rsid w:val="00B00405"/>
    <w:rsid w:val="00B036B6"/>
    <w:rsid w:val="00B10E90"/>
    <w:rsid w:val="00B130EF"/>
    <w:rsid w:val="00B16DBA"/>
    <w:rsid w:val="00B20880"/>
    <w:rsid w:val="00B22E19"/>
    <w:rsid w:val="00B24FB5"/>
    <w:rsid w:val="00B27754"/>
    <w:rsid w:val="00B3006F"/>
    <w:rsid w:val="00B33A84"/>
    <w:rsid w:val="00B4076D"/>
    <w:rsid w:val="00B4262D"/>
    <w:rsid w:val="00B56763"/>
    <w:rsid w:val="00B60B6C"/>
    <w:rsid w:val="00B63601"/>
    <w:rsid w:val="00B71B0D"/>
    <w:rsid w:val="00B74300"/>
    <w:rsid w:val="00B75613"/>
    <w:rsid w:val="00B76DC1"/>
    <w:rsid w:val="00B772AB"/>
    <w:rsid w:val="00B8008C"/>
    <w:rsid w:val="00B80CA8"/>
    <w:rsid w:val="00B8379B"/>
    <w:rsid w:val="00B9515C"/>
    <w:rsid w:val="00BA03B0"/>
    <w:rsid w:val="00BA1FA2"/>
    <w:rsid w:val="00BA6A95"/>
    <w:rsid w:val="00BB00D0"/>
    <w:rsid w:val="00BB3BAA"/>
    <w:rsid w:val="00BB5F75"/>
    <w:rsid w:val="00BB7064"/>
    <w:rsid w:val="00BC11B7"/>
    <w:rsid w:val="00BC51D5"/>
    <w:rsid w:val="00BC76B1"/>
    <w:rsid w:val="00BD02E0"/>
    <w:rsid w:val="00BD315C"/>
    <w:rsid w:val="00BD4080"/>
    <w:rsid w:val="00BD49B0"/>
    <w:rsid w:val="00BD72E2"/>
    <w:rsid w:val="00BF41F4"/>
    <w:rsid w:val="00BF6B4B"/>
    <w:rsid w:val="00BF6C9C"/>
    <w:rsid w:val="00BF7366"/>
    <w:rsid w:val="00C006F1"/>
    <w:rsid w:val="00C056D6"/>
    <w:rsid w:val="00C05B06"/>
    <w:rsid w:val="00C16027"/>
    <w:rsid w:val="00C16836"/>
    <w:rsid w:val="00C1740A"/>
    <w:rsid w:val="00C22E70"/>
    <w:rsid w:val="00C24B37"/>
    <w:rsid w:val="00C2755D"/>
    <w:rsid w:val="00C31679"/>
    <w:rsid w:val="00C32797"/>
    <w:rsid w:val="00C3282E"/>
    <w:rsid w:val="00C40D76"/>
    <w:rsid w:val="00C47C36"/>
    <w:rsid w:val="00C51211"/>
    <w:rsid w:val="00C54A3C"/>
    <w:rsid w:val="00C62D1B"/>
    <w:rsid w:val="00C6748A"/>
    <w:rsid w:val="00C7187D"/>
    <w:rsid w:val="00C727C8"/>
    <w:rsid w:val="00C74DD0"/>
    <w:rsid w:val="00C75304"/>
    <w:rsid w:val="00C75631"/>
    <w:rsid w:val="00C83222"/>
    <w:rsid w:val="00C94C85"/>
    <w:rsid w:val="00C96048"/>
    <w:rsid w:val="00C974AA"/>
    <w:rsid w:val="00CA0FD1"/>
    <w:rsid w:val="00CA1F02"/>
    <w:rsid w:val="00CA20F7"/>
    <w:rsid w:val="00CA30C7"/>
    <w:rsid w:val="00CA7116"/>
    <w:rsid w:val="00CA7922"/>
    <w:rsid w:val="00CB56F7"/>
    <w:rsid w:val="00CC0B1F"/>
    <w:rsid w:val="00CC0EF9"/>
    <w:rsid w:val="00CC441A"/>
    <w:rsid w:val="00CC6F23"/>
    <w:rsid w:val="00CE06A7"/>
    <w:rsid w:val="00CE15F0"/>
    <w:rsid w:val="00CE5091"/>
    <w:rsid w:val="00CF0965"/>
    <w:rsid w:val="00CF1E94"/>
    <w:rsid w:val="00CF3DC7"/>
    <w:rsid w:val="00CF5766"/>
    <w:rsid w:val="00CF5F50"/>
    <w:rsid w:val="00CF7A55"/>
    <w:rsid w:val="00D03224"/>
    <w:rsid w:val="00D0657D"/>
    <w:rsid w:val="00D06C58"/>
    <w:rsid w:val="00D10DC0"/>
    <w:rsid w:val="00D135BB"/>
    <w:rsid w:val="00D14E0F"/>
    <w:rsid w:val="00D1632C"/>
    <w:rsid w:val="00D17AB6"/>
    <w:rsid w:val="00D2619B"/>
    <w:rsid w:val="00D27A8E"/>
    <w:rsid w:val="00D303F6"/>
    <w:rsid w:val="00D34BB9"/>
    <w:rsid w:val="00D3612B"/>
    <w:rsid w:val="00D41AF4"/>
    <w:rsid w:val="00D428F2"/>
    <w:rsid w:val="00D42F1D"/>
    <w:rsid w:val="00D43E48"/>
    <w:rsid w:val="00D44BD6"/>
    <w:rsid w:val="00D47667"/>
    <w:rsid w:val="00D543CE"/>
    <w:rsid w:val="00D555E7"/>
    <w:rsid w:val="00D56C0F"/>
    <w:rsid w:val="00D5740F"/>
    <w:rsid w:val="00D635A0"/>
    <w:rsid w:val="00D650E5"/>
    <w:rsid w:val="00D669A4"/>
    <w:rsid w:val="00D678EF"/>
    <w:rsid w:val="00D700BC"/>
    <w:rsid w:val="00D70869"/>
    <w:rsid w:val="00D72006"/>
    <w:rsid w:val="00D767B1"/>
    <w:rsid w:val="00D80550"/>
    <w:rsid w:val="00D83B60"/>
    <w:rsid w:val="00D84693"/>
    <w:rsid w:val="00D908E5"/>
    <w:rsid w:val="00D91BED"/>
    <w:rsid w:val="00D92960"/>
    <w:rsid w:val="00D93C8E"/>
    <w:rsid w:val="00D941B5"/>
    <w:rsid w:val="00D9445C"/>
    <w:rsid w:val="00D94B7D"/>
    <w:rsid w:val="00DA0527"/>
    <w:rsid w:val="00DA0D6D"/>
    <w:rsid w:val="00DA11E7"/>
    <w:rsid w:val="00DA31B2"/>
    <w:rsid w:val="00DA334C"/>
    <w:rsid w:val="00DD120A"/>
    <w:rsid w:val="00DD15F3"/>
    <w:rsid w:val="00DD24FD"/>
    <w:rsid w:val="00DD2B01"/>
    <w:rsid w:val="00DD41EC"/>
    <w:rsid w:val="00DD4337"/>
    <w:rsid w:val="00DD5E0B"/>
    <w:rsid w:val="00DE1DBF"/>
    <w:rsid w:val="00DE1DE4"/>
    <w:rsid w:val="00DE26A5"/>
    <w:rsid w:val="00DE2B52"/>
    <w:rsid w:val="00DE32D0"/>
    <w:rsid w:val="00DE3E57"/>
    <w:rsid w:val="00DE5924"/>
    <w:rsid w:val="00DF1A59"/>
    <w:rsid w:val="00DF3FD8"/>
    <w:rsid w:val="00DF4BDC"/>
    <w:rsid w:val="00DF5AA0"/>
    <w:rsid w:val="00DF673C"/>
    <w:rsid w:val="00DF7F90"/>
    <w:rsid w:val="00E03868"/>
    <w:rsid w:val="00E054B5"/>
    <w:rsid w:val="00E07C84"/>
    <w:rsid w:val="00E10CDD"/>
    <w:rsid w:val="00E11A70"/>
    <w:rsid w:val="00E13DA1"/>
    <w:rsid w:val="00E141C0"/>
    <w:rsid w:val="00E14BF4"/>
    <w:rsid w:val="00E15696"/>
    <w:rsid w:val="00E23C62"/>
    <w:rsid w:val="00E24E7F"/>
    <w:rsid w:val="00E25134"/>
    <w:rsid w:val="00E3124A"/>
    <w:rsid w:val="00E353E6"/>
    <w:rsid w:val="00E36867"/>
    <w:rsid w:val="00E36EEB"/>
    <w:rsid w:val="00E37D05"/>
    <w:rsid w:val="00E41B6F"/>
    <w:rsid w:val="00E45623"/>
    <w:rsid w:val="00E45ED0"/>
    <w:rsid w:val="00E5000F"/>
    <w:rsid w:val="00E5097E"/>
    <w:rsid w:val="00E50D08"/>
    <w:rsid w:val="00E545D7"/>
    <w:rsid w:val="00E56366"/>
    <w:rsid w:val="00E60A1A"/>
    <w:rsid w:val="00E614A4"/>
    <w:rsid w:val="00E649E7"/>
    <w:rsid w:val="00E653FC"/>
    <w:rsid w:val="00E656F3"/>
    <w:rsid w:val="00E66E54"/>
    <w:rsid w:val="00E67418"/>
    <w:rsid w:val="00E73305"/>
    <w:rsid w:val="00E745F8"/>
    <w:rsid w:val="00E77960"/>
    <w:rsid w:val="00E846EA"/>
    <w:rsid w:val="00E86F81"/>
    <w:rsid w:val="00E8701D"/>
    <w:rsid w:val="00E87C22"/>
    <w:rsid w:val="00E95605"/>
    <w:rsid w:val="00E9666F"/>
    <w:rsid w:val="00EA10FB"/>
    <w:rsid w:val="00EA3E7C"/>
    <w:rsid w:val="00EA4D1A"/>
    <w:rsid w:val="00EB0E54"/>
    <w:rsid w:val="00EB2E23"/>
    <w:rsid w:val="00EB7A03"/>
    <w:rsid w:val="00EC03E7"/>
    <w:rsid w:val="00EC0F05"/>
    <w:rsid w:val="00ED01D3"/>
    <w:rsid w:val="00ED0BED"/>
    <w:rsid w:val="00EE3BA6"/>
    <w:rsid w:val="00EE4342"/>
    <w:rsid w:val="00EE5584"/>
    <w:rsid w:val="00EE6DAE"/>
    <w:rsid w:val="00EF1523"/>
    <w:rsid w:val="00EF2439"/>
    <w:rsid w:val="00EF55FF"/>
    <w:rsid w:val="00EF63A7"/>
    <w:rsid w:val="00EF6FDF"/>
    <w:rsid w:val="00F03110"/>
    <w:rsid w:val="00F035D5"/>
    <w:rsid w:val="00F036BF"/>
    <w:rsid w:val="00F04B9F"/>
    <w:rsid w:val="00F10815"/>
    <w:rsid w:val="00F11072"/>
    <w:rsid w:val="00F1171C"/>
    <w:rsid w:val="00F14A5A"/>
    <w:rsid w:val="00F14B32"/>
    <w:rsid w:val="00F20311"/>
    <w:rsid w:val="00F222AA"/>
    <w:rsid w:val="00F224FE"/>
    <w:rsid w:val="00F255F3"/>
    <w:rsid w:val="00F27CB1"/>
    <w:rsid w:val="00F30D2B"/>
    <w:rsid w:val="00F315B1"/>
    <w:rsid w:val="00F340D2"/>
    <w:rsid w:val="00F3451D"/>
    <w:rsid w:val="00F370B2"/>
    <w:rsid w:val="00F411A0"/>
    <w:rsid w:val="00F41A34"/>
    <w:rsid w:val="00F50B17"/>
    <w:rsid w:val="00F50B3E"/>
    <w:rsid w:val="00F51085"/>
    <w:rsid w:val="00F512E8"/>
    <w:rsid w:val="00F51778"/>
    <w:rsid w:val="00F535FB"/>
    <w:rsid w:val="00F5390D"/>
    <w:rsid w:val="00F559C5"/>
    <w:rsid w:val="00F60F8A"/>
    <w:rsid w:val="00F63720"/>
    <w:rsid w:val="00F651D8"/>
    <w:rsid w:val="00F671E9"/>
    <w:rsid w:val="00F71BE7"/>
    <w:rsid w:val="00F71CEF"/>
    <w:rsid w:val="00F74A73"/>
    <w:rsid w:val="00F76378"/>
    <w:rsid w:val="00F76C86"/>
    <w:rsid w:val="00F76CE4"/>
    <w:rsid w:val="00F81A94"/>
    <w:rsid w:val="00F87C7E"/>
    <w:rsid w:val="00F90865"/>
    <w:rsid w:val="00F91E58"/>
    <w:rsid w:val="00F92E68"/>
    <w:rsid w:val="00F95A16"/>
    <w:rsid w:val="00F96FFB"/>
    <w:rsid w:val="00FB2134"/>
    <w:rsid w:val="00FB525C"/>
    <w:rsid w:val="00FD339C"/>
    <w:rsid w:val="00FD3CE6"/>
    <w:rsid w:val="00FD4180"/>
    <w:rsid w:val="00FD4622"/>
    <w:rsid w:val="00FD753B"/>
    <w:rsid w:val="00FE276C"/>
    <w:rsid w:val="00FE30A2"/>
    <w:rsid w:val="00FE615C"/>
    <w:rsid w:val="00FF3233"/>
    <w:rsid w:val="00FF4024"/>
    <w:rsid w:val="00FF4A2A"/>
    <w:rsid w:val="00FF54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A6"/>
    <w:pPr>
      <w:spacing w:after="0" w:line="240" w:lineRule="auto"/>
    </w:pPr>
    <w:rPr>
      <w:rFonts w:ascii="Calibri" w:hAnsi="Calibri" w:cs="Times New Roman"/>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D41EC"/>
    <w:pPr>
      <w:spacing w:after="200" w:line="276" w:lineRule="auto"/>
      <w:ind w:left="720"/>
      <w:contextualSpacing/>
    </w:pPr>
    <w:rPr>
      <w:rFonts w:ascii="Verdana" w:eastAsia="Calibri" w:hAnsi="Verdana"/>
      <w:sz w:val="20"/>
      <w:szCs w:val="20"/>
      <w:lang w:eastAsia="en-US"/>
    </w:rPr>
  </w:style>
  <w:style w:type="table" w:styleId="Tabel-Gitter">
    <w:name w:val="Table Grid"/>
    <w:basedOn w:val="Tabel-Normal"/>
    <w:uiPriority w:val="59"/>
    <w:rsid w:val="00DD4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4404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404F"/>
    <w:rPr>
      <w:rFonts w:ascii="Tahoma" w:hAnsi="Tahoma" w:cs="Tahoma"/>
      <w:sz w:val="16"/>
      <w:szCs w:val="16"/>
      <w:lang w:eastAsia="da-DK"/>
    </w:rPr>
  </w:style>
  <w:style w:type="character" w:styleId="Kommentarhenvisning">
    <w:name w:val="annotation reference"/>
    <w:basedOn w:val="Standardskrifttypeiafsnit"/>
    <w:uiPriority w:val="99"/>
    <w:semiHidden/>
    <w:unhideWhenUsed/>
    <w:rsid w:val="00A502A6"/>
    <w:rPr>
      <w:sz w:val="16"/>
      <w:szCs w:val="16"/>
    </w:rPr>
  </w:style>
  <w:style w:type="paragraph" w:styleId="Kommentartekst">
    <w:name w:val="annotation text"/>
    <w:basedOn w:val="Normal"/>
    <w:link w:val="KommentartekstTegn"/>
    <w:uiPriority w:val="99"/>
    <w:semiHidden/>
    <w:unhideWhenUsed/>
    <w:rsid w:val="00A502A6"/>
    <w:rPr>
      <w:sz w:val="20"/>
      <w:szCs w:val="20"/>
    </w:rPr>
  </w:style>
  <w:style w:type="character" w:customStyle="1" w:styleId="KommentartekstTegn">
    <w:name w:val="Kommentartekst Tegn"/>
    <w:basedOn w:val="Standardskrifttypeiafsnit"/>
    <w:link w:val="Kommentartekst"/>
    <w:uiPriority w:val="99"/>
    <w:semiHidden/>
    <w:rsid w:val="00A502A6"/>
    <w:rPr>
      <w:rFonts w:ascii="Calibri" w:hAnsi="Calibri" w:cs="Times New Roman"/>
      <w:lang w:eastAsia="da-DK"/>
    </w:rPr>
  </w:style>
  <w:style w:type="paragraph" w:styleId="Kommentaremne">
    <w:name w:val="annotation subject"/>
    <w:basedOn w:val="Kommentartekst"/>
    <w:next w:val="Kommentartekst"/>
    <w:link w:val="KommentaremneTegn"/>
    <w:uiPriority w:val="99"/>
    <w:semiHidden/>
    <w:unhideWhenUsed/>
    <w:rsid w:val="00A502A6"/>
    <w:rPr>
      <w:b/>
      <w:bCs/>
    </w:rPr>
  </w:style>
  <w:style w:type="character" w:customStyle="1" w:styleId="KommentaremneTegn">
    <w:name w:val="Kommentaremne Tegn"/>
    <w:basedOn w:val="KommentartekstTegn"/>
    <w:link w:val="Kommentaremne"/>
    <w:uiPriority w:val="99"/>
    <w:semiHidden/>
    <w:rsid w:val="00A502A6"/>
    <w:rPr>
      <w:rFonts w:ascii="Calibri" w:hAnsi="Calibri" w:cs="Times New Roman"/>
      <w:b/>
      <w:bCs/>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A6"/>
    <w:pPr>
      <w:spacing w:after="0" w:line="240" w:lineRule="auto"/>
    </w:pPr>
    <w:rPr>
      <w:rFonts w:ascii="Calibri" w:hAnsi="Calibri" w:cs="Times New Roman"/>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D41EC"/>
    <w:pPr>
      <w:spacing w:after="200" w:line="276" w:lineRule="auto"/>
      <w:ind w:left="720"/>
      <w:contextualSpacing/>
    </w:pPr>
    <w:rPr>
      <w:rFonts w:ascii="Verdana" w:eastAsia="Calibri" w:hAnsi="Verdana"/>
      <w:sz w:val="20"/>
      <w:szCs w:val="20"/>
      <w:lang w:eastAsia="en-US"/>
    </w:rPr>
  </w:style>
  <w:style w:type="table" w:styleId="Tabel-Gitter">
    <w:name w:val="Table Grid"/>
    <w:basedOn w:val="Tabel-Normal"/>
    <w:uiPriority w:val="59"/>
    <w:rsid w:val="00DD4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4404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404F"/>
    <w:rPr>
      <w:rFonts w:ascii="Tahoma" w:hAnsi="Tahoma" w:cs="Tahoma"/>
      <w:sz w:val="16"/>
      <w:szCs w:val="16"/>
      <w:lang w:eastAsia="da-DK"/>
    </w:rPr>
  </w:style>
  <w:style w:type="character" w:styleId="Kommentarhenvisning">
    <w:name w:val="annotation reference"/>
    <w:basedOn w:val="Standardskrifttypeiafsnit"/>
    <w:uiPriority w:val="99"/>
    <w:semiHidden/>
    <w:unhideWhenUsed/>
    <w:rsid w:val="00A502A6"/>
    <w:rPr>
      <w:sz w:val="16"/>
      <w:szCs w:val="16"/>
    </w:rPr>
  </w:style>
  <w:style w:type="paragraph" w:styleId="Kommentartekst">
    <w:name w:val="annotation text"/>
    <w:basedOn w:val="Normal"/>
    <w:link w:val="KommentartekstTegn"/>
    <w:uiPriority w:val="99"/>
    <w:semiHidden/>
    <w:unhideWhenUsed/>
    <w:rsid w:val="00A502A6"/>
    <w:rPr>
      <w:sz w:val="20"/>
      <w:szCs w:val="20"/>
    </w:rPr>
  </w:style>
  <w:style w:type="character" w:customStyle="1" w:styleId="KommentartekstTegn">
    <w:name w:val="Kommentartekst Tegn"/>
    <w:basedOn w:val="Standardskrifttypeiafsnit"/>
    <w:link w:val="Kommentartekst"/>
    <w:uiPriority w:val="99"/>
    <w:semiHidden/>
    <w:rsid w:val="00A502A6"/>
    <w:rPr>
      <w:rFonts w:ascii="Calibri" w:hAnsi="Calibri" w:cs="Times New Roman"/>
      <w:lang w:eastAsia="da-DK"/>
    </w:rPr>
  </w:style>
  <w:style w:type="paragraph" w:styleId="Kommentaremne">
    <w:name w:val="annotation subject"/>
    <w:basedOn w:val="Kommentartekst"/>
    <w:next w:val="Kommentartekst"/>
    <w:link w:val="KommentaremneTegn"/>
    <w:uiPriority w:val="99"/>
    <w:semiHidden/>
    <w:unhideWhenUsed/>
    <w:rsid w:val="00A502A6"/>
    <w:rPr>
      <w:b/>
      <w:bCs/>
    </w:rPr>
  </w:style>
  <w:style w:type="character" w:customStyle="1" w:styleId="KommentaremneTegn">
    <w:name w:val="Kommentaremne Tegn"/>
    <w:basedOn w:val="KommentartekstTegn"/>
    <w:link w:val="Kommentaremne"/>
    <w:uiPriority w:val="99"/>
    <w:semiHidden/>
    <w:rsid w:val="00A502A6"/>
    <w:rPr>
      <w:rFonts w:ascii="Calibri" w:hAnsi="Calibri" w:cs="Times New Roman"/>
      <w:b/>
      <w:bCs/>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5C66419-2B75-4F29-9C70-6FB8FA91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10212</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Holmsgaard</dc:creator>
  <cp:lastModifiedBy>Erik Swierstra-Banke</cp:lastModifiedBy>
  <cp:revision>2</cp:revision>
  <cp:lastPrinted>2015-12-01T12:19:00Z</cp:lastPrinted>
  <dcterms:created xsi:type="dcterms:W3CDTF">2015-12-15T12:06:00Z</dcterms:created>
  <dcterms:modified xsi:type="dcterms:W3CDTF">2015-12-15T12:06:00Z</dcterms:modified>
</cp:coreProperties>
</file>