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3BCE" w14:textId="77777777" w:rsidR="00CC448C" w:rsidRPr="00CC448C" w:rsidRDefault="00CC448C" w:rsidP="00CC448C">
      <w:pPr>
        <w:shd w:val="clear" w:color="auto" w:fill="F9F9FB"/>
        <w:spacing w:before="200" w:after="200" w:line="240" w:lineRule="auto"/>
        <w:jc w:val="center"/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</w:pPr>
      <w:bookmarkStart w:id="0" w:name="_GoBack"/>
      <w:bookmarkEnd w:id="0"/>
      <w:r w:rsidRPr="00CC448C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Bekendtgørelse om COVID-19 hos pelsdyr</w:t>
      </w:r>
      <w:bookmarkStart w:id="1" w:name="Henvisning_id6a60966c-b07d-469c-ae6e-1d4"/>
      <w:r w:rsidRPr="00CC448C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fldChar w:fldCharType="begin"/>
      </w:r>
      <w:r w:rsidRPr="00CC448C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instrText xml:space="preserve"> HYPERLINK "https://www.retsinformation.dk/eli/lta/2023/2" \l "id6a60966c-b07d-469c-ae6e-1d4cf3acd6e6" </w:instrText>
      </w:r>
      <w:r w:rsidRPr="00CC448C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fldChar w:fldCharType="separate"/>
      </w:r>
      <w:r w:rsidRPr="00CC448C">
        <w:rPr>
          <w:rFonts w:ascii="Questa-Regular" w:eastAsia="Times New Roman" w:hAnsi="Questa-Regular" w:cs="Times New Roman"/>
          <w:color w:val="176D41"/>
          <w:sz w:val="19"/>
          <w:szCs w:val="19"/>
          <w:u w:val="single"/>
          <w:lang w:eastAsia="da-DK"/>
        </w:rPr>
        <w:t>1)</w:t>
      </w:r>
      <w:r w:rsidRPr="00CC448C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fldChar w:fldCharType="end"/>
      </w:r>
      <w:bookmarkEnd w:id="1"/>
    </w:p>
    <w:p w14:paraId="548E3310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 medfør af § 26, § 27, stk. 2, § 29, § 30, stk. 1 og 3, § 37, § 44, stk. 1, § 45, stk. 2, § 53, § 61, stk. 1, § 62, § 67 og § 70, stk. 3, i lov om hold af dyr, jf. lovbekendtgørelse nr. 9 af 6. januar 2022, fastsættes efter bemyndigelse i henhold til § 7, stk. 1, nr. 1, og § 10, stk. 1, nr. 1, 2 og 5, i bekendtgørelse nr. 1721 af 30. november 2020 om Fødevarestyrelsens opgaver og beføjelser:</w:t>
      </w:r>
    </w:p>
    <w:p w14:paraId="6E49D5EF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Anvendelsesområde og definitioner</w:t>
      </w:r>
    </w:p>
    <w:p w14:paraId="21A12BF6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Bekendtgørelsen finder anvendelse på overvågning, forebyggelse og bekæmpelse af COVID-19 i pelsdyr.</w:t>
      </w:r>
    </w:p>
    <w:p w14:paraId="3F2032D7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Bekendtgørelsen finder ikke anvendelse på hold af fem eller færre pelsdyr</w:t>
      </w:r>
      <w:r w:rsidR="0017668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A11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hold af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selskabsdyr</w:t>
      </w:r>
      <w:r w:rsidR="0017668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samt</w:t>
      </w:r>
      <w:r w:rsidR="00A11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hold af</w:t>
      </w:r>
      <w:r w:rsidR="0017668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dyr</w:t>
      </w:r>
      <w:r w:rsidR="00A11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i</w:t>
      </w:r>
      <w:r w:rsidR="0017668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A11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afgrænsede virksomheder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514B3DF8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I denne bekendtgørelse forstås ved:</w:t>
      </w:r>
    </w:p>
    <w:p w14:paraId="4E952118" w14:textId="77777777" w:rsidR="00B57D25" w:rsidRPr="00F84D73" w:rsidRDefault="00B57D25" w:rsidP="00B57D25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Afgr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æ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nset virksomhed: </w:t>
      </w:r>
      <w:r w:rsid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 permanent geografisk afgr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æ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nset virksomhed, der er oprettet p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å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frivillig basis og godkendt med hensyn til flytninger, hvor dyrene</w:t>
      </w:r>
    </w:p>
    <w:p w14:paraId="4A2372EE" w14:textId="3E9399B1" w:rsidR="00B57D25" w:rsidRPr="00F84D73" w:rsidRDefault="00B57D25" w:rsidP="00B57D25">
      <w:pPr>
        <w:pStyle w:val="Listeafsnit"/>
        <w:numPr>
          <w:ilvl w:val="0"/>
          <w:numId w:val="19"/>
        </w:numPr>
        <w:shd w:val="clear" w:color="auto" w:fill="F9F9FB"/>
        <w:spacing w:after="0" w:line="240" w:lineRule="auto"/>
        <w:ind w:right="17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opdr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æ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ttes eller avles med henblik p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å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udstillinger, uddannelse, bevaring af arter eller forskning</w:t>
      </w:r>
      <w:r w:rsidR="000C7E5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</w:p>
    <w:p w14:paraId="4CFCECCD" w14:textId="3F7BE747" w:rsidR="00B57D25" w:rsidRPr="00F84D73" w:rsidRDefault="00B57D25" w:rsidP="00B57D25">
      <w:pPr>
        <w:pStyle w:val="Listeafsnit"/>
        <w:numPr>
          <w:ilvl w:val="0"/>
          <w:numId w:val="19"/>
        </w:numPr>
        <w:shd w:val="clear" w:color="auto" w:fill="F9F9FB"/>
        <w:spacing w:after="0" w:line="240" w:lineRule="auto"/>
        <w:ind w:right="17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holdes afgr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æ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nset og adskilt fra de omkringliggende omgivelser</w:t>
      </w:r>
      <w:r w:rsidR="000C7E5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</w:t>
      </w:r>
    </w:p>
    <w:p w14:paraId="1E15543C" w14:textId="77777777" w:rsidR="00B57D25" w:rsidRPr="00F84D73" w:rsidRDefault="00B57D25" w:rsidP="00B57D25">
      <w:pPr>
        <w:pStyle w:val="Listeafsnit"/>
        <w:numPr>
          <w:ilvl w:val="0"/>
          <w:numId w:val="19"/>
        </w:numPr>
        <w:shd w:val="clear" w:color="auto" w:fill="F9F9FB"/>
        <w:spacing w:after="0" w:line="240" w:lineRule="auto"/>
        <w:ind w:right="17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 omfattet af dyresundhedsoverv</w:t>
      </w:r>
      <w:r w:rsidRPr="00F84D73">
        <w:rPr>
          <w:rFonts w:ascii="Questa-Regular" w:eastAsia="Times New Roman" w:hAnsi="Questa-Regular" w:cs="Times New Roman" w:hint="eastAsia"/>
          <w:color w:val="212529"/>
          <w:sz w:val="23"/>
          <w:szCs w:val="23"/>
          <w:lang w:eastAsia="da-DK"/>
        </w:rPr>
        <w:t>å</w:t>
      </w:r>
      <w:r w:rsidRPr="00F84D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gning og biosikringsforanstaltninger.</w:t>
      </w:r>
    </w:p>
    <w:p w14:paraId="334D3A85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Besætning: Pelsdyr eller avlsmateriale på en virksomhed, jf. nr. </w:t>
      </w:r>
      <w:r w:rsidR="002C690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9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hvor pelsdyret eller pelsdyrene eller avlsmaterialet tilhører samme operatør og dyreart og anvendes til samme formål.</w:t>
      </w:r>
    </w:p>
    <w:p w14:paraId="34CAC70D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Besætningsområde: De arealer og rum, som benyttes i den daglige drift og pasning af besætningen.</w:t>
      </w:r>
    </w:p>
    <w:p w14:paraId="6243032E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Operatør: Enhver fysisk eller juridisk person, som er ansvarlig for dyr eller produkter, herunder for et begrænset tidsrum, bortset fra personer, der holder selskabsdyr, og dyrlæger.</w:t>
      </w:r>
    </w:p>
    <w:p w14:paraId="3FDDE429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COVID-19: Infektion med SARS-CoV-2.</w:t>
      </w:r>
    </w:p>
    <w:p w14:paraId="3E86DAAD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Pelsdyr: Mink (Neo</w:t>
      </w:r>
      <w:r w:rsidR="0019417D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gale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vison) og alle andre dyr tilhørende arter af Mustelidae-familien, f.eks. ildere og fritter.</w:t>
      </w:r>
    </w:p>
    <w:p w14:paraId="567FFA42" w14:textId="77777777" w:rsidR="003553E0" w:rsidRDefault="00CC448C" w:rsidP="002C6902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Produkter: </w:t>
      </w:r>
    </w:p>
    <w:p w14:paraId="06B0A6E6" w14:textId="77777777" w:rsidR="003553E0" w:rsidRDefault="003553E0" w:rsidP="003553E0">
      <w:pPr>
        <w:pStyle w:val="Listeafsnit"/>
        <w:numPr>
          <w:ilvl w:val="1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</w:t>
      </w:r>
      <w:r w:rsidR="00CC448C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vlsmateriale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41FF6EC4" w14:textId="77777777" w:rsidR="003553E0" w:rsidRDefault="003553E0" w:rsidP="003553E0">
      <w:pPr>
        <w:pStyle w:val="Listeafsnit"/>
        <w:numPr>
          <w:ilvl w:val="1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</w:t>
      </w:r>
      <w:r w:rsidR="00CC448C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nimalske produkter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7F492B4B" w14:textId="77777777" w:rsidR="00CC448C" w:rsidRPr="00B57D25" w:rsidRDefault="003553E0" w:rsidP="00F84D73">
      <w:pPr>
        <w:pStyle w:val="Listeafsnit"/>
        <w:numPr>
          <w:ilvl w:val="1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</w:t>
      </w:r>
      <w:r w:rsidR="00CC448C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nimalske biprodukter og afledte produkter.</w:t>
      </w:r>
    </w:p>
    <w:p w14:paraId="350ED123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Selskabsdyr: Som defineret i bilag 1 til Europa-Parlamentets og Rådets Forordning (EU) 2016/429 af 9. marts 2016 om overførbare dyresygdomme og om ændring og ophævelse af visse retsakter på området for dyresundhed (»dyresundhedsloven«), og som holdes i privat ikkekommercielt øjemed.</w:t>
      </w:r>
    </w:p>
    <w:p w14:paraId="1479ECFB" w14:textId="77777777" w:rsidR="00CC448C" w:rsidRPr="00B57D25" w:rsidRDefault="00CC448C" w:rsidP="00F84D73">
      <w:pPr>
        <w:pStyle w:val="Listeafsnit"/>
        <w:numPr>
          <w:ilvl w:val="0"/>
          <w:numId w:val="1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Virksomhed: Lokalitet eller sted, hvor der midlertidigt eller permanent holdes dyr eller opbevares avlsmateriale, bortset fra:</w:t>
      </w:r>
    </w:p>
    <w:p w14:paraId="248514AE" w14:textId="77777777" w:rsidR="00CC448C" w:rsidRPr="00B57D25" w:rsidRDefault="00CC448C" w:rsidP="00B57D25">
      <w:pPr>
        <w:pStyle w:val="Listeafsnit"/>
        <w:numPr>
          <w:ilvl w:val="1"/>
          <w:numId w:val="12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Husstande, hvor der holdes selskabsdyr.</w:t>
      </w:r>
    </w:p>
    <w:p w14:paraId="2077133B" w14:textId="77777777" w:rsidR="00CC448C" w:rsidRPr="00B57D25" w:rsidRDefault="00CC448C" w:rsidP="00B57D25">
      <w:pPr>
        <w:pStyle w:val="Listeafsnit"/>
        <w:numPr>
          <w:ilvl w:val="1"/>
          <w:numId w:val="12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Dyrlægepraksisser eller -klinikker.</w:t>
      </w:r>
    </w:p>
    <w:p w14:paraId="132984DF" w14:textId="77777777" w:rsidR="00A11205" w:rsidRPr="00CC448C" w:rsidRDefault="00A11205" w:rsidP="00A11205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Overvågning</w:t>
      </w:r>
    </w:p>
    <w:p w14:paraId="3ADB0899" w14:textId="77777777" w:rsidR="00A11205" w:rsidRDefault="00A11205" w:rsidP="00A11205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3.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Fra hver virksomhed</w:t>
      </w:r>
      <w:r w:rsidR="00227D5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som ikke er under mistanke for eller smittet med COVID-19</w:t>
      </w:r>
      <w:r w:rsidR="00B6784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227D5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jf. §§ 10 eller 11,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F90EE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udtager og </w:t>
      </w:r>
      <w:r w:rsidR="0076628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indsender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operatøren</w:t>
      </w:r>
      <w:r w:rsidR="0093132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hver tredje måned </w:t>
      </w:r>
      <w:r w:rsidR="00F90EE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svælgsvaberprøver fra </w:t>
      </w:r>
      <w:r w:rsidR="0093132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5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1941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pelsdyr, </w:t>
      </w:r>
      <w:r w:rsidR="001941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lastRenderedPageBreak/>
        <w:t>som er selvdøde eller aflivet som følge af sygdom</w:t>
      </w:r>
      <w:r w:rsidR="00F90EE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og som ikke tidligere er undersøgt for COVID-19</w:t>
      </w:r>
      <w:r w:rsidR="0093132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.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7FE5A826" w14:textId="77777777" w:rsidR="00E70D69" w:rsidRDefault="00E70D69" w:rsidP="00E70D69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2.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Operatøren udtager og indsender svælgsvaberprøver fra 15 </w:t>
      </w:r>
      <w:r w:rsidR="00BE02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pelsdyr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maksimalt 10 dage forud for aflivning </w:t>
      </w:r>
      <w:r w:rsidR="00BE02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med henblik på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pelsning, således at det sikres, at prøvesvaret er modtaget inden </w:t>
      </w:r>
      <w:r w:rsidR="00BE02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kroppene flyttes til pelseri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. </w:t>
      </w:r>
    </w:p>
    <w:p w14:paraId="2870C074" w14:textId="77777777" w:rsidR="0019417D" w:rsidRDefault="0019417D" w:rsidP="00E70D69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Stk. 3,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Materiale</w:t>
      </w:r>
      <w:r w:rsidR="00B6784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jf. stk. 1 og stk. 2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skal indsendes til et af Fødevarestyrelsen officielt udpeget laboratorium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analyseres for SARS-CoV-2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0893E55B" w14:textId="77777777" w:rsidR="00E7492D" w:rsidRPr="00CC448C" w:rsidRDefault="00E7492D" w:rsidP="00E7492D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E7492D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4.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Operatøren sikrer, at resultaterne af undersøgelserne i stk. 1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2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videregives til Fødevarestyrelsen. </w:t>
      </w:r>
    </w:p>
    <w:p w14:paraId="2DC7A245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4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Prøver udtaget eller påbudt udtaget af en myndighed under Ministeriet for Fødevarer, Landbrug og Fiskeri med henblik på bestemte undersøgelser kan blive undersøgt for SARS-CoV-2.</w:t>
      </w:r>
    </w:p>
    <w:p w14:paraId="5EA8F22D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COVID-19 smittebeskyttelsesplan</w:t>
      </w:r>
    </w:p>
    <w:p w14:paraId="125FA2A2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5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Operatøren sikrer, at der udarbejdes en COVID-19 smittebeskyttelsesplan for </w:t>
      </w:r>
      <w:r w:rsidR="008D18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virksomhed</w:t>
      </w:r>
      <w:r w:rsidR="003678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som har til formål at forebygge og modvirke smittespredning til og fra </w:t>
      </w:r>
      <w:r w:rsidR="008D18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virksomheden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79EEE51C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COVID-19 smittebeskyttelsesplanen skal mindst omfatte de punkter, der er anført i bilag 1, afsnit I.</w:t>
      </w:r>
    </w:p>
    <w:p w14:paraId="5CD84F38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3.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Operatøren opbevarer den til enhver tid gældende COVID-19 smittebeskyttelsesplan.</w:t>
      </w:r>
    </w:p>
    <w:p w14:paraId="7163EE7C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4.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kan til enhver tid kræve COVID-19 smittebeskyttelsesplanen forevist og udleveret af operatøren.</w:t>
      </w:r>
    </w:p>
    <w:p w14:paraId="21C0EE67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6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Operatøren sikrer, at personer, der arbejder </w:t>
      </w:r>
      <w:r w:rsidR="008D181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på virksomheden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gennemgår hygiejnekursus om hygiejnetiltag og anvendelse af personlige værnemidler</w:t>
      </w:r>
      <w:r w:rsidR="00F8566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som afholdes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af</w:t>
      </w:r>
      <w:r w:rsidR="00F8566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Fødevarestyrelsen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0186B9DE" w14:textId="1C40EFB0" w:rsidR="00CC448C" w:rsidRPr="00CC448C" w:rsidRDefault="00CC448C" w:rsidP="00C02678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7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Operatøren sikrer overholdelse af COVID-19 smittebeskyttelsesplanen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herunder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at ansatte og alle øvrige personer som kommer i besætningsområdet</w:t>
      </w:r>
      <w:r w:rsidR="000C7E5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overholder COVID-19 smittebeskyttelsesplanen.</w:t>
      </w:r>
    </w:p>
    <w:p w14:paraId="289521F6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Anmeldepligt</w:t>
      </w:r>
    </w:p>
    <w:p w14:paraId="7C44A990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8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Operatøren skal straks kontakte en dyrlæge ved mistanke om, at en besætning er smittet med COVID-19.</w:t>
      </w:r>
    </w:p>
    <w:p w14:paraId="712A04CA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Der er mistanke om COVID-19, når der i en besætning </w:t>
      </w:r>
      <w:r w:rsid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er øget dødelighed, eller hvis der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hos flere pelsdyr optræder symptomer</w:t>
      </w:r>
      <w:r w:rsid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foreneligt med smitte med COVID-19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herunder</w:t>
      </w:r>
    </w:p>
    <w:p w14:paraId="7406AB32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stødende eller pustende vejrtrækning,</w:t>
      </w:r>
    </w:p>
    <w:p w14:paraId="3EE29A12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vejrtrækning med åben mund,</w:t>
      </w:r>
    </w:p>
    <w:p w14:paraId="163D7697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vandigt flåd fra snuden,</w:t>
      </w:r>
    </w:p>
    <w:p w14:paraId="4EFB2E5C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forøget dødelighed,</w:t>
      </w:r>
    </w:p>
    <w:p w14:paraId="152E5F68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øjenflåd,</w:t>
      </w:r>
    </w:p>
    <w:p w14:paraId="2F0EE669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nedstemthed, eller</w:t>
      </w:r>
    </w:p>
    <w:p w14:paraId="69AA0483" w14:textId="77777777" w:rsidR="00CC448C" w:rsidRPr="00B57D25" w:rsidRDefault="00CC448C" w:rsidP="00B57D25">
      <w:pPr>
        <w:pStyle w:val="Listeafsnit"/>
        <w:numPr>
          <w:ilvl w:val="0"/>
          <w:numId w:val="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sløvhed.</w:t>
      </w:r>
    </w:p>
    <w:p w14:paraId="3A7C0289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9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Modtager en dyrlæge anmeldelse, eller f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år en dyrlæge i øvrigt i forbindelse med sit arbejde mistanke om forekomst af COVID-19 hos et pelsdyr, skal dyrlægen straks underrette Fødevarestyrelsen.</w:t>
      </w:r>
    </w:p>
    <w:p w14:paraId="427A1FA8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Mistanke eller konstateret smitte</w:t>
      </w:r>
    </w:p>
    <w:p w14:paraId="621D3A5C" w14:textId="554127AE" w:rsidR="0008247F" w:rsidRDefault="00CC448C" w:rsidP="00B57D25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lastRenderedPageBreak/>
        <w:t xml:space="preserve">§ </w:t>
      </w:r>
      <w:r w:rsidR="00227D5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10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Fødevarestyrelsen anser en virksomhed 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som</w:t>
      </w:r>
      <w:r w:rsidR="007272DB"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mistænkt for at være smittet med COVID-19, hvis</w:t>
      </w:r>
    </w:p>
    <w:p w14:paraId="1654BC75" w14:textId="77777777" w:rsidR="0008247F" w:rsidRPr="0008247F" w:rsidRDefault="00CC448C" w:rsidP="00B57D25">
      <w:pPr>
        <w:pStyle w:val="Listeafsnit"/>
        <w:numPr>
          <w:ilvl w:val="0"/>
          <w:numId w:val="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der blandt pelsdyr i virksomheden er</w:t>
      </w:r>
      <w:r w:rsidR="0008247F"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øget dødelighed, </w:t>
      </w:r>
    </w:p>
    <w:p w14:paraId="4BCE9099" w14:textId="77777777" w:rsidR="0008247F" w:rsidRDefault="0008247F" w:rsidP="00B57D25">
      <w:pPr>
        <w:pStyle w:val="Listeafsnit"/>
        <w:numPr>
          <w:ilvl w:val="0"/>
          <w:numId w:val="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der er</w:t>
      </w:r>
      <w:r w:rsidR="00CC448C"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symptomer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på COVID-19 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hos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dyrene i 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virksomheden</w:t>
      </w:r>
      <w:r w:rsidR="00CC448C"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jf. § </w:t>
      </w:r>
      <w:r w:rsidR="0036608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8</w:t>
      </w:r>
      <w:r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</w:p>
    <w:p w14:paraId="4E8E0AFB" w14:textId="77777777" w:rsidR="00FD73CC" w:rsidRDefault="0008247F" w:rsidP="00B57D25">
      <w:pPr>
        <w:pStyle w:val="Listeafsnit"/>
        <w:numPr>
          <w:ilvl w:val="0"/>
          <w:numId w:val="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der opstår mistanke 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om COVID-19 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hos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dyrene i 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virksomheden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  <w:r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jf. §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36608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9</w:t>
      </w:r>
      <w:r w:rsidR="00CC448C" w:rsidRPr="000824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  <w:r w:rsidR="00F8566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eller</w:t>
      </w:r>
    </w:p>
    <w:p w14:paraId="3A483160" w14:textId="59D4E263" w:rsidR="0008247F" w:rsidRDefault="00FD73CC" w:rsidP="00B57D25">
      <w:pPr>
        <w:pStyle w:val="Listeafsnit"/>
        <w:numPr>
          <w:ilvl w:val="0"/>
          <w:numId w:val="1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der påvises SARS-CoV-2 i prøver udtaget</w:t>
      </w:r>
      <w:r w:rsid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jf. </w:t>
      </w:r>
      <w:r w:rsidR="00F74FA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§ 3, stk. 1</w:t>
      </w:r>
      <w:r w:rsidR="00F90EE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E749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eller </w:t>
      </w:r>
      <w:r w:rsidR="00F90EE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="00F74FA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eller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§ 1</w:t>
      </w:r>
      <w:r w:rsid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6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 1</w:t>
      </w:r>
      <w:r w:rsidR="009D3EC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7E9B02D1" w14:textId="43F9B166" w:rsidR="00CC448C" w:rsidRDefault="00F8566A" w:rsidP="00B57D25">
      <w:pPr>
        <w:shd w:val="clear" w:color="auto" w:fill="F9F9FB"/>
        <w:spacing w:after="0" w:line="240" w:lineRule="auto"/>
        <w:ind w:left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 </w:t>
      </w:r>
      <w:r w:rsidR="00CC448C"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="00CC448C"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Fødevarestyrelsen forestår hurtigst muligt udtagning og indsendelse af </w:t>
      </w:r>
      <w:r w:rsidR="00227D5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15 svælgsvaberprøver fra nyligt døde, syge og raske </w:t>
      </w:r>
      <w:r w:rsidR="00C0267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pelsdyr</w:t>
      </w:r>
      <w:r w:rsidR="00227D5C"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CC448C"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til undersøgelse for SARS-CoV-2 fra virksomheder, der er mistænkt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for 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at være 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smitte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t</w:t>
      </w:r>
      <w:r w:rsidR="00510A3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med COVID-19</w:t>
      </w:r>
      <w:r w:rsidR="00CC448C"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med henblik på at få af- eller bekræftet mistanken.</w:t>
      </w:r>
    </w:p>
    <w:p w14:paraId="1BC80F0E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B42FF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En virksomhed anses for at være smittet med COVID-19, når der i én eller flere prøver, udtaget af Fødevarestyrelsen</w:t>
      </w:r>
      <w:r w:rsidR="000253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fra pelsdyr i virksomheden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er påvist SARS-CoV-2.</w:t>
      </w:r>
    </w:p>
    <w:p w14:paraId="64F63AC4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Offentligt tilsyn ved mistanke eller smitte</w:t>
      </w:r>
    </w:p>
    <w:p w14:paraId="55395143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36608F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2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Fødevarestyrelsen sætter en virksomhed, der er mistænkt for eller smittet med COVID-19, jf. §§ </w:t>
      </w:r>
      <w:r w:rsidR="000919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9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1</w:t>
      </w:r>
      <w:r w:rsidR="000919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0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under offentligt tilsyn.</w:t>
      </w:r>
    </w:p>
    <w:p w14:paraId="12EF4BF0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Det offentlige tilsyn kan bl.a. omfatte, at</w:t>
      </w:r>
    </w:p>
    <w:p w14:paraId="0140EC71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virksomheden </w:t>
      </w:r>
      <w:proofErr w:type="gramStart"/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ikke må</w:t>
      </w:r>
      <w:proofErr w:type="gramEnd"/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til- eller fraføres levende </w:t>
      </w:r>
      <w:r w:rsidR="00E8183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dyr,</w:t>
      </w:r>
    </w:p>
    <w:p w14:paraId="32BB4BA5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operatøren skal oplyse Fødevarestyrelsen om alle forhold, der har betydning for afklaring af mulige smitteveje,</w:t>
      </w:r>
    </w:p>
    <w:p w14:paraId="5651D34E" w14:textId="5A36CEC4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operatøren er forpligtet til at underrette alle, der kommer i 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besætningsområdet</w:t>
      </w:r>
      <w:r w:rsid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om det offentlige tilsyn,</w:t>
      </w:r>
    </w:p>
    <w:p w14:paraId="1C243EED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pelsdyr fra virksomheden må ikke pelses,</w:t>
      </w:r>
    </w:p>
    <w:p w14:paraId="358ED554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selvdøde eller aflivede pelsdyr samt pels og kroppe af dyr, der er pelset i virksomheden, skal håndteres efter anvisning fra Fødevarestyrelsen,</w:t>
      </w:r>
    </w:p>
    <w:p w14:paraId="439AB914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døde pelsdyr og dele af døde pelsdyr skal fraføres virksomheden efter anvisning fra Fødevarestyrelsen,</w:t>
      </w:r>
    </w:p>
    <w:p w14:paraId="21BB0BA2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foder skal håndteres efter anvisning fra Fødevarestyrelsen,</w:t>
      </w:r>
    </w:p>
    <w:p w14:paraId="1FBA17C0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husdyrgødning skal håndteres efter anvisning fra Fødevarestyrelsen,</w:t>
      </w:r>
    </w:p>
    <w:p w14:paraId="412DE8AE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maskiner og materiel, herunder bure, redekasser, haller, transportkasser, udstillingsfælder, æde- og drikkekar og andre genstande skal rengøres og desinficeres efter Fødevarestyrelsens anvisning, inden de fjernes fra virksomheden, og</w:t>
      </w:r>
    </w:p>
    <w:p w14:paraId="19444370" w14:textId="77777777" w:rsidR="00CC448C" w:rsidRPr="00B57D25" w:rsidRDefault="00CC448C" w:rsidP="00B57D25">
      <w:pPr>
        <w:pStyle w:val="Listeafsnit"/>
        <w:numPr>
          <w:ilvl w:val="0"/>
          <w:numId w:val="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hegn og indretninger, der skal forhindre, at pelsdyr undslipper, gennemgås med henblik på at sikre, at de er i god og funktionel stand.</w:t>
      </w:r>
    </w:p>
    <w:p w14:paraId="6ADBEC90" w14:textId="77777777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36608F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3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kan sætte virksomheder, som har haft kontakt til mistænkte eller smittede besætninger på andre virksomheder, under offentligt tilsyn, jf. § 1</w:t>
      </w:r>
      <w:r w:rsidR="0036608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120F3817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kan udtage materiale til undersøgelse for SARS-CoV-2 fra virksomheder, der har haft kontakt til smittede virksomheder.</w:t>
      </w:r>
    </w:p>
    <w:p w14:paraId="6CE793DC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Ophævelse af offentligt tilsyn</w:t>
      </w:r>
    </w:p>
    <w:p w14:paraId="7FBAB2B5" w14:textId="1D483ACB" w:rsidR="007272DB" w:rsidRPr="00CC448C" w:rsidRDefault="00CC448C" w:rsidP="007272DB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0919A6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4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ophæver det offentlige tilsyn som følge af mistanke om smitte med COVID-19, hvis prøver udtaget</w:t>
      </w:r>
      <w:r w:rsidR="00E82DB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i overensstemmelse med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§ </w:t>
      </w:r>
      <w:r w:rsidR="00B42FF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10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 2, er negative for SARS-CoV-2.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br/>
      </w:r>
      <w:r w:rsidR="007272DB" w:rsidRPr="007272DB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   </w:t>
      </w:r>
      <w:r w:rsidR="007272DB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 </w:t>
      </w:r>
      <w:r w:rsidR="007272DB" w:rsidRPr="007272DB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2.</w:t>
      </w:r>
      <w:r w:rsidR="007272D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Fødevarestyrelsen ophæver det offentlige tilsyn som følge af mistanke om smitte med COVID-19 i henhold til § 13, stk. 1, når Fødevarestyrelsen har konstateret, at kontakten ikke har udgjort nogen smitterisiko. </w:t>
      </w:r>
    </w:p>
    <w:p w14:paraId="6F4535F7" w14:textId="77777777" w:rsidR="00BB16B9" w:rsidRPr="00CC448C" w:rsidRDefault="00BB16B9" w:rsidP="00BB16B9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lastRenderedPageBreak/>
        <w:t>§ 1</w:t>
      </w:r>
      <w:r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5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ophæver det offentlige tilsyn som følge af smitte med COVID-19, når</w:t>
      </w:r>
    </w:p>
    <w:p w14:paraId="4D343460" w14:textId="77777777" w:rsidR="00BB16B9" w:rsidRPr="00B57D25" w:rsidRDefault="00BB16B9" w:rsidP="00B57D25">
      <w:pPr>
        <w:pStyle w:val="Listeafsnit"/>
        <w:numPr>
          <w:ilvl w:val="0"/>
          <w:numId w:val="13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der er gået tre uger efter, at virksomheden er konstateret smittet</w:t>
      </w:r>
      <w:r w:rsidR="00E8183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66CA133A" w14:textId="77777777" w:rsidR="00BB16B9" w:rsidRPr="00B57D25" w:rsidRDefault="00F90EEE" w:rsidP="00B57D25">
      <w:pPr>
        <w:pStyle w:val="Listeafsnit"/>
        <w:numPr>
          <w:ilvl w:val="0"/>
          <w:numId w:val="13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</w:t>
      </w:r>
      <w:r w:rsidR="00BB16B9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peratøren kan fremvise en erklæring fra en dyrlæge om, at der ikke er kliniske symptomer på COVID-19 hos pelsdyrene, og </w:t>
      </w:r>
    </w:p>
    <w:p w14:paraId="7150756E" w14:textId="77777777" w:rsidR="00BB16B9" w:rsidRDefault="00BB16B9" w:rsidP="00B57D25">
      <w:pPr>
        <w:pStyle w:val="Listeafsnit"/>
        <w:numPr>
          <w:ilvl w:val="0"/>
          <w:numId w:val="13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der i to på hinanden følgende uger ikke er påvist SARS-CoV-2 i 15 svælgsvaberprøver udtaget af Fødevarestyrelsen fra </w:t>
      </w:r>
      <w:r w:rsidR="00F94413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pelsdyr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i virksomheden</w:t>
      </w:r>
      <w:r w:rsidR="00B57D25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36B5E33D" w14:textId="77777777" w:rsidR="00E81832" w:rsidRDefault="00E81832" w:rsidP="00E81832">
      <w:p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E81832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   Stk. 2. </w:t>
      </w:r>
      <w:r w:rsidRPr="00E8183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Fødevarestyrelsen ophæver endvidere det offentlige tilsyn som følge af smitte med COVID-19, når</w:t>
      </w:r>
    </w:p>
    <w:p w14:paraId="7ADB72C0" w14:textId="77777777" w:rsidR="00E81832" w:rsidRDefault="00E81832" w:rsidP="00E81832">
      <w:pPr>
        <w:pStyle w:val="Listeafsnit"/>
        <w:numPr>
          <w:ilvl w:val="0"/>
          <w:numId w:val="20"/>
        </w:numPr>
        <w:shd w:val="clear" w:color="auto" w:fill="F9F9FB"/>
        <w:spacing w:after="0" w:line="240" w:lineRule="auto"/>
        <w:ind w:left="936" w:hanging="295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E8183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dyrene er aflivet og bortskaffet, og</w:t>
      </w:r>
    </w:p>
    <w:p w14:paraId="4FCE168D" w14:textId="77777777" w:rsidR="00E81832" w:rsidRPr="00E81832" w:rsidRDefault="00E81832" w:rsidP="00E81832">
      <w:pPr>
        <w:pStyle w:val="Listeafsnit"/>
        <w:numPr>
          <w:ilvl w:val="0"/>
          <w:numId w:val="20"/>
        </w:numPr>
        <w:shd w:val="clear" w:color="auto" w:fill="F9F9FB"/>
        <w:spacing w:after="0" w:line="240" w:lineRule="auto"/>
        <w:ind w:left="936" w:hanging="295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E8183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rengøring og desinfektion af virksomheden er godkendt af Fødevarestyrelsen.</w:t>
      </w:r>
    </w:p>
    <w:p w14:paraId="3BED1E85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Test ved indførsel </w:t>
      </w:r>
      <w:r w:rsidR="00967F76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af </w:t>
      </w:r>
      <w:r w:rsidR="00E81832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pelsdyr</w:t>
      </w:r>
    </w:p>
    <w:p w14:paraId="12B896A2" w14:textId="64EE124E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7272D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6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Operatøren sikrer, at der ved indførsel eller import af pelsdyr til Danmark udtages </w:t>
      </w:r>
      <w:r w:rsidR="00BB16B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60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svælgsvaberprøver fra dyrene ved ankomst til modtagerbesætningen, og at prøverne indsendes til det nationale referencelaboratorium eller et laboratorium, der er officielt udpeget af den kompetente myndighed til at foretage </w:t>
      </w:r>
      <w:r w:rsidR="002F45F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analyser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for SARS-CoV-2.</w:t>
      </w:r>
    </w:p>
    <w:p w14:paraId="4E776ED0" w14:textId="77777777" w:rsidR="00CC448C" w:rsidRPr="00CC448C" w:rsidRDefault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Operatøren sikrer, at resultaterne af undersøgelserne i stk. 1 videregives til Fødevarestyrelsen. </w:t>
      </w:r>
    </w:p>
    <w:p w14:paraId="56E2F09C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Afhentning af døde pelsdyr</w:t>
      </w:r>
    </w:p>
    <w:p w14:paraId="5B3582B6" w14:textId="1C41184C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</w:t>
      </w:r>
      <w:r w:rsidR="007272D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7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Operatøren sikrer, at afhentning af døde pelsdyr til pelsning eller bortskaffelse sker uden for besætningsområdet.</w:t>
      </w:r>
    </w:p>
    <w:p w14:paraId="2EE46B7E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Afholdelse af udgifter</w:t>
      </w:r>
    </w:p>
    <w:p w14:paraId="0BFC7F6B" w14:textId="084DECE9" w:rsidR="00E7492D" w:rsidRPr="00CC448C" w:rsidRDefault="00CC448C" w:rsidP="00E7492D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AF6202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</w:t>
      </w:r>
      <w:r w:rsidR="007272D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8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Fødevarestyrelsen afholder udgifterne til udtagelse, indsendelse og undersøgelse af de i</w:t>
      </w:r>
      <w:r w:rsidR="00B42FF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§ </w:t>
      </w:r>
      <w:r w:rsidR="0036608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10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</w:t>
      </w:r>
      <w:r w:rsidR="00BB16B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og § 1</w:t>
      </w:r>
      <w:r w:rsidR="0036608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 2, nævnte prøver.</w:t>
      </w:r>
      <w:r w:rsidR="00E749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E749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br/>
        <w:t xml:space="preserve">     </w:t>
      </w:r>
      <w:r w:rsidR="00E7492D" w:rsidRPr="00E7492D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2.</w:t>
      </w:r>
      <w:r w:rsidR="00E749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Alle andre udgifter end de i stk. 1 nævnte er Fødevarestyrelsen uvedkommende. </w:t>
      </w:r>
    </w:p>
    <w:p w14:paraId="70B0D9A6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Straf</w:t>
      </w:r>
    </w:p>
    <w:p w14:paraId="4B9AB4D5" w14:textId="2DB203A2" w:rsidR="00CC448C" w:rsidRPr="003F3850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7272D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19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Med bøde 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straffes den, der</w:t>
      </w:r>
    </w:p>
    <w:p w14:paraId="09182F37" w14:textId="7BCFC6B4" w:rsidR="00CC448C" w:rsidRPr="003F3850" w:rsidRDefault="00CC448C" w:rsidP="00B57D25">
      <w:pPr>
        <w:pStyle w:val="Listeafsnit"/>
        <w:numPr>
          <w:ilvl w:val="0"/>
          <w:numId w:val="1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overtræder §§ </w:t>
      </w:r>
      <w:r w:rsidR="0036608F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3, 5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-</w:t>
      </w:r>
      <w:r w:rsidR="000769E8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9</w:t>
      </w:r>
      <w:r w:rsidR="00491003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§§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1</w:t>
      </w:r>
      <w:r w:rsidR="003F3850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6</w:t>
      </w:r>
      <w:r w:rsidR="00491003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-</w:t>
      </w:r>
      <w:r w:rsidR="000919A6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</w:t>
      </w:r>
      <w:r w:rsidR="003F3850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7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eller</w:t>
      </w:r>
    </w:p>
    <w:p w14:paraId="7FD810AA" w14:textId="77777777" w:rsidR="00CC448C" w:rsidRPr="003F3850" w:rsidRDefault="00CC448C" w:rsidP="00B57D25">
      <w:pPr>
        <w:pStyle w:val="Listeafsnit"/>
        <w:numPr>
          <w:ilvl w:val="0"/>
          <w:numId w:val="16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ikke overholder foranstaltninger givet efter § 1</w:t>
      </w:r>
      <w:r w:rsidR="000769E8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="00491003"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§ 13, stk. 1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1F045919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3F3850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3F385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Straffen kan stige til fængsel i indtil 2 år, hvis den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ved handlingen eller undladelsen skete overtrædelse er begået med forsæt eller grov uagtsomhed, og der ved overtrædelsen er</w:t>
      </w:r>
    </w:p>
    <w:p w14:paraId="04DAD9FE" w14:textId="77777777" w:rsidR="00CC448C" w:rsidRPr="00B57D25" w:rsidRDefault="00CC448C" w:rsidP="00B57D25">
      <w:pPr>
        <w:pStyle w:val="Listeafsnit"/>
        <w:numPr>
          <w:ilvl w:val="0"/>
          <w:numId w:val="1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forvoldt skade på menneskers eller dyrs sundhed eller fremkaldt fare herfor, eller</w:t>
      </w:r>
    </w:p>
    <w:p w14:paraId="5AE9AACE" w14:textId="77777777" w:rsidR="00CC448C" w:rsidRPr="00B57D25" w:rsidRDefault="00CC448C" w:rsidP="00B57D25">
      <w:pPr>
        <w:pStyle w:val="Listeafsnit"/>
        <w:numPr>
          <w:ilvl w:val="0"/>
          <w:numId w:val="18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opnået eller tilsigtet opnået en økonomisk fordel for den pågældende selv eller andre, herunder ved besparelser.</w:t>
      </w:r>
    </w:p>
    <w:p w14:paraId="514A9041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3.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Der kan pålægges selskaber m.v. (juridiske personer) strafansvar efter reglerne i straffelovens 5. kapitel.</w:t>
      </w:r>
    </w:p>
    <w:p w14:paraId="348CEB46" w14:textId="77777777" w:rsidR="00CC448C" w:rsidRPr="00CC448C" w:rsidRDefault="00CC448C" w:rsidP="00CC448C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Ikrafttræden</w:t>
      </w:r>
    </w:p>
    <w:p w14:paraId="1D2AB838" w14:textId="6D06D336" w:rsidR="00CC448C" w:rsidRPr="00CC448C" w:rsidRDefault="00CC448C" w:rsidP="00CC448C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2</w:t>
      </w:r>
      <w:r w:rsidR="007272D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0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Bekendtgørelsen træder i kraft den </w:t>
      </w:r>
      <w:r w:rsidR="000919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1. </w:t>
      </w:r>
      <w:r w:rsid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oktob</w:t>
      </w:r>
      <w:r w:rsidR="00B57D25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</w:t>
      </w:r>
      <w:r w:rsidR="00AF6202"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B57D2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2023.</w:t>
      </w:r>
    </w:p>
    <w:p w14:paraId="0AEA0361" w14:textId="77777777" w:rsidR="00CC448C" w:rsidRPr="00CC448C" w:rsidRDefault="00CC448C" w:rsidP="00CC448C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Bekendtgørelse nr.</w:t>
      </w:r>
      <w:r w:rsidR="00967F7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377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af </w:t>
      </w:r>
      <w:r w:rsidR="00967F7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4</w:t>
      </w:r>
      <w:r w:rsidR="004910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 april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202</w:t>
      </w:r>
      <w:r w:rsidR="000919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om COVID-19 hos pelsdyr ophæves.</w:t>
      </w:r>
    </w:p>
    <w:p w14:paraId="4E905B35" w14:textId="77777777" w:rsidR="00CC448C" w:rsidRDefault="00CC448C" w:rsidP="00CC448C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FEBFA0" w14:textId="77777777" w:rsidR="00CC448C" w:rsidRPr="00CC448C" w:rsidRDefault="00CC448C" w:rsidP="00CC448C">
      <w:pPr>
        <w:shd w:val="clear" w:color="auto" w:fill="F9F9FB"/>
        <w:spacing w:before="400" w:after="120" w:line="240" w:lineRule="auto"/>
        <w:jc w:val="right"/>
        <w:rPr>
          <w:rFonts w:ascii="Questa-Regular" w:eastAsia="Times New Roman" w:hAnsi="Questa-Regular" w:cs="Times New Roman"/>
          <w:b/>
          <w:bCs/>
          <w:color w:val="212529"/>
          <w:sz w:val="32"/>
          <w:szCs w:val="32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32"/>
          <w:szCs w:val="32"/>
          <w:lang w:eastAsia="da-DK"/>
        </w:rPr>
        <w:lastRenderedPageBreak/>
        <w:t>Bilag 1</w:t>
      </w:r>
    </w:p>
    <w:p w14:paraId="7E0A2A73" w14:textId="77777777" w:rsidR="00CC448C" w:rsidRPr="00CC448C" w:rsidRDefault="00CC448C" w:rsidP="00CC448C">
      <w:pPr>
        <w:shd w:val="clear" w:color="auto" w:fill="F9F9FB"/>
        <w:spacing w:after="120" w:line="240" w:lineRule="auto"/>
        <w:jc w:val="center"/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  <w:t>COVID-19 smittebeskyttelsesplan</w:t>
      </w:r>
    </w:p>
    <w:p w14:paraId="670B68FF" w14:textId="77777777" w:rsidR="00CC448C" w:rsidRPr="00CC448C" w:rsidRDefault="00CC448C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Operatøren udarbejder på baggrund af de konkrete forhold i virksomheden en COVID-19 smittebeskyttelsesplan for virksomheden.</w:t>
      </w:r>
    </w:p>
    <w:p w14:paraId="3BC7FC24" w14:textId="77777777" w:rsidR="00CC448C" w:rsidRPr="00CC448C" w:rsidRDefault="00CC448C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  <w:t>I.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  <w:t xml:space="preserve">Obligatoriske elementer i smittebeskyttelsesplanen, </w:t>
      </w:r>
      <w:r w:rsidRPr="003F3850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  <w:t>jf. § 5, stk. 2.</w:t>
      </w:r>
    </w:p>
    <w:p w14:paraId="0220D470" w14:textId="77777777" w:rsidR="00CC448C" w:rsidRPr="00CC448C" w:rsidRDefault="00CC448C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 COVID-19 smittebeskyttelsesplanen skal der udarbejdes en procedure for følgende elementer: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C448C" w:rsidRPr="00CC448C" w14:paraId="52A5B50A" w14:textId="77777777" w:rsidTr="00CC44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9202"/>
            </w:tblGrid>
            <w:tr w:rsidR="00CC448C" w:rsidRPr="00CC448C" w14:paraId="2AA2921E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40827A9E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68A6E680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Begrænsning af personkredsen, som fast eller lejlighedsvis kommer i virksomheden, mest mulig.</w:t>
                  </w:r>
                </w:p>
                <w:p w14:paraId="65E5AAF1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Besøgende uden relevans for minkproduktionen skal undgås.</w:t>
                  </w:r>
                </w:p>
                <w:p w14:paraId="36DBD5B7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Fortegnelse over ikke-ansatte personer, der kommer i virksomheden, herunder evt. besøgende (”besøgslister”).</w:t>
                  </w:r>
                </w:p>
              </w:tc>
            </w:tr>
            <w:tr w:rsidR="00CC448C" w:rsidRPr="00CC448C" w14:paraId="594BE6D1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9CC4B10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6D686732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Hvorledes det sikres, at personer, der kommer i virksomheden, ikke har symptomer på eller er smittet med COVID-19.</w:t>
                  </w:r>
                </w:p>
              </w:tc>
            </w:tr>
            <w:tr w:rsidR="00CC448C" w:rsidRPr="00CC448C" w14:paraId="2197FD6F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4FE2D14B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4B83FD44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Håndvask med sæbe, tørring med engangspapir-håndklæde efterfulgt af hånddesinfektion, som minimum ved indgang og udgang fra virksomheden.</w:t>
                  </w:r>
                </w:p>
              </w:tc>
            </w:tr>
            <w:tr w:rsidR="00CC448C" w:rsidRPr="00CC448C" w14:paraId="2753F015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5EE25C18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2CF3FD94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Tøjskifte til og fra virksomheden, herunder en beskrivelse af, hvordan det sikres, at tøj anvendt uden for virksomheden</w:t>
                  </w:r>
                  <w:r w:rsidR="00B57D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,</w:t>
                  </w: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 xml:space="preserve"> ikke kommer i kontakt med tøj, der har været anvendt i virksomheden.</w:t>
                  </w:r>
                </w:p>
              </w:tc>
            </w:tr>
            <w:tr w:rsidR="00CC448C" w:rsidRPr="00CC448C" w14:paraId="2B74D536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5A2E1CE2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6170057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Vask af tøj, der har været anvendt i virksomheden, skal foretages ved mindst 60°C på en måde, så støv og virus fra tøjet ikke spredes til omgivelserne.</w:t>
                  </w:r>
                </w:p>
              </w:tc>
            </w:tr>
            <w:tr w:rsidR="00CC448C" w:rsidRPr="00CC448C" w14:paraId="5D79364D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C2436A9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5451B428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Fodtøjsskift eller vask og desinfektion af fodtøj, herunder en beskrivelse af, hvordan det sikres, at fodtøj anvendt i virksomheden, ikke kommer i kontakt med fodtøj, der har været anvendt uden for virksomheden.</w:t>
                  </w:r>
                </w:p>
              </w:tc>
            </w:tr>
            <w:tr w:rsidR="00CC448C" w:rsidRPr="00CC448C" w14:paraId="0BDD4109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0E2504AA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D309552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Bad med sæbe for alle, og at badet foretages ved udgangen af virksomheden som det sidste inden afslutningen af arbejdsdagen.</w:t>
                  </w:r>
                </w:p>
              </w:tc>
            </w:tr>
            <w:tr w:rsidR="00CC448C" w:rsidRPr="00CC448C" w14:paraId="150DBB6E" w14:textId="77777777" w:rsidTr="00B57D25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4214AC5E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2E257189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Brug af kirurgisk maske og ansigtsvisir/beskyttelsesbrille i virksomheden* ved håndtering af pelsdyr.</w:t>
                  </w:r>
                </w:p>
                <w:p w14:paraId="6D815102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*FFP3-maske og tætsiddende beskyttelsesbriller skal anvendes, hvis der er mistanke om eller konstateret smitte i virksomheden.</w:t>
                  </w:r>
                </w:p>
              </w:tc>
            </w:tr>
            <w:tr w:rsidR="00CC448C" w:rsidRPr="00CC448C" w14:paraId="62F4FFA9" w14:textId="77777777" w:rsidTr="00B57D25">
              <w:trPr>
                <w:trHeight w:val="510"/>
              </w:trPr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4ADC2E9F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7BF5646C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Grundig rengøring og desinfektion af udstyr, der deles mellem flere virksomheder med pelsdyr, inden det flyttes til en anden virksomhed.</w:t>
                  </w:r>
                </w:p>
                <w:p w14:paraId="101A7B33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At genstande som f.eks. mobiltelefoner, værktøj o.l. som udgangspunkt ikke bringes med ind i virksomheden. Hvis der medbringes genstande, skal disse desinficeres før og efter adgang til virksomheden. Mobiltelefoner kan anbringes i klar plastpose, som er tæt lukket under ophold i virksomheden.</w:t>
                  </w:r>
                </w:p>
              </w:tc>
            </w:tr>
            <w:tr w:rsidR="00CC448C" w:rsidRPr="00CC448C" w14:paraId="410B72D3" w14:textId="77777777" w:rsidTr="00B57D25">
              <w:trPr>
                <w:trHeight w:val="510"/>
              </w:trPr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6C00CFB5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lastRenderedPageBreak/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762D405F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Fortegnelse over indsamlede døde pelsdyr, f.eks. registreret som antal døde avlshanner, avlstæver, og hvalpe fordelt på hanner og hunner, pr. dag med evt. bemærkninger og andre observationer (f.eks. ændring i foderindtag, opførsel, symptomer), som kan forklare dødsfaldene.</w:t>
                  </w:r>
                </w:p>
              </w:tc>
            </w:tr>
            <w:tr w:rsidR="00CC448C" w:rsidRPr="00CC448C" w14:paraId="0CA5C457" w14:textId="77777777" w:rsidTr="00B57D25">
              <w:trPr>
                <w:trHeight w:val="510"/>
              </w:trPr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6F40DB4C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2629D9DD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Hunde og katte, som færdes i virksomheden, holdes inden for dette område.</w:t>
                  </w:r>
                </w:p>
                <w:p w14:paraId="2E97B273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Dyr, der holdes i hjemmet (familiedyr), ikke har adgang til virksomheden.</w:t>
                  </w:r>
                </w:p>
              </w:tc>
            </w:tr>
          </w:tbl>
          <w:p w14:paraId="4E69F9EC" w14:textId="77777777" w:rsidR="00CC448C" w:rsidRPr="00CC448C" w:rsidRDefault="00CC448C" w:rsidP="00CC448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</w:p>
        </w:tc>
      </w:tr>
    </w:tbl>
    <w:p w14:paraId="3A1F2676" w14:textId="77777777" w:rsidR="00B57D25" w:rsidRDefault="00B57D25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</w:pPr>
    </w:p>
    <w:p w14:paraId="581350F0" w14:textId="77777777" w:rsidR="00CC448C" w:rsidRPr="00CC448C" w:rsidRDefault="00CC448C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  <w:t>II.</w:t>
      </w: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Pr="00CC448C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u w:val="single"/>
          <w:lang w:eastAsia="da-DK"/>
        </w:rPr>
        <w:t>Anbefalede elementer i smittebeskyttelsesplanen.</w:t>
      </w:r>
    </w:p>
    <w:p w14:paraId="7814D961" w14:textId="77777777" w:rsidR="00CC448C" w:rsidRPr="00CC448C" w:rsidRDefault="00CC448C" w:rsidP="00CC448C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For at mindske risikoen for overførsel af smitte fra personer, der arbejder i virksomheden, anbefales det, at operatøren i smittebeskyttelsesplanen indarbejder følgende elementer: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C448C" w:rsidRPr="00CC448C" w14:paraId="73C1F2A6" w14:textId="77777777" w:rsidTr="00CC44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9202"/>
            </w:tblGrid>
            <w:tr w:rsidR="00CC448C" w:rsidRPr="00CC448C" w14:paraId="7AC0240D" w14:textId="77777777" w:rsidTr="002F45F8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52E46868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1F863586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Retningslinjer for test af personer, der arbejder i virksomheden, jf. Statens Serum Instituts retningslinjer som kan findes på Statens Serum Instituts hjemmeside (www.covid.ssi.dk)</w:t>
                  </w:r>
                </w:p>
              </w:tc>
            </w:tr>
            <w:tr w:rsidR="00CC448C" w:rsidRPr="00CC448C" w14:paraId="4F14020B" w14:textId="77777777" w:rsidTr="002F45F8">
              <w:tc>
                <w:tcPr>
                  <w:tcW w:w="0" w:type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83406C7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9202" w:type="dxa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3EF4C41A" w14:textId="77777777" w:rsidR="00CC448C" w:rsidRPr="00CC448C" w:rsidRDefault="00CC448C" w:rsidP="00CC4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CC4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Retningslinjer for at personer, der har været i en rask, mistænkt eller smittet virksomhed med pelsdyr eller på et pelseri, ikke gives adgang til virksomheden inden for de første 24 timer, efter kontakten ophørte.</w:t>
                  </w:r>
                </w:p>
              </w:tc>
            </w:tr>
          </w:tbl>
          <w:p w14:paraId="4D9F4FB7" w14:textId="77777777" w:rsidR="00CC448C" w:rsidRPr="00CC448C" w:rsidRDefault="00CC448C" w:rsidP="00CC448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</w:p>
        </w:tc>
      </w:tr>
    </w:tbl>
    <w:p w14:paraId="7286BBF8" w14:textId="77777777" w:rsidR="00CC448C" w:rsidRPr="00CC448C" w:rsidRDefault="00CC448C" w:rsidP="00CC448C">
      <w:pPr>
        <w:shd w:val="clear" w:color="auto" w:fill="E1ECDF"/>
        <w:spacing w:after="150" w:line="240" w:lineRule="auto"/>
        <w:jc w:val="center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Officielle noter</w:t>
      </w:r>
    </w:p>
    <w:bookmarkStart w:id="2" w:name="id6a60966c-b07d-469c-ae6e-1d4cf3acd6e6"/>
    <w:p w14:paraId="35E60810" w14:textId="77777777" w:rsidR="00CC448C" w:rsidRPr="00CC448C" w:rsidRDefault="00CC448C" w:rsidP="00CC448C">
      <w:pPr>
        <w:shd w:val="clear" w:color="auto" w:fill="F9F9FB"/>
        <w:spacing w:before="40" w:after="40" w:line="240" w:lineRule="auto"/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</w:pPr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fldChar w:fldCharType="begin"/>
      </w:r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instrText xml:space="preserve"> HYPERLINK "https://www.retsinformation.dk/eli/lta/2023/2" \l "Henvisning_id6a60966c-b07d-469c-ae6e-1d4cf3acd6e6" </w:instrText>
      </w:r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fldChar w:fldCharType="separate"/>
      </w:r>
      <w:r w:rsidRPr="00CC448C">
        <w:rPr>
          <w:rFonts w:ascii="Questa-Regular" w:eastAsia="Times New Roman" w:hAnsi="Questa-Regular" w:cs="Times New Roman"/>
          <w:color w:val="176D41"/>
          <w:sz w:val="16"/>
          <w:szCs w:val="16"/>
          <w:u w:val="single"/>
          <w:vertAlign w:val="superscript"/>
          <w:lang w:eastAsia="da-DK"/>
        </w:rPr>
        <w:t>1)</w:t>
      </w:r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fldChar w:fldCharType="end"/>
      </w:r>
      <w:bookmarkEnd w:id="2"/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t xml:space="preserve"> I bekendtgørelsen er der medtaget visse bestemmelser fra Europa-Parlamentets og Rådets forordning (EU) 2016/429 af 9. marts 2016 om overførbare dyresygdomme og om ændring og ophævelse af visse retsakter på området for dyresundhed (“dyresundhedsloven”), EU-Tidende 2016, nr. L 84, side 1. Ifølge artikel 288 i </w:t>
      </w:r>
      <w:proofErr w:type="spellStart"/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t>EUF-Traktaten</w:t>
      </w:r>
      <w:proofErr w:type="spellEnd"/>
      <w:r w:rsidRPr="00CC448C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t xml:space="preserve"> gælder en forordning umiddelbart i hver medlemsstat. Gengivelse af disse bestemmelser i bekendtgørelsen er således udelukkende begrundet i praktiske hensyn og berører ikke den nævnte forordnings umiddelbare gyldighed i Danmark. Bekendtgørelsen indeholder bestemmelser, der som udkast har været notificeret i overensstemmelse med Europa-Parlamentets og Rådets direktiv 2015/1535/EU om en informationsprocedure med hensyn til tekniske forskrifter samt forskrifter for informationssamfundets tjenester (kodifikation) (informationsproceduredirektivet).</w:t>
      </w:r>
    </w:p>
    <w:p w14:paraId="54D0281A" w14:textId="77777777" w:rsidR="00B67844" w:rsidRDefault="00B67844"/>
    <w:sectPr w:rsidR="00B678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7F9"/>
    <w:multiLevelType w:val="hybridMultilevel"/>
    <w:tmpl w:val="C924E4EC"/>
    <w:lvl w:ilvl="0" w:tplc="3FC498D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7E80038"/>
    <w:multiLevelType w:val="hybridMultilevel"/>
    <w:tmpl w:val="0EC6185C"/>
    <w:lvl w:ilvl="0" w:tplc="04060011">
      <w:start w:val="1"/>
      <w:numFmt w:val="decimal"/>
      <w:lvlText w:val="%1)"/>
      <w:lvlJc w:val="left"/>
      <w:pPr>
        <w:ind w:left="1000" w:hanging="360"/>
      </w:p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8E364BB"/>
    <w:multiLevelType w:val="hybridMultilevel"/>
    <w:tmpl w:val="1AD477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D84"/>
    <w:multiLevelType w:val="hybridMultilevel"/>
    <w:tmpl w:val="100C0782"/>
    <w:lvl w:ilvl="0" w:tplc="E8ACBF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EA568F1"/>
    <w:multiLevelType w:val="hybridMultilevel"/>
    <w:tmpl w:val="E34EBBEC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24047768"/>
    <w:multiLevelType w:val="hybridMultilevel"/>
    <w:tmpl w:val="26D4EA32"/>
    <w:lvl w:ilvl="0" w:tplc="3FC498DA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5405B"/>
    <w:multiLevelType w:val="hybridMultilevel"/>
    <w:tmpl w:val="A2D08F14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5A64171A">
      <w:start w:val="1"/>
      <w:numFmt w:val="lowerLetter"/>
      <w:lvlText w:val="%2)"/>
      <w:lvlJc w:val="left"/>
      <w:pPr>
        <w:ind w:left="136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3270D76"/>
    <w:multiLevelType w:val="hybridMultilevel"/>
    <w:tmpl w:val="482C556A"/>
    <w:lvl w:ilvl="0" w:tplc="04060017">
      <w:start w:val="1"/>
      <w:numFmt w:val="lowerLetter"/>
      <w:lvlText w:val="%1)"/>
      <w:lvlJc w:val="left"/>
      <w:pPr>
        <w:ind w:left="1360" w:hanging="360"/>
      </w:pPr>
    </w:lvl>
    <w:lvl w:ilvl="1" w:tplc="04060019">
      <w:start w:val="1"/>
      <w:numFmt w:val="lowerLetter"/>
      <w:lvlText w:val="%2."/>
      <w:lvlJc w:val="left"/>
      <w:pPr>
        <w:ind w:left="2080" w:hanging="360"/>
      </w:pPr>
    </w:lvl>
    <w:lvl w:ilvl="2" w:tplc="0406001B" w:tentative="1">
      <w:start w:val="1"/>
      <w:numFmt w:val="lowerRoman"/>
      <w:lvlText w:val="%3."/>
      <w:lvlJc w:val="right"/>
      <w:pPr>
        <w:ind w:left="2800" w:hanging="180"/>
      </w:pPr>
    </w:lvl>
    <w:lvl w:ilvl="3" w:tplc="0406000F" w:tentative="1">
      <w:start w:val="1"/>
      <w:numFmt w:val="decimal"/>
      <w:lvlText w:val="%4."/>
      <w:lvlJc w:val="left"/>
      <w:pPr>
        <w:ind w:left="3520" w:hanging="360"/>
      </w:pPr>
    </w:lvl>
    <w:lvl w:ilvl="4" w:tplc="04060019" w:tentative="1">
      <w:start w:val="1"/>
      <w:numFmt w:val="lowerLetter"/>
      <w:lvlText w:val="%5."/>
      <w:lvlJc w:val="left"/>
      <w:pPr>
        <w:ind w:left="4240" w:hanging="360"/>
      </w:pPr>
    </w:lvl>
    <w:lvl w:ilvl="5" w:tplc="0406001B" w:tentative="1">
      <w:start w:val="1"/>
      <w:numFmt w:val="lowerRoman"/>
      <w:lvlText w:val="%6."/>
      <w:lvlJc w:val="right"/>
      <w:pPr>
        <w:ind w:left="4960" w:hanging="180"/>
      </w:pPr>
    </w:lvl>
    <w:lvl w:ilvl="6" w:tplc="0406000F" w:tentative="1">
      <w:start w:val="1"/>
      <w:numFmt w:val="decimal"/>
      <w:lvlText w:val="%7."/>
      <w:lvlJc w:val="left"/>
      <w:pPr>
        <w:ind w:left="5680" w:hanging="360"/>
      </w:pPr>
    </w:lvl>
    <w:lvl w:ilvl="7" w:tplc="04060019" w:tentative="1">
      <w:start w:val="1"/>
      <w:numFmt w:val="lowerLetter"/>
      <w:lvlText w:val="%8."/>
      <w:lvlJc w:val="left"/>
      <w:pPr>
        <w:ind w:left="6400" w:hanging="360"/>
      </w:pPr>
    </w:lvl>
    <w:lvl w:ilvl="8" w:tplc="040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41353DA6"/>
    <w:multiLevelType w:val="hybridMultilevel"/>
    <w:tmpl w:val="A4944D8A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D5769D34">
      <w:start w:val="1"/>
      <w:numFmt w:val="lowerLetter"/>
      <w:lvlText w:val="%2)"/>
      <w:lvlJc w:val="left"/>
      <w:pPr>
        <w:ind w:left="136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527C341A"/>
    <w:multiLevelType w:val="hybridMultilevel"/>
    <w:tmpl w:val="2144AC80"/>
    <w:lvl w:ilvl="0" w:tplc="04060011">
      <w:start w:val="1"/>
      <w:numFmt w:val="decimal"/>
      <w:lvlText w:val="%1)"/>
      <w:lvlJc w:val="left"/>
      <w:pPr>
        <w:ind w:left="600" w:hanging="360"/>
      </w:p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317612E"/>
    <w:multiLevelType w:val="hybridMultilevel"/>
    <w:tmpl w:val="1430E0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2FFF"/>
    <w:multiLevelType w:val="hybridMultilevel"/>
    <w:tmpl w:val="1BA85D32"/>
    <w:lvl w:ilvl="0" w:tplc="3FC498D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5C6F5A47"/>
    <w:multiLevelType w:val="hybridMultilevel"/>
    <w:tmpl w:val="286AB974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61012F4C"/>
    <w:multiLevelType w:val="hybridMultilevel"/>
    <w:tmpl w:val="6BCE240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6910"/>
    <w:multiLevelType w:val="hybridMultilevel"/>
    <w:tmpl w:val="6D5CE356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63CC4395"/>
    <w:multiLevelType w:val="hybridMultilevel"/>
    <w:tmpl w:val="98404E1E"/>
    <w:lvl w:ilvl="0" w:tplc="3FC498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66726A3F"/>
    <w:multiLevelType w:val="hybridMultilevel"/>
    <w:tmpl w:val="D256EDC8"/>
    <w:lvl w:ilvl="0" w:tplc="CABAED02">
      <w:start w:val="1"/>
      <w:numFmt w:val="decimal"/>
      <w:lvlText w:val="%1)"/>
      <w:lvlJc w:val="left"/>
      <w:pPr>
        <w:ind w:left="64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71C43631"/>
    <w:multiLevelType w:val="hybridMultilevel"/>
    <w:tmpl w:val="29EA468C"/>
    <w:lvl w:ilvl="0" w:tplc="D310A1E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78CD20E6"/>
    <w:multiLevelType w:val="hybridMultilevel"/>
    <w:tmpl w:val="B3A2E1D2"/>
    <w:lvl w:ilvl="0" w:tplc="04060011">
      <w:start w:val="1"/>
      <w:numFmt w:val="decimal"/>
      <w:lvlText w:val="%1)"/>
      <w:lvlJc w:val="left"/>
      <w:pPr>
        <w:ind w:left="600" w:hanging="360"/>
      </w:p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9"/>
  </w:num>
  <w:num w:numId="7">
    <w:abstractNumId w:val="17"/>
  </w:num>
  <w:num w:numId="8">
    <w:abstractNumId w:val="18"/>
  </w:num>
  <w:num w:numId="9">
    <w:abstractNumId w:val="14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1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YiGUlErwca4uO/puxmjxpKl3eWDTNCLay9AfXrPaLIe9hreLkNVGobc9/m5Hhz"/>
  </w:docVars>
  <w:rsids>
    <w:rsidRoot w:val="00CC448C"/>
    <w:rsid w:val="0002532D"/>
    <w:rsid w:val="00073307"/>
    <w:rsid w:val="000769E8"/>
    <w:rsid w:val="0008247F"/>
    <w:rsid w:val="000919A6"/>
    <w:rsid w:val="000B3732"/>
    <w:rsid w:val="000B49D7"/>
    <w:rsid w:val="000B54A2"/>
    <w:rsid w:val="000C7E5D"/>
    <w:rsid w:val="001272AD"/>
    <w:rsid w:val="00176683"/>
    <w:rsid w:val="0019417D"/>
    <w:rsid w:val="001C38F4"/>
    <w:rsid w:val="00215769"/>
    <w:rsid w:val="00227D5C"/>
    <w:rsid w:val="00253F57"/>
    <w:rsid w:val="00276F3A"/>
    <w:rsid w:val="002C6902"/>
    <w:rsid w:val="002F45F8"/>
    <w:rsid w:val="00353D72"/>
    <w:rsid w:val="003553E0"/>
    <w:rsid w:val="003578A2"/>
    <w:rsid w:val="00357A54"/>
    <w:rsid w:val="0036608F"/>
    <w:rsid w:val="003676FA"/>
    <w:rsid w:val="00367813"/>
    <w:rsid w:val="003F3850"/>
    <w:rsid w:val="00427EF3"/>
    <w:rsid w:val="00491003"/>
    <w:rsid w:val="004A7C73"/>
    <w:rsid w:val="004B18BB"/>
    <w:rsid w:val="00510A3F"/>
    <w:rsid w:val="005B2847"/>
    <w:rsid w:val="005F2B9A"/>
    <w:rsid w:val="006158D6"/>
    <w:rsid w:val="007272DB"/>
    <w:rsid w:val="00766280"/>
    <w:rsid w:val="0079194F"/>
    <w:rsid w:val="008117FF"/>
    <w:rsid w:val="00812C90"/>
    <w:rsid w:val="008219AF"/>
    <w:rsid w:val="00867BB5"/>
    <w:rsid w:val="008B3148"/>
    <w:rsid w:val="008D1813"/>
    <w:rsid w:val="008D1B91"/>
    <w:rsid w:val="00931327"/>
    <w:rsid w:val="00934538"/>
    <w:rsid w:val="00967F76"/>
    <w:rsid w:val="009D3EC0"/>
    <w:rsid w:val="00A11205"/>
    <w:rsid w:val="00A17045"/>
    <w:rsid w:val="00A37D6D"/>
    <w:rsid w:val="00A4462B"/>
    <w:rsid w:val="00A61AFC"/>
    <w:rsid w:val="00AF6202"/>
    <w:rsid w:val="00B42FF3"/>
    <w:rsid w:val="00B57D25"/>
    <w:rsid w:val="00B67844"/>
    <w:rsid w:val="00BA0C9C"/>
    <w:rsid w:val="00BB16B9"/>
    <w:rsid w:val="00BB2831"/>
    <w:rsid w:val="00BD4D94"/>
    <w:rsid w:val="00BE0213"/>
    <w:rsid w:val="00C02678"/>
    <w:rsid w:val="00C8257C"/>
    <w:rsid w:val="00CC448C"/>
    <w:rsid w:val="00D72BDC"/>
    <w:rsid w:val="00D92EBE"/>
    <w:rsid w:val="00E4241E"/>
    <w:rsid w:val="00E47C03"/>
    <w:rsid w:val="00E70D69"/>
    <w:rsid w:val="00E7492D"/>
    <w:rsid w:val="00E81832"/>
    <w:rsid w:val="00E82DBC"/>
    <w:rsid w:val="00EC5EF2"/>
    <w:rsid w:val="00F61381"/>
    <w:rsid w:val="00F74FA5"/>
    <w:rsid w:val="00F84D73"/>
    <w:rsid w:val="00F8566A"/>
    <w:rsid w:val="00F86101"/>
    <w:rsid w:val="00F90EEE"/>
    <w:rsid w:val="00F94413"/>
    <w:rsid w:val="00F94882"/>
    <w:rsid w:val="00FB09AA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C78"/>
  <w15:chartTrackingRefBased/>
  <w15:docId w15:val="{8002A71E-9080-4183-9617-81842E3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9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C448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448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448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448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448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448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8247F"/>
    <w:pPr>
      <w:ind w:left="720"/>
      <w:contextualSpacing/>
    </w:pPr>
  </w:style>
  <w:style w:type="character" w:customStyle="1" w:styleId="stknr">
    <w:name w:val="stknr"/>
    <w:basedOn w:val="Standardskrifttypeiafsnit"/>
    <w:rsid w:val="00766280"/>
  </w:style>
  <w:style w:type="paragraph" w:customStyle="1" w:styleId="paragraf">
    <w:name w:val="paragraf"/>
    <w:basedOn w:val="Normal"/>
    <w:rsid w:val="00B6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B67844"/>
  </w:style>
  <w:style w:type="paragraph" w:customStyle="1" w:styleId="stk2">
    <w:name w:val="stk2"/>
    <w:basedOn w:val="Normal"/>
    <w:rsid w:val="00B6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Normal1">
    <w:name w:val="Normal1"/>
    <w:basedOn w:val="Normal"/>
    <w:rsid w:val="00B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57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2043</Words>
  <Characters>12468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Rørbæk Gantzhorn</dc:creator>
  <cp:keywords/>
  <dc:description/>
  <cp:lastModifiedBy>Cathrine Kaaber Sørensen</cp:lastModifiedBy>
  <cp:revision>2</cp:revision>
  <cp:lastPrinted>2023-04-03T11:42:00Z</cp:lastPrinted>
  <dcterms:created xsi:type="dcterms:W3CDTF">2023-07-06T05:13:00Z</dcterms:created>
  <dcterms:modified xsi:type="dcterms:W3CDTF">2023-07-06T05:13:00Z</dcterms:modified>
</cp:coreProperties>
</file>