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38C7" w14:textId="729F32FC" w:rsidR="00E57522" w:rsidRDefault="00B72BA3" w:rsidP="003967FE">
      <w:pPr>
        <w:pStyle w:val="Pagedecouverture"/>
      </w:pPr>
      <w:r>
        <w:rPr>
          <w:noProof/>
        </w:rPr>
        <w:drawing>
          <wp:inline distT="0" distB="0" distL="0" distR="0" wp14:anchorId="1BE8E4D0" wp14:editId="0C2E988E">
            <wp:extent cx="5781675" cy="5410200"/>
            <wp:effectExtent l="0" t="0" r="0" b="0"/>
            <wp:docPr id="1" name="Billede 1" descr="69234C1D-73D6-4F5D-BB1E-F608C1B72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9234C1D-73D6-4F5D-BB1E-F608C1B722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81675" cy="5410200"/>
                    </a:xfrm>
                    <a:prstGeom prst="rect">
                      <a:avLst/>
                    </a:prstGeom>
                    <a:noFill/>
                    <a:ln>
                      <a:noFill/>
                    </a:ln>
                  </pic:spPr>
                </pic:pic>
              </a:graphicData>
            </a:graphic>
          </wp:inline>
        </w:drawing>
      </w:r>
    </w:p>
    <w:p w14:paraId="5CEAB1E2" w14:textId="77777777" w:rsidR="00CB0320" w:rsidRDefault="00CB0320" w:rsidP="00CB0320"/>
    <w:p w14:paraId="32B7235D" w14:textId="77777777" w:rsidR="00CB0320" w:rsidRPr="003E3022" w:rsidRDefault="00CB0320" w:rsidP="00CB0320">
      <w:pPr>
        <w:pBdr>
          <w:top w:val="single" w:sz="4" w:space="1" w:color="auto"/>
          <w:left w:val="single" w:sz="4" w:space="4" w:color="auto"/>
          <w:bottom w:val="single" w:sz="4" w:space="1" w:color="auto"/>
          <w:right w:val="single" w:sz="4" w:space="4" w:color="auto"/>
        </w:pBdr>
        <w:rPr>
          <w:rFonts w:eastAsia="Times New Roman"/>
          <w:szCs w:val="24"/>
        </w:rPr>
      </w:pPr>
      <w:r w:rsidRPr="003E3022">
        <w:rPr>
          <w:rFonts w:eastAsia="Times New Roman"/>
          <w:szCs w:val="24"/>
        </w:rPr>
        <w:t>This draft has not been adopted or endorsed by the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w:t>
      </w:r>
      <w:r>
        <w:rPr>
          <w:rFonts w:eastAsia="Times New Roman"/>
          <w:szCs w:val="24"/>
        </w:rPr>
        <w:t>l</w:t>
      </w:r>
    </w:p>
    <w:p w14:paraId="3CDBF249" w14:textId="77777777" w:rsidR="00CB0320" w:rsidRPr="00CB0320" w:rsidRDefault="00CB0320" w:rsidP="00CB0320"/>
    <w:p w14:paraId="0719F5C0" w14:textId="77777777" w:rsidR="00DA3A41" w:rsidRPr="00395719" w:rsidRDefault="00DA3A41" w:rsidP="00DA3A41">
      <w:pPr>
        <w:sectPr w:rsidR="00DA3A41" w:rsidRPr="00395719" w:rsidSect="00304D4A">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14:paraId="09F576DC" w14:textId="77777777" w:rsidR="00E57522" w:rsidRPr="00395719" w:rsidRDefault="00E57522" w:rsidP="00684A51">
      <w:pPr>
        <w:pStyle w:val="Exposdesmotifstitre"/>
      </w:pPr>
      <w:r w:rsidRPr="00395719">
        <w:lastRenderedPageBreak/>
        <w:t>EXPLANATORY MEMORANDUM</w:t>
      </w:r>
    </w:p>
    <w:p w14:paraId="28DD7A90" w14:textId="77777777" w:rsidR="00E57522" w:rsidRPr="00395719" w:rsidRDefault="00E57522" w:rsidP="00684A51">
      <w:pPr>
        <w:pStyle w:val="ManualHeading1"/>
      </w:pPr>
      <w:r w:rsidRPr="00395719">
        <w:t>1.</w:t>
      </w:r>
      <w:r w:rsidRPr="00395719">
        <w:tab/>
        <w:t>CONTEXT OF THE DELEGATED ACT</w:t>
      </w:r>
    </w:p>
    <w:p w14:paraId="53B3B955" w14:textId="77777777" w:rsidR="00E01F52" w:rsidRPr="00395719" w:rsidRDefault="00E01F52" w:rsidP="00E01F52">
      <w:r w:rsidRPr="00395719">
        <w:rPr>
          <w:rFonts w:eastAsia="Times New Roman"/>
        </w:rPr>
        <w:t>Regulation (EU) 2016/429</w:t>
      </w:r>
      <w:r w:rsidR="00C0430C" w:rsidRPr="00395719">
        <w:rPr>
          <w:rStyle w:val="Fodnotehenvisning"/>
          <w:rFonts w:eastAsia="Times New Roman"/>
        </w:rPr>
        <w:footnoteReference w:id="2"/>
      </w:r>
      <w:r w:rsidRPr="00395719">
        <w:rPr>
          <w:rFonts w:eastAsia="Times New Roman"/>
        </w:rPr>
        <w:t xml:space="preserve"> of the European Parliament and of the Council of 9 March 2016 on transmissible animal diseases and amending and repealing certain acts in the area of animal health (‘Animal Health Law’) lays down rules on transmissible animal diseases and rules for animal health requirements for movements within the Union of terrestrial animals and hatching eggs.</w:t>
      </w:r>
    </w:p>
    <w:p w14:paraId="30D9D59C" w14:textId="77777777" w:rsidR="00E01F52" w:rsidRPr="00395719" w:rsidRDefault="00E01F52">
      <w:pPr>
        <w:rPr>
          <w:rFonts w:eastAsia="Times New Roman"/>
        </w:rPr>
      </w:pPr>
      <w:r w:rsidRPr="00395719">
        <w:rPr>
          <w:rFonts w:eastAsia="Times New Roman"/>
        </w:rPr>
        <w:t>Commission Delegated Regulation (EU) 2020/688</w:t>
      </w:r>
      <w:r w:rsidR="00C0430C" w:rsidRPr="00395719">
        <w:rPr>
          <w:rStyle w:val="Fodnotehenvisning"/>
          <w:rFonts w:eastAsia="Times New Roman"/>
        </w:rPr>
        <w:footnoteReference w:id="3"/>
      </w:r>
      <w:r w:rsidRPr="00395719">
        <w:rPr>
          <w:rFonts w:eastAsia="Times New Roman"/>
        </w:rPr>
        <w:t xml:space="preserve"> supplements the rules for the prevention and control of animal diseases transmissible to animals or to humans laid down in Article 5(1) of Regulation (EU) 2016/429 as regards movements within the Union of kept terrestrial animals, wild terrestrial animals and hatching eggs.</w:t>
      </w:r>
    </w:p>
    <w:p w14:paraId="5C85868C" w14:textId="77777777" w:rsidR="00E9030B" w:rsidRPr="00395719" w:rsidRDefault="00ED2A07" w:rsidP="00ED2A07">
      <w:r w:rsidRPr="00395719">
        <w:rPr>
          <w:noProof/>
        </w:rPr>
        <w:t xml:space="preserve">Delegated Regulation (EU) </w:t>
      </w:r>
      <w:r w:rsidRPr="00395719">
        <w:rPr>
          <w:rFonts w:eastAsia="Times New Roman"/>
        </w:rPr>
        <w:t xml:space="preserve">2020/688 </w:t>
      </w:r>
      <w:r w:rsidRPr="00395719">
        <w:rPr>
          <w:noProof/>
        </w:rPr>
        <w:t xml:space="preserve">applies from 21 April 2021. </w:t>
      </w:r>
      <w:r w:rsidR="009368B3" w:rsidRPr="00395719">
        <w:rPr>
          <w:noProof/>
        </w:rPr>
        <w:t xml:space="preserve">Since that date, the epidemiological situation related to </w:t>
      </w:r>
      <w:r w:rsidR="009368B3" w:rsidRPr="00395719">
        <w:rPr>
          <w:rFonts w:eastAsia="Times New Roman"/>
        </w:rPr>
        <w:t xml:space="preserve">infection with </w:t>
      </w:r>
      <w:r w:rsidR="009368B3" w:rsidRPr="00395719">
        <w:t xml:space="preserve">epizootic haemorrhagic disease virus has changed, following the notification of outbreaks in several Member States in late 2022. </w:t>
      </w:r>
    </w:p>
    <w:p w14:paraId="19060A6D" w14:textId="624B4A14" w:rsidR="00E9030B" w:rsidRPr="00395719" w:rsidRDefault="009368B3" w:rsidP="00ED2A07">
      <w:pPr>
        <w:rPr>
          <w:rFonts w:eastAsia="Times New Roman"/>
        </w:rPr>
      </w:pPr>
      <w:r w:rsidRPr="00395719">
        <w:t xml:space="preserve">Due to this new epidemiological situation, the </w:t>
      </w:r>
      <w:r w:rsidRPr="00395719">
        <w:rPr>
          <w:rFonts w:eastAsia="Times New Roman"/>
        </w:rPr>
        <w:t>movements to other Member States of certain listed species susceptible to the disease have been affected. Commission Delegated Regulation (EU) 2023/2515</w:t>
      </w:r>
      <w:r w:rsidRPr="00395719">
        <w:rPr>
          <w:rStyle w:val="Fodnotehenvisning"/>
          <w:rFonts w:eastAsia="Times New Roman"/>
        </w:rPr>
        <w:footnoteReference w:id="4"/>
      </w:r>
      <w:r w:rsidRPr="00395719">
        <w:rPr>
          <w:rFonts w:eastAsia="Times New Roman"/>
        </w:rPr>
        <w:t xml:space="preserve"> provided for </w:t>
      </w:r>
      <w:r w:rsidR="005E3A10" w:rsidRPr="00395719">
        <w:rPr>
          <w:rFonts w:eastAsia="Times New Roman"/>
        </w:rPr>
        <w:t xml:space="preserve">alternative </w:t>
      </w:r>
      <w:r w:rsidRPr="00395719">
        <w:rPr>
          <w:rFonts w:eastAsia="Times New Roman"/>
        </w:rPr>
        <w:t>risk-mitigating measures</w:t>
      </w:r>
      <w:r w:rsidR="00E9030B" w:rsidRPr="00395719">
        <w:rPr>
          <w:rFonts w:eastAsia="Times New Roman"/>
        </w:rPr>
        <w:t xml:space="preserve"> while continuing with the prevention of its spreading on account of movements between Member States</w:t>
      </w:r>
      <w:r w:rsidR="00EC10B6" w:rsidRPr="00395719">
        <w:rPr>
          <w:rFonts w:eastAsia="Times New Roman"/>
        </w:rPr>
        <w:t xml:space="preserve"> and to provide for safe movements of susceptible animals</w:t>
      </w:r>
      <w:r w:rsidR="00E9030B" w:rsidRPr="00395719">
        <w:rPr>
          <w:rFonts w:eastAsia="Times New Roman"/>
        </w:rPr>
        <w:t xml:space="preserve">. </w:t>
      </w:r>
    </w:p>
    <w:p w14:paraId="12F4938C" w14:textId="475985AC" w:rsidR="009368B3" w:rsidRPr="00395719" w:rsidRDefault="005405C1" w:rsidP="00ED2A07">
      <w:pPr>
        <w:rPr>
          <w:noProof/>
        </w:rPr>
      </w:pPr>
      <w:r w:rsidRPr="00395719">
        <w:rPr>
          <w:noProof/>
        </w:rPr>
        <w:t xml:space="preserve">The experience gained </w:t>
      </w:r>
      <w:r w:rsidR="005E3A10" w:rsidRPr="00395719">
        <w:rPr>
          <w:noProof/>
        </w:rPr>
        <w:t xml:space="preserve">during </w:t>
      </w:r>
      <w:r w:rsidR="001C031C" w:rsidRPr="00395719">
        <w:rPr>
          <w:noProof/>
        </w:rPr>
        <w:t xml:space="preserve">the </w:t>
      </w:r>
      <w:r w:rsidRPr="00395719">
        <w:rPr>
          <w:noProof/>
        </w:rPr>
        <w:t xml:space="preserve">application </w:t>
      </w:r>
      <w:r w:rsidR="001C031C" w:rsidRPr="00395719">
        <w:rPr>
          <w:noProof/>
        </w:rPr>
        <w:t xml:space="preserve">of </w:t>
      </w:r>
      <w:r w:rsidR="001C031C" w:rsidRPr="00395719">
        <w:rPr>
          <w:rFonts w:eastAsia="Times New Roman"/>
        </w:rPr>
        <w:t xml:space="preserve">Delegated Regulation (EU) 2020/688 </w:t>
      </w:r>
      <w:r w:rsidR="005E3A10" w:rsidRPr="00395719">
        <w:rPr>
          <w:rFonts w:eastAsia="Times New Roman"/>
        </w:rPr>
        <w:t xml:space="preserve">including its latest amendment, and information from competent authorities of the Member States </w:t>
      </w:r>
      <w:r w:rsidRPr="00395719">
        <w:rPr>
          <w:noProof/>
        </w:rPr>
        <w:t>has shown the ne</w:t>
      </w:r>
      <w:r w:rsidR="00F54518" w:rsidRPr="00395719">
        <w:rPr>
          <w:noProof/>
        </w:rPr>
        <w:t>ccesity</w:t>
      </w:r>
      <w:r w:rsidRPr="00395719">
        <w:rPr>
          <w:noProof/>
        </w:rPr>
        <w:t xml:space="preserve"> to provide for two </w:t>
      </w:r>
      <w:r w:rsidR="005E3A10" w:rsidRPr="00395719">
        <w:rPr>
          <w:noProof/>
        </w:rPr>
        <w:t xml:space="preserve">more alternative </w:t>
      </w:r>
      <w:r w:rsidRPr="00395719">
        <w:rPr>
          <w:noProof/>
        </w:rPr>
        <w:t>risk mitigating measures:</w:t>
      </w:r>
    </w:p>
    <w:p w14:paraId="33D654F7" w14:textId="5716F718" w:rsidR="005405C1" w:rsidRPr="00395719" w:rsidRDefault="005E3A10" w:rsidP="00E30B60">
      <w:pPr>
        <w:pStyle w:val="Tiret0"/>
        <w:numPr>
          <w:ilvl w:val="0"/>
          <w:numId w:val="10"/>
        </w:numPr>
        <w:rPr>
          <w:noProof/>
        </w:rPr>
      </w:pPr>
      <w:r w:rsidRPr="00395719">
        <w:rPr>
          <w:noProof/>
        </w:rPr>
        <w:t xml:space="preserve">requirements </w:t>
      </w:r>
      <w:r w:rsidR="00EC10B6" w:rsidRPr="00395719">
        <w:rPr>
          <w:noProof/>
        </w:rPr>
        <w:t>related to</w:t>
      </w:r>
      <w:r w:rsidRPr="00395719">
        <w:rPr>
          <w:noProof/>
        </w:rPr>
        <w:t xml:space="preserve"> </w:t>
      </w:r>
      <w:r w:rsidR="001C031C" w:rsidRPr="00395719">
        <w:rPr>
          <w:noProof/>
        </w:rPr>
        <w:t>vaccination</w:t>
      </w:r>
      <w:r w:rsidR="005405C1" w:rsidRPr="00395719">
        <w:rPr>
          <w:noProof/>
        </w:rPr>
        <w:t xml:space="preserve">; </w:t>
      </w:r>
    </w:p>
    <w:p w14:paraId="0B47FB5A" w14:textId="037130C5" w:rsidR="00685876" w:rsidRDefault="00EC10B6" w:rsidP="00C84754">
      <w:pPr>
        <w:pStyle w:val="Tiret0"/>
        <w:numPr>
          <w:ilvl w:val="0"/>
          <w:numId w:val="10"/>
        </w:numPr>
        <w:rPr>
          <w:noProof/>
        </w:rPr>
      </w:pPr>
      <w:r w:rsidRPr="00395719">
        <w:rPr>
          <w:noProof/>
        </w:rPr>
        <w:t xml:space="preserve">a framework for different </w:t>
      </w:r>
      <w:r w:rsidR="005405C1" w:rsidRPr="00395719">
        <w:rPr>
          <w:noProof/>
        </w:rPr>
        <w:t xml:space="preserve">animal health requirements </w:t>
      </w:r>
      <w:r w:rsidRPr="00395719">
        <w:rPr>
          <w:noProof/>
        </w:rPr>
        <w:t xml:space="preserve">under derogation </w:t>
      </w:r>
      <w:r w:rsidR="005405C1" w:rsidRPr="00395719">
        <w:rPr>
          <w:noProof/>
        </w:rPr>
        <w:t xml:space="preserve">that the competent authority </w:t>
      </w:r>
      <w:r w:rsidR="001C031C" w:rsidRPr="00395719">
        <w:rPr>
          <w:noProof/>
        </w:rPr>
        <w:t xml:space="preserve">of the Member State of destination </w:t>
      </w:r>
      <w:r w:rsidRPr="00395719">
        <w:rPr>
          <w:noProof/>
        </w:rPr>
        <w:t xml:space="preserve">may wish to specifically </w:t>
      </w:r>
      <w:r w:rsidR="001C031C" w:rsidRPr="00395719">
        <w:rPr>
          <w:noProof/>
        </w:rPr>
        <w:t xml:space="preserve">establish </w:t>
      </w:r>
      <w:r w:rsidR="005405C1" w:rsidRPr="00395719">
        <w:rPr>
          <w:noProof/>
        </w:rPr>
        <w:t xml:space="preserve">as </w:t>
      </w:r>
      <w:r w:rsidR="001C031C" w:rsidRPr="00395719">
        <w:rPr>
          <w:noProof/>
        </w:rPr>
        <w:t>they provide en</w:t>
      </w:r>
      <w:r w:rsidR="005405C1" w:rsidRPr="00395719">
        <w:rPr>
          <w:noProof/>
        </w:rPr>
        <w:t xml:space="preserve">ough </w:t>
      </w:r>
      <w:r w:rsidR="001C031C" w:rsidRPr="00395719">
        <w:rPr>
          <w:noProof/>
        </w:rPr>
        <w:t xml:space="preserve">animal health </w:t>
      </w:r>
      <w:r w:rsidR="005405C1" w:rsidRPr="00395719">
        <w:rPr>
          <w:noProof/>
        </w:rPr>
        <w:t xml:space="preserve">protection considering </w:t>
      </w:r>
      <w:r w:rsidR="001C031C" w:rsidRPr="00395719">
        <w:rPr>
          <w:noProof/>
        </w:rPr>
        <w:t xml:space="preserve">their local animal health </w:t>
      </w:r>
      <w:r w:rsidR="005405C1" w:rsidRPr="00395719">
        <w:rPr>
          <w:noProof/>
        </w:rPr>
        <w:t>situation</w:t>
      </w:r>
      <w:r w:rsidR="001C031C" w:rsidRPr="00395719">
        <w:rPr>
          <w:noProof/>
        </w:rPr>
        <w:t xml:space="preserve">. </w:t>
      </w:r>
    </w:p>
    <w:p w14:paraId="15C5A076" w14:textId="77777777" w:rsidR="00E57522" w:rsidRPr="00C84754" w:rsidRDefault="00E57522" w:rsidP="00684A51">
      <w:pPr>
        <w:pStyle w:val="ManualHeading1"/>
      </w:pPr>
      <w:r w:rsidRPr="00C84754">
        <w:t>2.</w:t>
      </w:r>
      <w:r w:rsidRPr="00C84754">
        <w:tab/>
        <w:t>CONSULTATIONS PRIOR TO THE ADOPTION OF THE ACT</w:t>
      </w:r>
    </w:p>
    <w:p w14:paraId="59A97C46" w14:textId="2C7132F3" w:rsidR="00C0430C" w:rsidRPr="00395719" w:rsidRDefault="294F782D" w:rsidP="00C0430C">
      <w:r w:rsidRPr="00C84754">
        <w:rPr>
          <w:rFonts w:eastAsia="Times New Roman"/>
        </w:rPr>
        <w:t xml:space="preserve">The Commission consulted the contents of this draft Delegated Regulation with members of the Expert Group on Animal Health (E00930) on a meeting that took place on </w:t>
      </w:r>
      <w:r w:rsidR="00C84754" w:rsidRPr="00C84754">
        <w:rPr>
          <w:rFonts w:eastAsia="Times New Roman"/>
        </w:rPr>
        <w:t>15 March</w:t>
      </w:r>
      <w:r w:rsidR="001C031C" w:rsidRPr="00C84754">
        <w:rPr>
          <w:rFonts w:eastAsia="Times New Roman"/>
        </w:rPr>
        <w:t xml:space="preserve"> </w:t>
      </w:r>
      <w:r w:rsidRPr="00C84754">
        <w:rPr>
          <w:rFonts w:eastAsia="Times New Roman"/>
        </w:rPr>
        <w:t>202</w:t>
      </w:r>
      <w:r w:rsidR="001C031C" w:rsidRPr="00C84754">
        <w:rPr>
          <w:rFonts w:eastAsia="Times New Roman"/>
        </w:rPr>
        <w:t>4</w:t>
      </w:r>
      <w:r w:rsidRPr="00C84754">
        <w:rPr>
          <w:rFonts w:eastAsia="Times New Roman"/>
        </w:rPr>
        <w:t>.</w:t>
      </w:r>
    </w:p>
    <w:p w14:paraId="74875AD2" w14:textId="77777777" w:rsidR="00E57522" w:rsidRPr="00395719" w:rsidRDefault="00E57522" w:rsidP="00684A51">
      <w:pPr>
        <w:pStyle w:val="ManualHeading1"/>
      </w:pPr>
      <w:r w:rsidRPr="00395719">
        <w:t>3.</w:t>
      </w:r>
      <w:r w:rsidRPr="00395719">
        <w:tab/>
        <w:t>LEGAL ELEMENTS OF THE DELEGATED ACT</w:t>
      </w:r>
    </w:p>
    <w:p w14:paraId="2544FBBB" w14:textId="3965FE79" w:rsidR="00F210A3" w:rsidRPr="00395719" w:rsidRDefault="00C0430C" w:rsidP="00DA3A41">
      <w:pPr>
        <w:rPr>
          <w:rFonts w:eastAsia="Times New Roman"/>
        </w:rPr>
      </w:pPr>
      <w:r w:rsidRPr="00395719">
        <w:rPr>
          <w:rFonts w:eastAsia="Times New Roman"/>
        </w:rPr>
        <w:t xml:space="preserve">This Delegated Regulation is to be adopted within the framework of Regulation (EU) 2016/429, and in particular pursuant to Article </w:t>
      </w:r>
      <w:r w:rsidR="00BF6E61" w:rsidRPr="00395719">
        <w:rPr>
          <w:rFonts w:eastAsia="Times New Roman"/>
        </w:rPr>
        <w:t>1</w:t>
      </w:r>
      <w:r w:rsidRPr="00395719">
        <w:rPr>
          <w:rFonts w:eastAsia="Times New Roman"/>
        </w:rPr>
        <w:t>31(1</w:t>
      </w:r>
      <w:r w:rsidR="00AD6554" w:rsidRPr="00395719">
        <w:rPr>
          <w:rFonts w:eastAsia="Times New Roman"/>
        </w:rPr>
        <w:t>)</w:t>
      </w:r>
      <w:r w:rsidRPr="00395719">
        <w:rPr>
          <w:rFonts w:eastAsia="Times New Roman"/>
        </w:rPr>
        <w:t>(c) and (d)</w:t>
      </w:r>
      <w:r w:rsidR="00F54518" w:rsidRPr="00395719">
        <w:rPr>
          <w:rFonts w:eastAsia="Times New Roman"/>
        </w:rPr>
        <w:t xml:space="preserve">. </w:t>
      </w:r>
    </w:p>
    <w:p w14:paraId="6279F4EC" w14:textId="77777777" w:rsidR="00E57522" w:rsidRPr="00395719" w:rsidRDefault="00E57522" w:rsidP="00684A51">
      <w:pPr>
        <w:sectPr w:rsidR="00E57522" w:rsidRPr="00395719" w:rsidSect="00304D4A">
          <w:footerReference w:type="default" r:id="rId20"/>
          <w:footerReference w:type="first" r:id="rId21"/>
          <w:pgSz w:w="11907" w:h="16839"/>
          <w:pgMar w:top="1134" w:right="1417" w:bottom="1134" w:left="1417" w:header="709" w:footer="709" w:gutter="0"/>
          <w:cols w:space="708"/>
          <w:docGrid w:linePitch="360"/>
        </w:sectPr>
      </w:pPr>
    </w:p>
    <w:p w14:paraId="7BB5E037" w14:textId="5ADDD1B2" w:rsidR="00E57522" w:rsidRPr="00395719" w:rsidRDefault="003967FE" w:rsidP="003967FE">
      <w:pPr>
        <w:pStyle w:val="Typedudocument"/>
      </w:pPr>
      <w:bookmarkStart w:id="1" w:name="_GoBack"/>
      <w:r w:rsidRPr="003967FE">
        <w:lastRenderedPageBreak/>
        <w:t>COMMISSION DELEGATED REGULATION (EU) …/...</w:t>
      </w:r>
    </w:p>
    <w:p w14:paraId="0B67A00F" w14:textId="48D4CDEA" w:rsidR="00E57522" w:rsidRPr="00395719" w:rsidRDefault="003967FE" w:rsidP="003967FE">
      <w:pPr>
        <w:pStyle w:val="Datedadoption"/>
      </w:pPr>
      <w:r w:rsidRPr="003967FE">
        <w:t xml:space="preserve">of </w:t>
      </w:r>
      <w:r w:rsidRPr="003967FE">
        <w:rPr>
          <w:rStyle w:val="Marker2"/>
        </w:rPr>
        <w:t>XXX</w:t>
      </w:r>
    </w:p>
    <w:p w14:paraId="21741F84" w14:textId="548BBB57" w:rsidR="00E57522" w:rsidRPr="00395719" w:rsidRDefault="003967FE" w:rsidP="003967FE">
      <w:pPr>
        <w:pStyle w:val="Titreobjet"/>
      </w:pPr>
      <w:r w:rsidRPr="003967FE">
        <w:t>amending Delegated Regulation (EU) 2020/688 as regards certain animal health requirements for movements within the Union of terrestrial animals</w:t>
      </w:r>
    </w:p>
    <w:bookmarkEnd w:id="1"/>
    <w:p w14:paraId="7EE9CA0A" w14:textId="5DC23124" w:rsidR="00E57522" w:rsidRPr="00395719" w:rsidRDefault="003967FE" w:rsidP="003967FE">
      <w:pPr>
        <w:pStyle w:val="IntrtEEE"/>
      </w:pPr>
      <w:r w:rsidRPr="003967FE">
        <w:t>(Text with EEA relevance)</w:t>
      </w:r>
    </w:p>
    <w:p w14:paraId="69F8DF96" w14:textId="77777777" w:rsidR="00E57522" w:rsidRPr="00395719" w:rsidRDefault="00E57522" w:rsidP="00684A51">
      <w:pPr>
        <w:pStyle w:val="Institutionquiagit"/>
      </w:pPr>
      <w:r w:rsidRPr="00395719">
        <w:t>THE EUROPEAN COMMISSION,</w:t>
      </w:r>
    </w:p>
    <w:p w14:paraId="0BA6645F" w14:textId="77777777" w:rsidR="00E57522" w:rsidRPr="00395719" w:rsidRDefault="00E57522" w:rsidP="00684A51">
      <w:r w:rsidRPr="00395719">
        <w:rPr>
          <w:color w:val="000000"/>
        </w:rPr>
        <w:t>Having regard to the Treaty on the Functioning of the European Union</w:t>
      </w:r>
      <w:r w:rsidRPr="00395719">
        <w:t>,</w:t>
      </w:r>
    </w:p>
    <w:p w14:paraId="0965530D" w14:textId="13226766" w:rsidR="00182779" w:rsidRPr="00395719" w:rsidRDefault="009C22FD" w:rsidP="00833E90">
      <w:pPr>
        <w:spacing w:before="60" w:after="60"/>
      </w:pPr>
      <w:r w:rsidRPr="00395719">
        <w:t xml:space="preserve">Having regard to </w:t>
      </w:r>
      <w:r w:rsidRPr="00395719">
        <w:rPr>
          <w:rFonts w:eastAsia="Times New Roman"/>
        </w:rPr>
        <w:t>Regulation (EU) 2016/429 of the European Parliament and of the Council of 9 March 2016 on transmissible animal diseases and amending and repealing certain acts in the area of animal health (</w:t>
      </w:r>
      <w:r w:rsidR="00C0799F" w:rsidRPr="00395719">
        <w:rPr>
          <w:rFonts w:eastAsia="Times New Roman"/>
        </w:rPr>
        <w:t>‘</w:t>
      </w:r>
      <w:r w:rsidRPr="00395719">
        <w:rPr>
          <w:rFonts w:eastAsia="Times New Roman"/>
        </w:rPr>
        <w:t>Animal Health Law</w:t>
      </w:r>
      <w:r w:rsidR="00C0799F" w:rsidRPr="00395719">
        <w:rPr>
          <w:rFonts w:eastAsia="Times New Roman"/>
        </w:rPr>
        <w:t>’</w:t>
      </w:r>
      <w:r w:rsidRPr="00395719">
        <w:rPr>
          <w:rFonts w:eastAsia="Times New Roman"/>
        </w:rPr>
        <w:t>)</w:t>
      </w:r>
      <w:r w:rsidRPr="00395719">
        <w:rPr>
          <w:rStyle w:val="Fodnotehenvisning"/>
        </w:rPr>
        <w:footnoteReference w:id="5"/>
      </w:r>
      <w:r w:rsidRPr="00395719">
        <w:t>,</w:t>
      </w:r>
      <w:r w:rsidR="001A05EB" w:rsidRPr="00395719">
        <w:t xml:space="preserve"> </w:t>
      </w:r>
      <w:r w:rsidRPr="00395719">
        <w:t>and in particular to Article</w:t>
      </w:r>
      <w:r w:rsidRPr="00395719">
        <w:rPr>
          <w:rFonts w:eastAsia="Times New Roman"/>
          <w:color w:val="000000" w:themeColor="text1"/>
        </w:rPr>
        <w:t xml:space="preserve"> 131(1</w:t>
      </w:r>
      <w:r w:rsidR="00AE744D" w:rsidRPr="00395719">
        <w:rPr>
          <w:rFonts w:eastAsia="Times New Roman"/>
          <w:color w:val="000000" w:themeColor="text1"/>
        </w:rPr>
        <w:t xml:space="preserve">), points </w:t>
      </w:r>
      <w:r w:rsidRPr="00395719">
        <w:rPr>
          <w:rFonts w:eastAsia="Times New Roman"/>
          <w:color w:val="000000" w:themeColor="text1"/>
        </w:rPr>
        <w:t>(c) and (d</w:t>
      </w:r>
      <w:r w:rsidR="009F1B7F" w:rsidRPr="00395719">
        <w:rPr>
          <w:rFonts w:eastAsia="Times New Roman"/>
          <w:color w:val="000000" w:themeColor="text1"/>
        </w:rPr>
        <w:t>) thereof</w:t>
      </w:r>
      <w:r w:rsidRPr="00395719">
        <w:t xml:space="preserve">, </w:t>
      </w:r>
    </w:p>
    <w:p w14:paraId="0F2FD897" w14:textId="77777777" w:rsidR="009C22FD" w:rsidRPr="00395719" w:rsidRDefault="009C22FD" w:rsidP="00833E90">
      <w:pPr>
        <w:spacing w:before="60" w:after="60"/>
      </w:pPr>
      <w:r w:rsidRPr="00395719">
        <w:t>Whereas:</w:t>
      </w:r>
    </w:p>
    <w:p w14:paraId="3994DB8B" w14:textId="77777777" w:rsidR="009C22FD" w:rsidRPr="00395719" w:rsidRDefault="769C599A" w:rsidP="00BE40F9">
      <w:pPr>
        <w:pStyle w:val="Considrant"/>
        <w:numPr>
          <w:ilvl w:val="0"/>
          <w:numId w:val="5"/>
        </w:numPr>
      </w:pPr>
      <w:r w:rsidRPr="00395719">
        <w:t>Regulation (EU) 2016/429 lays down rules for the prevention and control of animal diseases that are transmissible to animals</w:t>
      </w:r>
      <w:r w:rsidR="00691314" w:rsidRPr="00395719">
        <w:t xml:space="preserve"> or to humans</w:t>
      </w:r>
      <w:r w:rsidRPr="00395719">
        <w:t>. That Regulation lays down in its Part IV, Title I, Chapter 3</w:t>
      </w:r>
      <w:r w:rsidR="00E66C74" w:rsidRPr="00395719">
        <w:t>,</w:t>
      </w:r>
      <w:r w:rsidRPr="00395719">
        <w:t xml:space="preserve"> the animal health requirements for movements within the Union of kept terrestrial animals.</w:t>
      </w:r>
    </w:p>
    <w:p w14:paraId="1EB7304D" w14:textId="53828EBD" w:rsidR="009C22FD" w:rsidRPr="00395719" w:rsidRDefault="769C599A" w:rsidP="359FBF93">
      <w:pPr>
        <w:pStyle w:val="Considrant"/>
      </w:pPr>
      <w:r w:rsidRPr="00395719">
        <w:t xml:space="preserve">Commission Delegated Regulation </w:t>
      </w:r>
      <w:bookmarkStart w:id="3" w:name="_Hlk132643557"/>
      <w:r w:rsidRPr="00395719">
        <w:t>(EU) 2020/688</w:t>
      </w:r>
      <w:bookmarkEnd w:id="3"/>
      <w:r w:rsidR="009C22FD" w:rsidRPr="00395719">
        <w:rPr>
          <w:rStyle w:val="Fodnotehenvisning"/>
        </w:rPr>
        <w:footnoteReference w:id="6"/>
      </w:r>
      <w:r w:rsidRPr="00395719">
        <w:t xml:space="preserve"> supplements the rules for the prevention and control of animal diseases transmissible to animals laid down in Article 5(1) of Regulation (EU) 2016/429 as regards movements within the Union of terrestrial animals</w:t>
      </w:r>
      <w:r w:rsidR="00E71368">
        <w:t xml:space="preserve"> </w:t>
      </w:r>
      <w:r w:rsidR="00767A3A" w:rsidRPr="00395719">
        <w:t>among them ungulates susceptible to infection with epizootic haemorrhagic disease virus.</w:t>
      </w:r>
    </w:p>
    <w:p w14:paraId="74C4B46A" w14:textId="64D36CAB" w:rsidR="009C22FD" w:rsidRPr="00395719" w:rsidRDefault="00AD3140" w:rsidP="009C22FD">
      <w:pPr>
        <w:pStyle w:val="Considrant"/>
      </w:pPr>
      <w:r w:rsidRPr="00395719">
        <w:t>I</w:t>
      </w:r>
      <w:r w:rsidR="769C599A" w:rsidRPr="00395719">
        <w:t>nfection with epizootic haemorrhagic disease virus</w:t>
      </w:r>
      <w:r w:rsidR="398A6D4C" w:rsidRPr="00395719">
        <w:t xml:space="preserve"> </w:t>
      </w:r>
      <w:r w:rsidR="769C599A" w:rsidRPr="00395719">
        <w:t>is listed in the Annex to Commission Implementing Regulation (EU) 2018/1882</w:t>
      </w:r>
      <w:r w:rsidR="009C22FD" w:rsidRPr="00395719">
        <w:rPr>
          <w:rStyle w:val="Fodnotehenvisning"/>
        </w:rPr>
        <w:footnoteReference w:id="7"/>
      </w:r>
      <w:r w:rsidR="769C599A" w:rsidRPr="00395719">
        <w:t xml:space="preserve"> as a Category D disease for which measures are needed to prevent it from spreading on account of movements between Member States. The epidemiological situation of the disease in the U</w:t>
      </w:r>
      <w:r w:rsidR="008A1E79" w:rsidRPr="00395719">
        <w:t>nion</w:t>
      </w:r>
      <w:r w:rsidR="769C599A" w:rsidRPr="00395719">
        <w:t xml:space="preserve"> changed since the entry into force of Regulation (EU) 2016/429 and </w:t>
      </w:r>
      <w:r w:rsidR="00037E78" w:rsidRPr="00395719">
        <w:t xml:space="preserve">Delegated Regulation </w:t>
      </w:r>
      <w:r w:rsidR="008A1E79" w:rsidRPr="00395719">
        <w:t xml:space="preserve">(EU) 2020/688, </w:t>
      </w:r>
      <w:r w:rsidR="769C599A" w:rsidRPr="00395719">
        <w:t xml:space="preserve">with the </w:t>
      </w:r>
      <w:r w:rsidR="7C351A90" w:rsidRPr="00395719">
        <w:t xml:space="preserve">first </w:t>
      </w:r>
      <w:r w:rsidR="47A472DD" w:rsidRPr="00395719">
        <w:t xml:space="preserve">ever </w:t>
      </w:r>
      <w:r w:rsidR="769C599A" w:rsidRPr="00395719">
        <w:t xml:space="preserve">notification of outbreaks in </w:t>
      </w:r>
      <w:r w:rsidR="5EAEDC89" w:rsidRPr="00395719">
        <w:t xml:space="preserve">the Union in </w:t>
      </w:r>
      <w:r w:rsidR="769C599A" w:rsidRPr="00395719">
        <w:t>several Member States</w:t>
      </w:r>
      <w:r w:rsidR="004D6F0D" w:rsidRPr="00395719">
        <w:t xml:space="preserve"> in late 2022</w:t>
      </w:r>
      <w:r w:rsidR="00E71368">
        <w:t>.</w:t>
      </w:r>
      <w:r w:rsidR="00550D52" w:rsidRPr="00395719">
        <w:t xml:space="preserve"> </w:t>
      </w:r>
      <w:r w:rsidR="00E71368">
        <w:t xml:space="preserve">The spread of the disease continued </w:t>
      </w:r>
      <w:r w:rsidR="00550D52" w:rsidRPr="00395719">
        <w:t xml:space="preserve">even </w:t>
      </w:r>
      <w:r w:rsidR="00E71368">
        <w:t>after</w:t>
      </w:r>
      <w:r w:rsidR="00323C01" w:rsidRPr="00395719">
        <w:t xml:space="preserve"> </w:t>
      </w:r>
      <w:r w:rsidR="00550D52" w:rsidRPr="00395719">
        <w:t xml:space="preserve">the </w:t>
      </w:r>
      <w:r w:rsidR="00550D52" w:rsidRPr="00395719">
        <w:lastRenderedPageBreak/>
        <w:t xml:space="preserve">entry into force of </w:t>
      </w:r>
      <w:r w:rsidR="00037E78">
        <w:t>the</w:t>
      </w:r>
      <w:r w:rsidR="00D3682F" w:rsidRPr="00395719">
        <w:t xml:space="preserve"> </w:t>
      </w:r>
      <w:r w:rsidR="00550D52" w:rsidRPr="00395719">
        <w:t xml:space="preserve">latest amendment </w:t>
      </w:r>
      <w:r w:rsidR="00037E78">
        <w:t xml:space="preserve">to </w:t>
      </w:r>
      <w:r w:rsidR="00037E78" w:rsidRPr="00703C43">
        <w:t>Delegated Regulation (EU) 2020/688</w:t>
      </w:r>
      <w:r w:rsidR="00037E78">
        <w:t xml:space="preserve"> </w:t>
      </w:r>
      <w:r w:rsidR="00D3682F" w:rsidRPr="00395719">
        <w:t xml:space="preserve">by </w:t>
      </w:r>
      <w:r w:rsidR="00D3682F" w:rsidRPr="00395719">
        <w:rPr>
          <w:rFonts w:eastAsia="Times New Roman"/>
        </w:rPr>
        <w:t xml:space="preserve">Commission </w:t>
      </w:r>
      <w:r w:rsidR="00D3682F" w:rsidRPr="0045375C">
        <w:t>Delegated Regulation (EU) 2023/2515</w:t>
      </w:r>
      <w:r w:rsidR="00D3682F" w:rsidRPr="00E1155B">
        <w:rPr>
          <w:rStyle w:val="Fodnotehenvisning"/>
        </w:rPr>
        <w:footnoteReference w:id="8"/>
      </w:r>
      <w:r w:rsidR="000572F5">
        <w:t>.</w:t>
      </w:r>
      <w:r w:rsidR="004D6F0D" w:rsidRPr="00440AAB">
        <w:rPr>
          <w:vertAlign w:val="superscript"/>
        </w:rPr>
        <w:t xml:space="preserve">. </w:t>
      </w:r>
    </w:p>
    <w:p w14:paraId="517DF2CD" w14:textId="14D1E335" w:rsidR="005A378B" w:rsidRPr="0045375C" w:rsidRDefault="005A378B" w:rsidP="005A378B">
      <w:pPr>
        <w:pStyle w:val="Considrant"/>
      </w:pPr>
      <w:r w:rsidRPr="00395719">
        <w:t xml:space="preserve">To address that changing epidemiological situation as regards infection with epizootic haemorrhagic disease virus, </w:t>
      </w:r>
      <w:r w:rsidR="005C7911">
        <w:t xml:space="preserve">and to ensure </w:t>
      </w:r>
      <w:r w:rsidR="005C7911" w:rsidRPr="00395719">
        <w:t xml:space="preserve">the prevention of its spread on account of </w:t>
      </w:r>
      <w:r w:rsidR="005C7911">
        <w:t xml:space="preserve">movements between Member States, in particular </w:t>
      </w:r>
      <w:r w:rsidR="005C7911" w:rsidRPr="00395719">
        <w:t xml:space="preserve">to </w:t>
      </w:r>
      <w:r w:rsidR="005C7911">
        <w:t xml:space="preserve">protect the </w:t>
      </w:r>
      <w:r w:rsidR="005C7911" w:rsidRPr="00395719">
        <w:t>Member States</w:t>
      </w:r>
      <w:r w:rsidR="005C7911">
        <w:t xml:space="preserve"> of destination</w:t>
      </w:r>
      <w:r w:rsidR="005C7911">
        <w:rPr>
          <w:lang w:val="en-IE"/>
        </w:rPr>
        <w:t xml:space="preserve">, </w:t>
      </w:r>
      <w:r w:rsidR="005C7911">
        <w:t xml:space="preserve">additional </w:t>
      </w:r>
      <w:r w:rsidRPr="0045375C">
        <w:t>alternative risk-mitigating measures</w:t>
      </w:r>
      <w:r w:rsidRPr="00395719">
        <w:t xml:space="preserve"> </w:t>
      </w:r>
      <w:r>
        <w:t xml:space="preserve">applicable </w:t>
      </w:r>
      <w:r w:rsidRPr="00395719">
        <w:t xml:space="preserve">to </w:t>
      </w:r>
      <w:r w:rsidR="005C7911">
        <w:t xml:space="preserve">those </w:t>
      </w:r>
      <w:r w:rsidRPr="00395719">
        <w:t xml:space="preserve">movements </w:t>
      </w:r>
      <w:r w:rsidR="005C7911">
        <w:rPr>
          <w:lang w:val="en-IE"/>
        </w:rPr>
        <w:t>are necessary.</w:t>
      </w:r>
    </w:p>
    <w:p w14:paraId="366B6F00" w14:textId="34F71A0D" w:rsidR="0082607E" w:rsidRPr="00395719" w:rsidRDefault="00BE625F" w:rsidP="00CC4825">
      <w:pPr>
        <w:pStyle w:val="Considrant"/>
      </w:pPr>
      <w:r w:rsidRPr="0045375C">
        <w:t xml:space="preserve">Vaccination </w:t>
      </w:r>
      <w:r w:rsidR="001E6FEE" w:rsidRPr="00CC4825">
        <w:t xml:space="preserve">against infection with epizootic haemorrhagic disease virus </w:t>
      </w:r>
      <w:r w:rsidRPr="0045375C">
        <w:t xml:space="preserve">is considered as a risk mitigating measure in the </w:t>
      </w:r>
      <w:r w:rsidR="00440AAB">
        <w:t>T</w:t>
      </w:r>
      <w:r w:rsidRPr="0045375C">
        <w:t xml:space="preserve">errestrial </w:t>
      </w:r>
      <w:r w:rsidR="00440AAB">
        <w:t>A</w:t>
      </w:r>
      <w:r w:rsidRPr="0045375C">
        <w:t xml:space="preserve">nimal </w:t>
      </w:r>
      <w:r w:rsidR="00440AAB">
        <w:t>H</w:t>
      </w:r>
      <w:r w:rsidRPr="0045375C">
        <w:t xml:space="preserve">ealth </w:t>
      </w:r>
      <w:r w:rsidR="002C0E7D" w:rsidRPr="0045375C">
        <w:t>C</w:t>
      </w:r>
      <w:r w:rsidRPr="0045375C">
        <w:t>ode of the World Organisation for Animal Health</w:t>
      </w:r>
      <w:r w:rsidR="005C7911">
        <w:t xml:space="preserve"> (WOAH)</w:t>
      </w:r>
      <w:r w:rsidRPr="0045375C">
        <w:t xml:space="preserve">. </w:t>
      </w:r>
      <w:r w:rsidR="00911DF8" w:rsidRPr="0045375C">
        <w:t>Vaccines</w:t>
      </w:r>
      <w:r w:rsidR="00911DF8">
        <w:t xml:space="preserve"> </w:t>
      </w:r>
      <w:r w:rsidR="005A378B">
        <w:t xml:space="preserve">are </w:t>
      </w:r>
      <w:r w:rsidRPr="0045375C">
        <w:t xml:space="preserve">effective to </w:t>
      </w:r>
      <w:r w:rsidR="00030916">
        <w:t xml:space="preserve">prevent the transmission of the virus via the movement </w:t>
      </w:r>
      <w:r w:rsidR="002C0E7D" w:rsidRPr="0045375C">
        <w:t xml:space="preserve">of vaccinated animals irrespective of the virus circulation at the place of origin when the vaccines are </w:t>
      </w:r>
      <w:r w:rsidR="00083517" w:rsidRPr="0045375C">
        <w:t>applied</w:t>
      </w:r>
      <w:r w:rsidR="002C0E7D" w:rsidRPr="0045375C">
        <w:t xml:space="preserve"> </w:t>
      </w:r>
      <w:r w:rsidR="00083517" w:rsidRPr="0045375C">
        <w:t xml:space="preserve">in accordance with the </w:t>
      </w:r>
      <w:r w:rsidR="00786847">
        <w:t>specification</w:t>
      </w:r>
      <w:r w:rsidR="00F04F45">
        <w:t>s</w:t>
      </w:r>
      <w:r w:rsidR="00786847" w:rsidRPr="00C84754">
        <w:rPr>
          <w:lang w:val="en-IE"/>
        </w:rPr>
        <w:t xml:space="preserve"> </w:t>
      </w:r>
      <w:r w:rsidR="00786847">
        <w:rPr>
          <w:lang w:val="en-IE"/>
        </w:rPr>
        <w:t xml:space="preserve">of the </w:t>
      </w:r>
      <w:r w:rsidR="00E661F8" w:rsidRPr="0045375C">
        <w:t>vaccine</w:t>
      </w:r>
      <w:r w:rsidR="001E6FEE" w:rsidRPr="00395719">
        <w:t>.</w:t>
      </w:r>
      <w:r w:rsidR="00541E43">
        <w:t xml:space="preserve"> </w:t>
      </w:r>
      <w:r w:rsidR="0082607E" w:rsidRPr="00395719">
        <w:t>Therefore</w:t>
      </w:r>
      <w:r w:rsidR="005C7911">
        <w:t>,</w:t>
      </w:r>
      <w:r w:rsidR="00037E78">
        <w:t xml:space="preserve"> </w:t>
      </w:r>
      <w:r w:rsidR="008C4350">
        <w:t xml:space="preserve">this Regulation </w:t>
      </w:r>
      <w:r w:rsidR="00037E78">
        <w:t xml:space="preserve">should </w:t>
      </w:r>
      <w:r w:rsidR="008C4350">
        <w:t>provide</w:t>
      </w:r>
      <w:r w:rsidR="001E6FEE" w:rsidRPr="00395719">
        <w:t xml:space="preserve"> for </w:t>
      </w:r>
      <w:r w:rsidR="0082607E" w:rsidRPr="00395719">
        <w:t xml:space="preserve">their </w:t>
      </w:r>
      <w:r w:rsidR="001E6FEE" w:rsidRPr="00395719">
        <w:t>use as a risk mitigating measure</w:t>
      </w:r>
      <w:r w:rsidR="00030916">
        <w:t xml:space="preserve"> </w:t>
      </w:r>
      <w:r w:rsidR="00030916" w:rsidRPr="00030916">
        <w:t>for movements between Member States</w:t>
      </w:r>
      <w:r w:rsidR="001E6FEE" w:rsidRPr="00395719">
        <w:t>.</w:t>
      </w:r>
    </w:p>
    <w:p w14:paraId="19CBD0F9" w14:textId="14388F8E" w:rsidR="004D6F0D" w:rsidRPr="00395719" w:rsidRDefault="001E6FEE" w:rsidP="00DD6DB7">
      <w:pPr>
        <w:pStyle w:val="Considrant"/>
      </w:pPr>
      <w:r w:rsidRPr="00395719">
        <w:t xml:space="preserve">Also, </w:t>
      </w:r>
      <w:r w:rsidR="00DD6DB7" w:rsidRPr="00395719">
        <w:t xml:space="preserve">experience has shown that </w:t>
      </w:r>
      <w:r w:rsidR="009A5EC6">
        <w:t xml:space="preserve">the </w:t>
      </w:r>
      <w:r w:rsidR="00DD6DB7" w:rsidRPr="00395719">
        <w:t>competent authorities</w:t>
      </w:r>
      <w:r w:rsidR="009A5EC6">
        <w:t xml:space="preserve"> of some </w:t>
      </w:r>
      <w:r w:rsidR="008C4350">
        <w:t>M</w:t>
      </w:r>
      <w:r w:rsidR="009A5EC6">
        <w:t>ember States</w:t>
      </w:r>
      <w:r w:rsidR="00DD6DB7" w:rsidRPr="00395719">
        <w:t xml:space="preserve">, considering the </w:t>
      </w:r>
      <w:r w:rsidR="00DD6DB7" w:rsidRPr="00395719">
        <w:rPr>
          <w:noProof/>
        </w:rPr>
        <w:t xml:space="preserve">local animal health situation </w:t>
      </w:r>
      <w:r w:rsidR="00DD6DB7" w:rsidRPr="00395719">
        <w:t xml:space="preserve">at </w:t>
      </w:r>
      <w:r w:rsidR="009A5EC6">
        <w:t xml:space="preserve">the places of </w:t>
      </w:r>
      <w:r w:rsidR="00DD6DB7" w:rsidRPr="00395719">
        <w:t>destination</w:t>
      </w:r>
      <w:r w:rsidR="00B7032E">
        <w:t xml:space="preserve"> of those </w:t>
      </w:r>
      <w:r w:rsidR="008C4350">
        <w:t>animals</w:t>
      </w:r>
      <w:r w:rsidR="00DD6DB7" w:rsidRPr="00395719">
        <w:t xml:space="preserve">, </w:t>
      </w:r>
      <w:r w:rsidR="00586A08" w:rsidRPr="00395719">
        <w:t xml:space="preserve">wish to use </w:t>
      </w:r>
      <w:r w:rsidR="00DD6DB7" w:rsidRPr="00395719">
        <w:t xml:space="preserve">specific </w:t>
      </w:r>
      <w:r w:rsidR="00DD6DB7" w:rsidRPr="00395719">
        <w:rPr>
          <w:noProof/>
        </w:rPr>
        <w:t xml:space="preserve">animal health </w:t>
      </w:r>
      <w:r w:rsidR="00586A08" w:rsidRPr="00395719">
        <w:rPr>
          <w:noProof/>
        </w:rPr>
        <w:t xml:space="preserve">risk mitigating measures under derogation, </w:t>
      </w:r>
      <w:r w:rsidR="008C4350">
        <w:rPr>
          <w:noProof/>
        </w:rPr>
        <w:t>in order to</w:t>
      </w:r>
      <w:r w:rsidR="00DD6DB7" w:rsidRPr="00395719">
        <w:rPr>
          <w:noProof/>
        </w:rPr>
        <w:t xml:space="preserve"> provide enough protection at local level for</w:t>
      </w:r>
      <w:r w:rsidR="008C4350">
        <w:rPr>
          <w:noProof/>
        </w:rPr>
        <w:t xml:space="preserve"> against</w:t>
      </w:r>
      <w:r w:rsidR="00DD6DB7" w:rsidRPr="00395719">
        <w:rPr>
          <w:noProof/>
        </w:rPr>
        <w:t xml:space="preserve"> this specific disease.</w:t>
      </w:r>
    </w:p>
    <w:p w14:paraId="50312F57" w14:textId="58C0BE26" w:rsidR="00A6537C" w:rsidRPr="00395719" w:rsidRDefault="00586A08" w:rsidP="000F5054">
      <w:pPr>
        <w:pStyle w:val="Considrant"/>
      </w:pPr>
      <w:r w:rsidRPr="00395719">
        <w:t xml:space="preserve">Both </w:t>
      </w:r>
      <w:r w:rsidR="00767A3A" w:rsidRPr="00395719">
        <w:t xml:space="preserve">alternative </w:t>
      </w:r>
      <w:r w:rsidRPr="00395719">
        <w:t>risk mitigation measur</w:t>
      </w:r>
      <w:r w:rsidR="00767A3A" w:rsidRPr="00395719">
        <w:t>e</w:t>
      </w:r>
      <w:r w:rsidRPr="00395719">
        <w:t xml:space="preserve">s should be added to the relevant </w:t>
      </w:r>
      <w:r w:rsidR="00037E78">
        <w:t>a</w:t>
      </w:r>
      <w:r w:rsidRPr="00395719">
        <w:t>rticles, regulating movements of bovine, ovine, caprine</w:t>
      </w:r>
      <w:r w:rsidR="00767A3A" w:rsidRPr="00395719">
        <w:t>, camelid, cervid animals, and of other kept ungulates, respectively.</w:t>
      </w:r>
    </w:p>
    <w:p w14:paraId="1064EE8C" w14:textId="304A41A0" w:rsidR="008232C1" w:rsidRPr="00B0397C" w:rsidRDefault="008232C1" w:rsidP="008232C1">
      <w:pPr>
        <w:pStyle w:val="Considrant"/>
      </w:pPr>
      <w:r w:rsidRPr="00B0397C">
        <w:t>Delegated Regulation (EU) 2020/688 should</w:t>
      </w:r>
      <w:r w:rsidR="00786025" w:rsidRPr="00B0397C">
        <w:t xml:space="preserve"> therefore</w:t>
      </w:r>
      <w:r w:rsidRPr="00B0397C">
        <w:t xml:space="preserve"> be amended accordingly</w:t>
      </w:r>
      <w:r w:rsidR="00AE744D" w:rsidRPr="00B0397C">
        <w:t>,</w:t>
      </w:r>
    </w:p>
    <w:p w14:paraId="0B20198D" w14:textId="77777777" w:rsidR="00E57522" w:rsidRPr="00937BA9" w:rsidRDefault="00E57522" w:rsidP="00684A51">
      <w:pPr>
        <w:pStyle w:val="Formuledadoption"/>
      </w:pPr>
      <w:r w:rsidRPr="00937BA9">
        <w:t>HAS ADOPTED THIS REGULATION:</w:t>
      </w:r>
    </w:p>
    <w:p w14:paraId="6980DB89" w14:textId="77777777" w:rsidR="00E57522" w:rsidRDefault="00E57522" w:rsidP="00DA3A41">
      <w:pPr>
        <w:pStyle w:val="Titrearticle"/>
        <w:spacing w:after="0"/>
      </w:pPr>
      <w:r w:rsidRPr="00937BA9">
        <w:t>Article 1</w:t>
      </w:r>
    </w:p>
    <w:p w14:paraId="0F730225" w14:textId="77777777" w:rsidR="009C22FD" w:rsidRPr="00093AB4" w:rsidRDefault="009C22FD" w:rsidP="00DA3A41">
      <w:pPr>
        <w:pStyle w:val="Titrearticle"/>
        <w:spacing w:before="0"/>
      </w:pPr>
      <w:r w:rsidRPr="00093AB4">
        <w:t>Amendments to Delegated Regulation (EU) 2020/688</w:t>
      </w:r>
    </w:p>
    <w:p w14:paraId="4A260415" w14:textId="77777777" w:rsidR="009C22FD" w:rsidRPr="00093AB4" w:rsidRDefault="009C22FD" w:rsidP="009C22FD">
      <w:r w:rsidRPr="00093AB4">
        <w:t>Delegated Regulation (EU) 2020/688 is amended as follows:</w:t>
      </w:r>
    </w:p>
    <w:p w14:paraId="0C7E5E68" w14:textId="6CE8B782" w:rsidR="009C22FD" w:rsidRPr="00093AB4" w:rsidRDefault="003D4058" w:rsidP="009C22FD">
      <w:pPr>
        <w:pStyle w:val="Point0"/>
      </w:pPr>
      <w:r w:rsidRPr="00093AB4">
        <w:t>1</w:t>
      </w:r>
      <w:r w:rsidR="001A05EB" w:rsidRPr="00093AB4">
        <w:t>.</w:t>
      </w:r>
      <w:r w:rsidR="009C22FD" w:rsidRPr="00093AB4">
        <w:tab/>
        <w:t>Article 10</w:t>
      </w:r>
      <w:r w:rsidR="00AF001C" w:rsidRPr="00093AB4">
        <w:t>, paragraph 1</w:t>
      </w:r>
      <w:r w:rsidR="009C22FD" w:rsidRPr="00093AB4">
        <w:t xml:space="preserve"> is amended as follows: </w:t>
      </w:r>
    </w:p>
    <w:p w14:paraId="66F86D88" w14:textId="6C9DC5BF" w:rsidR="009C22FD" w:rsidRDefault="009C22FD" w:rsidP="009C22FD">
      <w:pPr>
        <w:pStyle w:val="Point1"/>
      </w:pPr>
      <w:r w:rsidRPr="00093AB4">
        <w:rPr>
          <w:rFonts w:eastAsia="Times New Roman"/>
        </w:rPr>
        <w:t>(a)</w:t>
      </w:r>
      <w:r w:rsidR="00E45AE4">
        <w:tab/>
      </w:r>
      <w:r w:rsidR="00224695">
        <w:t xml:space="preserve">the following is added after </w:t>
      </w:r>
      <w:r w:rsidR="00671D7C">
        <w:t>point (f)(ii) sub-point 2</w:t>
      </w:r>
      <w:r w:rsidR="00F01021">
        <w:t>:</w:t>
      </w:r>
    </w:p>
    <w:p w14:paraId="55E4BB24" w14:textId="6D45152D" w:rsidR="00877DEC" w:rsidRDefault="00877DEC" w:rsidP="00877DEC">
      <w:pPr>
        <w:pStyle w:val="Point2"/>
      </w:pPr>
      <w:r w:rsidRPr="00093AB4">
        <w:t>‘3.</w:t>
      </w:r>
      <w:r w:rsidRPr="00093AB4">
        <w:tab/>
        <w:t>the animals have been vaccinated</w:t>
      </w:r>
      <w:r>
        <w:t xml:space="preserve"> </w:t>
      </w:r>
      <w:r w:rsidRPr="00093AB4">
        <w:t xml:space="preserve">against all serotypes of </w:t>
      </w:r>
      <w:r>
        <w:t>i</w:t>
      </w:r>
      <w:r w:rsidRPr="00395719">
        <w:t xml:space="preserve">nfection with epizootic haemorrhagic disease virus </w:t>
      </w:r>
      <w:r w:rsidRPr="00093AB4">
        <w:t xml:space="preserve">reported during the past 2 years in an area of at least 150 km radius around the establishment of origin, the animals are within the immunity period guaranteed in the specifications </w:t>
      </w:r>
      <w:r w:rsidR="009574E2" w:rsidRPr="002033A5">
        <w:t>of the vaccine and meet at least one of the following requirements:</w:t>
      </w:r>
    </w:p>
    <w:p w14:paraId="5B919EE5" w14:textId="43DFB853" w:rsidR="00877DEC" w:rsidRDefault="00877DEC" w:rsidP="00C0547A">
      <w:pPr>
        <w:pStyle w:val="Tiret3"/>
        <w:numPr>
          <w:ilvl w:val="0"/>
          <w:numId w:val="27"/>
        </w:numPr>
      </w:pPr>
      <w:r w:rsidRPr="002033A5">
        <w:t>they have been vaccinated more than 60 days before the date of movement;</w:t>
      </w:r>
    </w:p>
    <w:p w14:paraId="70EEA7FF" w14:textId="0E4A5A15" w:rsidR="00877DEC" w:rsidRPr="00093AB4" w:rsidRDefault="00877DEC" w:rsidP="00877DEC">
      <w:pPr>
        <w:pStyle w:val="Tiret3"/>
      </w:pPr>
      <w:r>
        <w:t>they have been vaccinated with an inactivated vaccine and subject to a PCR test, with negative results on samples collected at least 14 days after the onset of the immunity set in the specifications of the vaccine’;</w:t>
      </w:r>
    </w:p>
    <w:p w14:paraId="5BAAFE0A" w14:textId="33DF464B" w:rsidR="005A7876" w:rsidRPr="00093AB4" w:rsidRDefault="005A7876" w:rsidP="005A7876">
      <w:pPr>
        <w:pStyle w:val="Point1"/>
      </w:pPr>
      <w:bookmarkStart w:id="4" w:name="_Hlk159495343"/>
      <w:r w:rsidRPr="00093AB4">
        <w:lastRenderedPageBreak/>
        <w:t>(b)</w:t>
      </w:r>
      <w:r w:rsidRPr="00093AB4">
        <w:tab/>
      </w:r>
      <w:r w:rsidR="00B967C0" w:rsidRPr="00093AB4">
        <w:t xml:space="preserve">last </w:t>
      </w:r>
      <w:r w:rsidR="003D4058" w:rsidRPr="00093AB4">
        <w:t xml:space="preserve">subparagraph </w:t>
      </w:r>
      <w:r w:rsidR="00B967C0" w:rsidRPr="00093AB4">
        <w:t xml:space="preserve">of </w:t>
      </w:r>
      <w:r w:rsidR="006724ED">
        <w:t>paragraph</w:t>
      </w:r>
      <w:r w:rsidR="00B967C0" w:rsidRPr="00093AB4">
        <w:t xml:space="preserve"> </w:t>
      </w:r>
      <w:r w:rsidR="003D4058" w:rsidRPr="00093AB4">
        <w:t>1</w:t>
      </w:r>
      <w:r w:rsidR="00B967C0" w:rsidRPr="00093AB4">
        <w:t xml:space="preserve"> </w:t>
      </w:r>
      <w:r w:rsidR="0026354C" w:rsidRPr="00093AB4">
        <w:t xml:space="preserve">is replaced </w:t>
      </w:r>
      <w:r w:rsidR="003D4058" w:rsidRPr="00093AB4">
        <w:t>by the following:</w:t>
      </w:r>
      <w:r w:rsidRPr="00093AB4">
        <w:t xml:space="preserve"> </w:t>
      </w:r>
    </w:p>
    <w:p w14:paraId="284AEB5D" w14:textId="78E8DFF4" w:rsidR="0026354C" w:rsidRPr="00093AB4" w:rsidRDefault="005A7876" w:rsidP="00E45AE4">
      <w:pPr>
        <w:pStyle w:val="Text2"/>
      </w:pPr>
      <w:r w:rsidRPr="00093AB4">
        <w:rPr>
          <w:rFonts w:eastAsiaTheme="minorEastAsia"/>
        </w:rPr>
        <w:t>‘</w:t>
      </w:r>
      <w:r w:rsidRPr="00093AB4">
        <w:t xml:space="preserve">By way of derogation from point (f)(ii), the competent authority of the Member State of origin may authorise </w:t>
      </w:r>
      <w:r w:rsidR="0026354C" w:rsidRPr="00093AB4">
        <w:t xml:space="preserve">the following movements to another Member </w:t>
      </w:r>
      <w:r w:rsidR="00E2561E" w:rsidRPr="00093AB4">
        <w:t>State</w:t>
      </w:r>
      <w:r w:rsidR="005F1240" w:rsidRPr="00093AB4">
        <w:t xml:space="preserve"> or area thereof</w:t>
      </w:r>
      <w:r w:rsidR="00E2561E" w:rsidRPr="00093AB4">
        <w:t>:</w:t>
      </w:r>
      <w:r w:rsidR="00B047F3" w:rsidRPr="00093AB4">
        <w:t xml:space="preserve"> </w:t>
      </w:r>
    </w:p>
    <w:p w14:paraId="45E39AF0" w14:textId="108DD5FB" w:rsidR="001E25CD" w:rsidRPr="00093AB4" w:rsidRDefault="001E25CD" w:rsidP="00E45AE4">
      <w:pPr>
        <w:pStyle w:val="Point2"/>
      </w:pPr>
      <w:r w:rsidRPr="00093AB4">
        <w:t xml:space="preserve">(a) </w:t>
      </w:r>
      <w:r w:rsidR="00E45AE4">
        <w:tab/>
      </w:r>
      <w:r w:rsidRPr="00093AB4">
        <w:t>movements which do not meet one of the requirements laid down in that point;</w:t>
      </w:r>
      <w:r w:rsidR="008C4350">
        <w:t xml:space="preserve"> or</w:t>
      </w:r>
    </w:p>
    <w:p w14:paraId="60801C17" w14:textId="747D5A0C" w:rsidR="001E25CD" w:rsidRPr="00093AB4" w:rsidRDefault="001E25CD" w:rsidP="00E45AE4">
      <w:pPr>
        <w:pStyle w:val="Point2"/>
      </w:pPr>
      <w:r w:rsidRPr="00093AB4">
        <w:t>(b)</w:t>
      </w:r>
      <w:r w:rsidR="00E45AE4">
        <w:tab/>
      </w:r>
      <w:r w:rsidRPr="00093AB4">
        <w:t>movements that comply with specific animal health requirements defined by the competent authority of the Member State of destination</w:t>
      </w:r>
      <w:r w:rsidR="00B047F3" w:rsidRPr="00093AB4">
        <w:t xml:space="preserve">. </w:t>
      </w:r>
    </w:p>
    <w:p w14:paraId="6AC60282" w14:textId="42507B05" w:rsidR="001E25CD" w:rsidRPr="00093AB4" w:rsidRDefault="00B047F3" w:rsidP="00E45AE4">
      <w:pPr>
        <w:pStyle w:val="Text2"/>
      </w:pPr>
      <w:r w:rsidRPr="00093AB4">
        <w:t xml:space="preserve">Prior to the use of </w:t>
      </w:r>
      <w:r w:rsidR="003D4058" w:rsidRPr="00093AB4">
        <w:t xml:space="preserve">any of the </w:t>
      </w:r>
      <w:r w:rsidRPr="00093AB4">
        <w:t>derogation</w:t>
      </w:r>
      <w:r w:rsidR="003D4058" w:rsidRPr="00093AB4">
        <w:t xml:space="preserve">s, </w:t>
      </w:r>
      <w:r w:rsidRPr="00093AB4">
        <w:t xml:space="preserve">the competent authority of the Member State of destination shall: </w:t>
      </w:r>
    </w:p>
    <w:p w14:paraId="10B2F145" w14:textId="772C2A2A" w:rsidR="0026354C" w:rsidRPr="00093AB4" w:rsidRDefault="001E25CD" w:rsidP="0026354C">
      <w:pPr>
        <w:pStyle w:val="Point2"/>
        <w:rPr>
          <w:lang w:eastAsia="en-IE"/>
        </w:rPr>
      </w:pPr>
      <w:r w:rsidRPr="00093AB4">
        <w:rPr>
          <w:lang w:eastAsia="en-IE"/>
        </w:rPr>
        <w:t>(a)</w:t>
      </w:r>
      <w:r w:rsidR="00810948">
        <w:rPr>
          <w:lang w:eastAsia="en-IE"/>
        </w:rPr>
        <w:tab/>
      </w:r>
      <w:r w:rsidR="0026354C" w:rsidRPr="00093AB4">
        <w:rPr>
          <w:lang w:eastAsia="en-IE"/>
        </w:rPr>
        <w:t>inform</w:t>
      </w:r>
      <w:r w:rsidRPr="00093AB4">
        <w:rPr>
          <w:lang w:eastAsia="en-IE"/>
        </w:rPr>
        <w:t xml:space="preserve"> </w:t>
      </w:r>
      <w:r w:rsidR="0026354C" w:rsidRPr="00093AB4">
        <w:rPr>
          <w:lang w:eastAsia="en-IE"/>
        </w:rPr>
        <w:t>the Commission and the other Member States that such movements are authorised; and</w:t>
      </w:r>
    </w:p>
    <w:p w14:paraId="5140798C" w14:textId="15807DCF" w:rsidR="009C22FD" w:rsidRPr="002033A5" w:rsidRDefault="0026354C" w:rsidP="001A05EB">
      <w:pPr>
        <w:pStyle w:val="Point2"/>
        <w:rPr>
          <w:lang w:eastAsia="en-IE"/>
        </w:rPr>
      </w:pPr>
      <w:r w:rsidRPr="00093AB4">
        <w:rPr>
          <w:lang w:eastAsia="en-IE"/>
        </w:rPr>
        <w:t>(b)</w:t>
      </w:r>
      <w:r w:rsidRPr="00093AB4">
        <w:rPr>
          <w:lang w:eastAsia="en-IE"/>
        </w:rPr>
        <w:tab/>
        <w:t xml:space="preserve">accept the animals </w:t>
      </w:r>
      <w:r w:rsidRPr="00093AB4" w:rsidDel="000E5651">
        <w:rPr>
          <w:lang w:eastAsia="en-IE"/>
        </w:rPr>
        <w:t xml:space="preserve">regardless of the Member State or </w:t>
      </w:r>
      <w:r w:rsidRPr="00093AB4">
        <w:rPr>
          <w:lang w:eastAsia="en-IE"/>
        </w:rPr>
        <w:t>area thereof</w:t>
      </w:r>
      <w:r w:rsidRPr="00093AB4" w:rsidDel="000E5651">
        <w:rPr>
          <w:lang w:eastAsia="en-IE"/>
        </w:rPr>
        <w:t xml:space="preserve"> of </w:t>
      </w:r>
      <w:r w:rsidRPr="00093AB4">
        <w:rPr>
          <w:lang w:eastAsia="en-IE"/>
        </w:rPr>
        <w:t xml:space="preserve">their </w:t>
      </w:r>
      <w:r w:rsidRPr="00093AB4" w:rsidDel="000E5651">
        <w:rPr>
          <w:lang w:eastAsia="en-IE"/>
        </w:rPr>
        <w:t>origin</w:t>
      </w:r>
      <w:bookmarkStart w:id="5" w:name="_Hlk137724297"/>
      <w:bookmarkEnd w:id="4"/>
      <w:r w:rsidR="002033A5" w:rsidRPr="00093AB4">
        <w:rPr>
          <w:noProof/>
        </w:rPr>
        <w:t>’</w:t>
      </w:r>
      <w:r w:rsidR="002033A5">
        <w:rPr>
          <w:noProof/>
        </w:rPr>
        <w:t>.</w:t>
      </w:r>
    </w:p>
    <w:bookmarkEnd w:id="5"/>
    <w:p w14:paraId="3183E2E0" w14:textId="1447D187" w:rsidR="0061658D" w:rsidRPr="002033A5" w:rsidRDefault="00221F62" w:rsidP="0061658D">
      <w:pPr>
        <w:pStyle w:val="Point0"/>
      </w:pPr>
      <w:r>
        <w:t>2</w:t>
      </w:r>
      <w:r w:rsidR="001A05EB" w:rsidRPr="002033A5">
        <w:t>.</w:t>
      </w:r>
      <w:r w:rsidR="0061658D" w:rsidRPr="002033A5">
        <w:tab/>
        <w:t>Article 15</w:t>
      </w:r>
      <w:r w:rsidR="00B30EE0" w:rsidRPr="002033A5">
        <w:t>, paragraph 1</w:t>
      </w:r>
      <w:r w:rsidR="0061658D" w:rsidRPr="002033A5">
        <w:t xml:space="preserve"> is amended as follows:</w:t>
      </w:r>
    </w:p>
    <w:p w14:paraId="2BA37E3F" w14:textId="1721773C" w:rsidR="0061658D" w:rsidRPr="002033A5" w:rsidRDefault="0061658D" w:rsidP="0061658D">
      <w:pPr>
        <w:pStyle w:val="Point1"/>
      </w:pPr>
      <w:bookmarkStart w:id="6" w:name="_Hlk159495433"/>
      <w:r w:rsidRPr="002033A5">
        <w:t>(a)</w:t>
      </w:r>
      <w:r w:rsidRPr="002033A5">
        <w:tab/>
      </w:r>
      <w:r w:rsidR="00896916" w:rsidRPr="002033A5">
        <w:t>the following is added after point (e)(ii) sub-point 2:</w:t>
      </w:r>
    </w:p>
    <w:p w14:paraId="17B75420" w14:textId="3FCBF3E4" w:rsidR="00896916" w:rsidRPr="002033A5" w:rsidRDefault="00896916" w:rsidP="00896916">
      <w:pPr>
        <w:pStyle w:val="Point2"/>
      </w:pPr>
      <w:r w:rsidRPr="002033A5">
        <w:t>‘3.</w:t>
      </w:r>
      <w:r w:rsidRPr="002033A5">
        <w:tab/>
        <w:t xml:space="preserve">the animals have been vaccinated against all serotypes of </w:t>
      </w:r>
      <w:r w:rsidR="007137CB">
        <w:t>i</w:t>
      </w:r>
      <w:r w:rsidR="007137CB" w:rsidRPr="00395719">
        <w:t>nfection with epizootic haemorrhagic disease virus</w:t>
      </w:r>
      <w:r w:rsidRPr="002033A5">
        <w:t xml:space="preserve"> reported during the past 2 years in an area of at least 150 km radius around the establishment of origin, the animals are within the immunity period guaranteed in the specifications of the vaccine and meet at least one of the following requirements:</w:t>
      </w:r>
    </w:p>
    <w:p w14:paraId="6F230FD6" w14:textId="77777777" w:rsidR="00896916" w:rsidRPr="002033A5" w:rsidRDefault="00896916" w:rsidP="00E30B60">
      <w:pPr>
        <w:pStyle w:val="Tiret3"/>
        <w:numPr>
          <w:ilvl w:val="0"/>
          <w:numId w:val="11"/>
        </w:numPr>
      </w:pPr>
      <w:r w:rsidRPr="002033A5">
        <w:t>they have been vaccinated more than 60 days before the date of movement;</w:t>
      </w:r>
    </w:p>
    <w:p w14:paraId="066FCEBE" w14:textId="0E97F5F1" w:rsidR="0061658D" w:rsidRPr="002033A5" w:rsidRDefault="00896916" w:rsidP="00E45AE4">
      <w:pPr>
        <w:pStyle w:val="Tiret3"/>
      </w:pPr>
      <w:r w:rsidRPr="002033A5">
        <w:t>they have been vaccinated with an inactivated vaccine and subject to a PCR test, with negative results on samples collected at least 14 days after the onset of the immunity set in the specifications of the vaccine</w:t>
      </w:r>
      <w:r w:rsidRPr="002033A5">
        <w:rPr>
          <w:noProof/>
        </w:rPr>
        <w:t>’;</w:t>
      </w:r>
    </w:p>
    <w:p w14:paraId="395EBB09" w14:textId="4E9BB58B" w:rsidR="002033A5" w:rsidRPr="002033A5" w:rsidRDefault="002033A5" w:rsidP="002033A5">
      <w:pPr>
        <w:pStyle w:val="Point1"/>
      </w:pPr>
      <w:r w:rsidRPr="002033A5">
        <w:t>(b)</w:t>
      </w:r>
      <w:r w:rsidRPr="002033A5">
        <w:tab/>
        <w:t xml:space="preserve">last subparagraph </w:t>
      </w:r>
      <w:r w:rsidR="00F33CFC" w:rsidRPr="00093AB4">
        <w:t xml:space="preserve">of </w:t>
      </w:r>
      <w:r w:rsidR="00F33CFC">
        <w:t>paragraph</w:t>
      </w:r>
      <w:r w:rsidR="00F33CFC" w:rsidRPr="00093AB4">
        <w:t xml:space="preserve"> 1 </w:t>
      </w:r>
      <w:r w:rsidRPr="002033A5">
        <w:t xml:space="preserve">is replaced by the following: </w:t>
      </w:r>
    </w:p>
    <w:p w14:paraId="023A29E8" w14:textId="067EC01B" w:rsidR="002033A5" w:rsidRPr="002033A5" w:rsidRDefault="002033A5" w:rsidP="00E45AE4">
      <w:pPr>
        <w:pStyle w:val="Text2"/>
      </w:pPr>
      <w:r w:rsidRPr="002033A5">
        <w:rPr>
          <w:rFonts w:eastAsiaTheme="minorEastAsia"/>
        </w:rPr>
        <w:t>‘</w:t>
      </w:r>
      <w:r w:rsidRPr="002033A5">
        <w:t xml:space="preserve">By way of derogation from point (e)(ii), the competent authority of the Member State of origin may authorise the following movements to another Member State or area thereof: </w:t>
      </w:r>
    </w:p>
    <w:p w14:paraId="0C665066" w14:textId="714F0C7F" w:rsidR="002033A5" w:rsidRPr="002033A5" w:rsidRDefault="002033A5" w:rsidP="00E45AE4">
      <w:pPr>
        <w:pStyle w:val="Point2"/>
      </w:pPr>
      <w:r w:rsidRPr="002033A5">
        <w:t>(a)</w:t>
      </w:r>
      <w:r w:rsidR="00E45AE4">
        <w:tab/>
      </w:r>
      <w:r w:rsidRPr="002033A5">
        <w:t>movements which do not meet one of the requirements laid down in that point;</w:t>
      </w:r>
      <w:r w:rsidR="008C4350">
        <w:t xml:space="preserve"> or</w:t>
      </w:r>
    </w:p>
    <w:p w14:paraId="4C27057D" w14:textId="6C174D92" w:rsidR="002033A5" w:rsidRPr="002033A5" w:rsidRDefault="002033A5" w:rsidP="00E45AE4">
      <w:pPr>
        <w:pStyle w:val="Point2"/>
      </w:pPr>
      <w:r w:rsidRPr="002033A5">
        <w:t>(b)</w:t>
      </w:r>
      <w:r w:rsidR="00E45AE4">
        <w:tab/>
      </w:r>
      <w:r w:rsidRPr="002033A5">
        <w:t xml:space="preserve">movements that comply with specific animal health requirements defined by the competent authority of the Member State of destination. </w:t>
      </w:r>
    </w:p>
    <w:p w14:paraId="100A723B" w14:textId="77777777" w:rsidR="002033A5" w:rsidRPr="002033A5" w:rsidRDefault="002033A5" w:rsidP="00E45AE4">
      <w:pPr>
        <w:pStyle w:val="Text2"/>
      </w:pPr>
      <w:r w:rsidRPr="002033A5">
        <w:t xml:space="preserve">Prior to the use of any of the derogations, the competent authority of the Member State of destination shall: </w:t>
      </w:r>
    </w:p>
    <w:p w14:paraId="7BCD0637" w14:textId="77777777" w:rsidR="002033A5" w:rsidRPr="00093AB4" w:rsidRDefault="002033A5" w:rsidP="002033A5">
      <w:pPr>
        <w:pStyle w:val="Point2"/>
        <w:rPr>
          <w:lang w:eastAsia="en-IE"/>
        </w:rPr>
      </w:pPr>
      <w:r w:rsidRPr="002033A5">
        <w:rPr>
          <w:lang w:eastAsia="en-IE"/>
        </w:rPr>
        <w:t>(a)</w:t>
      </w:r>
      <w:r w:rsidRPr="002033A5">
        <w:rPr>
          <w:lang w:eastAsia="en-IE"/>
        </w:rPr>
        <w:tab/>
        <w:t>inform the Commission and the other Member States that such movements are authorised; and</w:t>
      </w:r>
    </w:p>
    <w:p w14:paraId="03746272" w14:textId="7D67372D" w:rsidR="002033A5" w:rsidRPr="00171264" w:rsidRDefault="002033A5" w:rsidP="002033A5">
      <w:pPr>
        <w:pStyle w:val="Point2"/>
        <w:rPr>
          <w:lang w:val="en-IE"/>
        </w:rPr>
      </w:pPr>
      <w:r w:rsidRPr="00093AB4">
        <w:rPr>
          <w:lang w:eastAsia="en-IE"/>
        </w:rPr>
        <w:t>(b)</w:t>
      </w:r>
      <w:r w:rsidRPr="00093AB4">
        <w:rPr>
          <w:lang w:eastAsia="en-IE"/>
        </w:rPr>
        <w:tab/>
        <w:t xml:space="preserve">accept the animals </w:t>
      </w:r>
      <w:r w:rsidRPr="00093AB4" w:rsidDel="000E5651">
        <w:rPr>
          <w:lang w:eastAsia="en-IE"/>
        </w:rPr>
        <w:t xml:space="preserve">regardless of the Member State or </w:t>
      </w:r>
      <w:r w:rsidRPr="00093AB4">
        <w:rPr>
          <w:lang w:eastAsia="en-IE"/>
        </w:rPr>
        <w:t>area thereof</w:t>
      </w:r>
      <w:r w:rsidRPr="00093AB4" w:rsidDel="000E5651">
        <w:rPr>
          <w:lang w:eastAsia="en-IE"/>
        </w:rPr>
        <w:t xml:space="preserve"> of </w:t>
      </w:r>
      <w:r w:rsidRPr="00093AB4">
        <w:rPr>
          <w:lang w:eastAsia="en-IE"/>
        </w:rPr>
        <w:t xml:space="preserve">their </w:t>
      </w:r>
      <w:r w:rsidRPr="00093AB4" w:rsidDel="000E5651">
        <w:rPr>
          <w:lang w:eastAsia="en-IE"/>
        </w:rPr>
        <w:t>origin</w:t>
      </w:r>
      <w:r w:rsidRPr="00093AB4">
        <w:rPr>
          <w:noProof/>
        </w:rPr>
        <w:t>’</w:t>
      </w:r>
      <w:r w:rsidR="008E4C5A">
        <w:rPr>
          <w:noProof/>
        </w:rPr>
        <w:t>;</w:t>
      </w:r>
    </w:p>
    <w:bookmarkEnd w:id="6"/>
    <w:p w14:paraId="084DA916" w14:textId="4B6AB95B" w:rsidR="005A2855" w:rsidRPr="002033A5" w:rsidRDefault="00221F62" w:rsidP="001A05EB">
      <w:pPr>
        <w:pStyle w:val="Point0"/>
      </w:pPr>
      <w:r>
        <w:t>3</w:t>
      </w:r>
      <w:r w:rsidR="001A05EB" w:rsidRPr="002033A5">
        <w:t>.</w:t>
      </w:r>
      <w:r w:rsidR="00DC23EB" w:rsidRPr="002033A5">
        <w:tab/>
      </w:r>
      <w:r w:rsidR="005A2855" w:rsidRPr="002033A5">
        <w:t>Article 23</w:t>
      </w:r>
      <w:r w:rsidR="001D458E" w:rsidRPr="002033A5">
        <w:t>, paragraph 1</w:t>
      </w:r>
      <w:r w:rsidR="005A2855" w:rsidRPr="002033A5">
        <w:t xml:space="preserve"> is amended as follows:</w:t>
      </w:r>
      <w:r w:rsidR="00057D64" w:rsidRPr="002033A5">
        <w:t xml:space="preserve"> </w:t>
      </w:r>
    </w:p>
    <w:p w14:paraId="3428DE08" w14:textId="5DA735F1" w:rsidR="002033A5" w:rsidRPr="002033A5" w:rsidRDefault="002033A5" w:rsidP="002033A5">
      <w:pPr>
        <w:pStyle w:val="Point1"/>
      </w:pPr>
      <w:bookmarkStart w:id="7" w:name="_Hlk159495611"/>
      <w:r w:rsidRPr="002033A5">
        <w:lastRenderedPageBreak/>
        <w:t>(a)</w:t>
      </w:r>
      <w:r w:rsidRPr="002033A5">
        <w:tab/>
        <w:t>the following is added after point (</w:t>
      </w:r>
      <w:r>
        <w:t>g</w:t>
      </w:r>
      <w:r w:rsidRPr="002033A5">
        <w:t>)(ii) sub-point 2:</w:t>
      </w:r>
    </w:p>
    <w:p w14:paraId="1EDAA064" w14:textId="6AB52D7E" w:rsidR="002033A5" w:rsidRPr="002033A5" w:rsidRDefault="002033A5" w:rsidP="002033A5">
      <w:pPr>
        <w:pStyle w:val="Point2"/>
      </w:pPr>
      <w:r w:rsidRPr="002033A5">
        <w:t>‘3.</w:t>
      </w:r>
      <w:r w:rsidRPr="002033A5">
        <w:tab/>
        <w:t xml:space="preserve">the animals have been vaccinated against all serotypes of </w:t>
      </w:r>
      <w:r w:rsidR="007137CB">
        <w:t>i</w:t>
      </w:r>
      <w:r w:rsidR="007137CB" w:rsidRPr="00395719">
        <w:t xml:space="preserve">nfection with epizootic haemorrhagic disease virus </w:t>
      </w:r>
      <w:r w:rsidRPr="002033A5">
        <w:t>reported during the past 2 years in an area of at least 150 km radius around the establishment of origin, the animals are within the immunity period guaranteed in the specifications of the vaccine and meet at least one of the following requirements:</w:t>
      </w:r>
    </w:p>
    <w:p w14:paraId="4447DABE" w14:textId="77777777" w:rsidR="002033A5" w:rsidRPr="002033A5" w:rsidRDefault="002033A5" w:rsidP="00E45AE4">
      <w:pPr>
        <w:pStyle w:val="Tiret3"/>
      </w:pPr>
      <w:r w:rsidRPr="002033A5">
        <w:t>they have been vaccinated more than 60 days before the date of movement;</w:t>
      </w:r>
    </w:p>
    <w:p w14:paraId="139F90A1" w14:textId="77777777" w:rsidR="002033A5" w:rsidRPr="002033A5" w:rsidRDefault="002033A5" w:rsidP="00E45AE4">
      <w:pPr>
        <w:pStyle w:val="Tiret3"/>
      </w:pPr>
      <w:r w:rsidRPr="002033A5">
        <w:t>they have been vaccinated with an inactivated vaccine and subject to a PCR test, with negative results on samples collected at least 14 days after the onset of the immunity set in the specifications of the vaccine</w:t>
      </w:r>
      <w:r w:rsidRPr="002033A5">
        <w:rPr>
          <w:noProof/>
        </w:rPr>
        <w:t>’;</w:t>
      </w:r>
      <w:r w:rsidRPr="002033A5">
        <w:t xml:space="preserve"> </w:t>
      </w:r>
    </w:p>
    <w:p w14:paraId="6B7C2FA7" w14:textId="141685CD" w:rsidR="002033A5" w:rsidRPr="002033A5" w:rsidRDefault="002033A5" w:rsidP="002033A5">
      <w:pPr>
        <w:pStyle w:val="Point1"/>
      </w:pPr>
      <w:r w:rsidRPr="002033A5">
        <w:t>(b)</w:t>
      </w:r>
      <w:r w:rsidRPr="002033A5">
        <w:tab/>
        <w:t xml:space="preserve">last subparagraph of </w:t>
      </w:r>
      <w:r w:rsidR="006724ED">
        <w:t>paragraph</w:t>
      </w:r>
      <w:r w:rsidRPr="002033A5">
        <w:t xml:space="preserve"> 1 is replaced by the following: </w:t>
      </w:r>
    </w:p>
    <w:p w14:paraId="163CF83B" w14:textId="1B623A44" w:rsidR="002033A5" w:rsidRPr="002033A5" w:rsidRDefault="002033A5" w:rsidP="00E45AE4">
      <w:pPr>
        <w:pStyle w:val="Text2"/>
      </w:pPr>
      <w:r w:rsidRPr="002033A5">
        <w:rPr>
          <w:rFonts w:eastAsiaTheme="minorEastAsia"/>
        </w:rPr>
        <w:t>‘</w:t>
      </w:r>
      <w:r w:rsidRPr="002033A5">
        <w:t>By way of derogation from point (</w:t>
      </w:r>
      <w:r>
        <w:t>g</w:t>
      </w:r>
      <w:r w:rsidRPr="002033A5">
        <w:t xml:space="preserve">)(ii), the competent authority of the Member State of origin may authorise the following movements to another Member State or area thereof: </w:t>
      </w:r>
    </w:p>
    <w:p w14:paraId="3C0BABE7" w14:textId="28AF9C4A" w:rsidR="002033A5" w:rsidRPr="002033A5" w:rsidRDefault="002033A5" w:rsidP="00E45AE4">
      <w:pPr>
        <w:pStyle w:val="Point2"/>
      </w:pPr>
      <w:r w:rsidRPr="002033A5">
        <w:t>(a)</w:t>
      </w:r>
      <w:r w:rsidR="00E45AE4">
        <w:tab/>
      </w:r>
      <w:r w:rsidRPr="002033A5">
        <w:t>movements which do not meet one of the requirements laid down in that point;</w:t>
      </w:r>
      <w:r w:rsidR="008C4350">
        <w:t xml:space="preserve"> or</w:t>
      </w:r>
    </w:p>
    <w:p w14:paraId="26CE86CD" w14:textId="30F810B9" w:rsidR="002033A5" w:rsidRPr="002033A5" w:rsidRDefault="002033A5" w:rsidP="00E45AE4">
      <w:pPr>
        <w:pStyle w:val="Point2"/>
      </w:pPr>
      <w:r w:rsidRPr="002033A5">
        <w:t>(b)</w:t>
      </w:r>
      <w:r w:rsidR="00E45AE4">
        <w:tab/>
      </w:r>
      <w:r w:rsidRPr="002033A5">
        <w:t xml:space="preserve">movements that comply with specific animal health requirements defined by the competent authority of the Member State of destination. </w:t>
      </w:r>
    </w:p>
    <w:p w14:paraId="5C161DB2" w14:textId="77777777" w:rsidR="002033A5" w:rsidRPr="002033A5" w:rsidRDefault="002033A5" w:rsidP="00E45AE4">
      <w:pPr>
        <w:pStyle w:val="Text2"/>
      </w:pPr>
      <w:r w:rsidRPr="002033A5">
        <w:t xml:space="preserve">Prior to the use of any of the derogations, the competent authority of the Member State of destination shall: </w:t>
      </w:r>
    </w:p>
    <w:p w14:paraId="577E0A7B" w14:textId="77777777" w:rsidR="002033A5" w:rsidRPr="00093AB4" w:rsidRDefault="002033A5" w:rsidP="002033A5">
      <w:pPr>
        <w:pStyle w:val="Point2"/>
        <w:rPr>
          <w:lang w:eastAsia="en-IE"/>
        </w:rPr>
      </w:pPr>
      <w:r w:rsidRPr="002033A5">
        <w:rPr>
          <w:lang w:eastAsia="en-IE"/>
        </w:rPr>
        <w:t>(a)</w:t>
      </w:r>
      <w:r w:rsidRPr="002033A5">
        <w:rPr>
          <w:lang w:eastAsia="en-IE"/>
        </w:rPr>
        <w:tab/>
        <w:t>inform the Commission and the other Member States that such movements are authorised; and</w:t>
      </w:r>
    </w:p>
    <w:p w14:paraId="19650234" w14:textId="7BBCB666" w:rsidR="002033A5" w:rsidRPr="002033A5" w:rsidRDefault="002033A5" w:rsidP="002033A5">
      <w:pPr>
        <w:pStyle w:val="Point2"/>
      </w:pPr>
      <w:r w:rsidRPr="00093AB4">
        <w:rPr>
          <w:lang w:eastAsia="en-IE"/>
        </w:rPr>
        <w:t>(b)</w:t>
      </w:r>
      <w:r w:rsidRPr="00093AB4">
        <w:rPr>
          <w:lang w:eastAsia="en-IE"/>
        </w:rPr>
        <w:tab/>
        <w:t xml:space="preserve">accept the animals </w:t>
      </w:r>
      <w:r w:rsidRPr="00093AB4" w:rsidDel="000E5651">
        <w:rPr>
          <w:lang w:eastAsia="en-IE"/>
        </w:rPr>
        <w:t xml:space="preserve">regardless of the Member State or </w:t>
      </w:r>
      <w:r w:rsidRPr="00093AB4">
        <w:rPr>
          <w:lang w:eastAsia="en-IE"/>
        </w:rPr>
        <w:t>area thereof</w:t>
      </w:r>
      <w:r w:rsidRPr="00093AB4" w:rsidDel="000E5651">
        <w:rPr>
          <w:lang w:eastAsia="en-IE"/>
        </w:rPr>
        <w:t xml:space="preserve"> of </w:t>
      </w:r>
      <w:r w:rsidRPr="002033A5">
        <w:rPr>
          <w:lang w:eastAsia="en-IE"/>
        </w:rPr>
        <w:t xml:space="preserve">their </w:t>
      </w:r>
      <w:r w:rsidRPr="002033A5" w:rsidDel="000E5651">
        <w:rPr>
          <w:lang w:eastAsia="en-IE"/>
        </w:rPr>
        <w:t>origin</w:t>
      </w:r>
      <w:r w:rsidRPr="00093AB4">
        <w:rPr>
          <w:noProof/>
        </w:rPr>
        <w:t>’</w:t>
      </w:r>
      <w:r>
        <w:rPr>
          <w:noProof/>
        </w:rPr>
        <w:t>.</w:t>
      </w:r>
    </w:p>
    <w:bookmarkEnd w:id="7"/>
    <w:p w14:paraId="0FD1D3B1" w14:textId="6AAACC52" w:rsidR="005A2855" w:rsidRPr="002033A5" w:rsidRDefault="00221F62" w:rsidP="005A2855">
      <w:pPr>
        <w:pStyle w:val="Point0"/>
      </w:pPr>
      <w:r>
        <w:t>4</w:t>
      </w:r>
      <w:r w:rsidR="001A05EB" w:rsidRPr="002033A5">
        <w:t>.</w:t>
      </w:r>
      <w:r w:rsidR="005A2855" w:rsidRPr="002033A5">
        <w:tab/>
        <w:t>Article 26</w:t>
      </w:r>
      <w:r w:rsidR="001D458E" w:rsidRPr="002033A5">
        <w:t>, paragraph 1</w:t>
      </w:r>
      <w:r w:rsidR="005A2855" w:rsidRPr="002033A5">
        <w:t xml:space="preserve"> is amended as follows:</w:t>
      </w:r>
      <w:r w:rsidR="00057D64" w:rsidRPr="002033A5">
        <w:t xml:space="preserve"> </w:t>
      </w:r>
    </w:p>
    <w:p w14:paraId="1CA5A96A" w14:textId="77777777" w:rsidR="002033A5" w:rsidRPr="002033A5" w:rsidRDefault="002033A5" w:rsidP="002033A5">
      <w:pPr>
        <w:pStyle w:val="Point1"/>
      </w:pPr>
      <w:r w:rsidRPr="002033A5">
        <w:t>(a)</w:t>
      </w:r>
      <w:r w:rsidRPr="002033A5">
        <w:tab/>
        <w:t>the following is added after point (</w:t>
      </w:r>
      <w:r>
        <w:t>g</w:t>
      </w:r>
      <w:r w:rsidRPr="002033A5">
        <w:t>)(ii) sub-point 2:</w:t>
      </w:r>
    </w:p>
    <w:p w14:paraId="1A610301" w14:textId="2B62ED51" w:rsidR="002033A5" w:rsidRPr="002033A5" w:rsidRDefault="002033A5" w:rsidP="002033A5">
      <w:pPr>
        <w:pStyle w:val="Point2"/>
      </w:pPr>
      <w:r w:rsidRPr="002033A5">
        <w:t>‘3.</w:t>
      </w:r>
      <w:r w:rsidRPr="002033A5">
        <w:tab/>
        <w:t xml:space="preserve">the animals have been vaccinated against all serotypes of </w:t>
      </w:r>
      <w:r w:rsidR="007137CB">
        <w:t>i</w:t>
      </w:r>
      <w:r w:rsidR="007137CB" w:rsidRPr="00395719">
        <w:t xml:space="preserve">nfection with epizootic haemorrhagic disease virus </w:t>
      </w:r>
      <w:r w:rsidRPr="002033A5">
        <w:t>reported during the past 2 years in an area of at least 150 km radius around the establishment of origin, the animals are within the immunity period guaranteed in the specifications of the vaccine and meet at least one of the following requirements:</w:t>
      </w:r>
    </w:p>
    <w:p w14:paraId="16BCF962" w14:textId="77777777" w:rsidR="002033A5" w:rsidRPr="002033A5" w:rsidRDefault="002033A5" w:rsidP="00E45AE4">
      <w:pPr>
        <w:pStyle w:val="Tiret3"/>
      </w:pPr>
      <w:r w:rsidRPr="002033A5">
        <w:t>they have been vaccinated more than 60 days before the date of movement;</w:t>
      </w:r>
    </w:p>
    <w:p w14:paraId="6AB7EB08" w14:textId="77777777" w:rsidR="002033A5" w:rsidRPr="002033A5" w:rsidRDefault="002033A5" w:rsidP="00E45AE4">
      <w:pPr>
        <w:pStyle w:val="Tiret3"/>
      </w:pPr>
      <w:r w:rsidRPr="002033A5">
        <w:t>they have been vaccinated with an inactivated vaccine and subject to a PCR test, with negative results on samples collected at least 14 days after the onset of the immunity set in the specifications of the vaccine</w:t>
      </w:r>
      <w:r w:rsidRPr="002033A5">
        <w:rPr>
          <w:noProof/>
        </w:rPr>
        <w:t>’;</w:t>
      </w:r>
      <w:r w:rsidRPr="002033A5">
        <w:t xml:space="preserve"> </w:t>
      </w:r>
    </w:p>
    <w:p w14:paraId="2CC08838" w14:textId="3FC5A34F" w:rsidR="002033A5" w:rsidRPr="002033A5" w:rsidRDefault="002033A5" w:rsidP="002033A5">
      <w:pPr>
        <w:pStyle w:val="Point1"/>
      </w:pPr>
      <w:r w:rsidRPr="002033A5">
        <w:t>(b)</w:t>
      </w:r>
      <w:r w:rsidRPr="002033A5">
        <w:tab/>
        <w:t xml:space="preserve">last subparagraph of </w:t>
      </w:r>
      <w:r w:rsidR="006724ED">
        <w:t>paragraph</w:t>
      </w:r>
      <w:r w:rsidRPr="002033A5">
        <w:t xml:space="preserve">1 is replaced by the following: </w:t>
      </w:r>
    </w:p>
    <w:p w14:paraId="71369EE9" w14:textId="77777777" w:rsidR="002033A5" w:rsidRPr="002033A5" w:rsidRDefault="002033A5" w:rsidP="00E45AE4">
      <w:pPr>
        <w:pStyle w:val="Text2"/>
      </w:pPr>
      <w:r w:rsidRPr="002033A5">
        <w:rPr>
          <w:rFonts w:eastAsiaTheme="minorEastAsia"/>
        </w:rPr>
        <w:t>‘</w:t>
      </w:r>
      <w:r w:rsidRPr="002033A5">
        <w:t>By way of derogation from point (</w:t>
      </w:r>
      <w:r>
        <w:t>g</w:t>
      </w:r>
      <w:r w:rsidRPr="002033A5">
        <w:t xml:space="preserve">)(ii), the competent authority of the Member State of origin may authorise the following movements to another Member State or area thereof: </w:t>
      </w:r>
    </w:p>
    <w:p w14:paraId="577B574A" w14:textId="6B0FC700" w:rsidR="002033A5" w:rsidRPr="002033A5" w:rsidRDefault="002033A5" w:rsidP="00E45AE4">
      <w:pPr>
        <w:pStyle w:val="Point2"/>
      </w:pPr>
      <w:r w:rsidRPr="002033A5">
        <w:lastRenderedPageBreak/>
        <w:t>(a)</w:t>
      </w:r>
      <w:r w:rsidR="00E45AE4">
        <w:tab/>
      </w:r>
      <w:r w:rsidRPr="002033A5">
        <w:t>movements which do not meet one of the requirements laid down in that point;</w:t>
      </w:r>
      <w:r w:rsidR="008C4350">
        <w:t xml:space="preserve"> or</w:t>
      </w:r>
    </w:p>
    <w:p w14:paraId="31D09B75" w14:textId="1C02170F" w:rsidR="002033A5" w:rsidRPr="002033A5" w:rsidRDefault="002033A5" w:rsidP="00E45AE4">
      <w:pPr>
        <w:pStyle w:val="Point2"/>
      </w:pPr>
      <w:r w:rsidRPr="002033A5">
        <w:t>(b)</w:t>
      </w:r>
      <w:r w:rsidR="00E45AE4">
        <w:tab/>
      </w:r>
      <w:r w:rsidRPr="002033A5">
        <w:t xml:space="preserve">movements that comply with specific animal health requirements defined by the competent authority of the Member State of destination. </w:t>
      </w:r>
    </w:p>
    <w:p w14:paraId="2AE8AEB9" w14:textId="77777777" w:rsidR="002033A5" w:rsidRPr="002033A5" w:rsidRDefault="002033A5" w:rsidP="00E45AE4">
      <w:pPr>
        <w:pStyle w:val="Text2"/>
      </w:pPr>
      <w:r w:rsidRPr="002033A5">
        <w:t xml:space="preserve">Prior to the use of any of the derogations, the competent authority of the Member State of destination shall: </w:t>
      </w:r>
    </w:p>
    <w:p w14:paraId="3B83B32B" w14:textId="77777777" w:rsidR="002033A5" w:rsidRPr="00093AB4" w:rsidRDefault="002033A5" w:rsidP="002033A5">
      <w:pPr>
        <w:pStyle w:val="Point2"/>
        <w:rPr>
          <w:lang w:eastAsia="en-IE"/>
        </w:rPr>
      </w:pPr>
      <w:r w:rsidRPr="002033A5">
        <w:rPr>
          <w:lang w:eastAsia="en-IE"/>
        </w:rPr>
        <w:t>(a)</w:t>
      </w:r>
      <w:r w:rsidRPr="002033A5">
        <w:rPr>
          <w:lang w:eastAsia="en-IE"/>
        </w:rPr>
        <w:tab/>
        <w:t>inform the Commission and the other Member States that such movements are authorised; and</w:t>
      </w:r>
    </w:p>
    <w:p w14:paraId="0DFA0AD5" w14:textId="11AE6D67" w:rsidR="00F12D78" w:rsidRPr="0004525E" w:rsidRDefault="002033A5" w:rsidP="001A05EB">
      <w:pPr>
        <w:pStyle w:val="Point2"/>
        <w:rPr>
          <w:highlight w:val="green"/>
          <w:lang w:eastAsia="en-IE"/>
        </w:rPr>
      </w:pPr>
      <w:r w:rsidRPr="00093AB4">
        <w:rPr>
          <w:lang w:eastAsia="en-IE"/>
        </w:rPr>
        <w:t>(b)</w:t>
      </w:r>
      <w:r w:rsidRPr="00093AB4">
        <w:rPr>
          <w:lang w:eastAsia="en-IE"/>
        </w:rPr>
        <w:tab/>
        <w:t xml:space="preserve">accept the animals </w:t>
      </w:r>
      <w:r w:rsidRPr="00093AB4" w:rsidDel="000E5651">
        <w:rPr>
          <w:lang w:eastAsia="en-IE"/>
        </w:rPr>
        <w:t xml:space="preserve">regardless of the Member State or </w:t>
      </w:r>
      <w:r w:rsidRPr="00093AB4">
        <w:rPr>
          <w:lang w:eastAsia="en-IE"/>
        </w:rPr>
        <w:t>area thereof</w:t>
      </w:r>
      <w:r w:rsidRPr="00093AB4" w:rsidDel="000E5651">
        <w:rPr>
          <w:lang w:eastAsia="en-IE"/>
        </w:rPr>
        <w:t xml:space="preserve"> of </w:t>
      </w:r>
      <w:r w:rsidRPr="00093AB4">
        <w:rPr>
          <w:lang w:eastAsia="en-IE"/>
        </w:rPr>
        <w:t xml:space="preserve">their </w:t>
      </w:r>
      <w:r w:rsidRPr="00093AB4" w:rsidDel="000E5651">
        <w:rPr>
          <w:lang w:eastAsia="en-IE"/>
        </w:rPr>
        <w:t>origin</w:t>
      </w:r>
      <w:r w:rsidRPr="00093AB4">
        <w:rPr>
          <w:noProof/>
        </w:rPr>
        <w:t>’</w:t>
      </w:r>
      <w:r>
        <w:rPr>
          <w:noProof/>
        </w:rPr>
        <w:t>.</w:t>
      </w:r>
    </w:p>
    <w:p w14:paraId="4C7E48B9" w14:textId="40EE92F2" w:rsidR="002E4740" w:rsidRPr="002033A5" w:rsidRDefault="00221F62" w:rsidP="002E4740">
      <w:pPr>
        <w:pStyle w:val="Point0"/>
      </w:pPr>
      <w:bookmarkStart w:id="8" w:name="_Hlk132638785"/>
      <w:bookmarkStart w:id="9" w:name="_Hlk132639068"/>
      <w:r>
        <w:t>5</w:t>
      </w:r>
      <w:r w:rsidR="001A05EB" w:rsidRPr="002033A5">
        <w:t>.</w:t>
      </w:r>
      <w:r w:rsidR="002E4740" w:rsidRPr="002033A5">
        <w:tab/>
        <w:t>Article 29</w:t>
      </w:r>
      <w:r w:rsidR="001D458E" w:rsidRPr="002033A5">
        <w:t>, paragraph 1</w:t>
      </w:r>
      <w:r w:rsidR="002E4740" w:rsidRPr="002033A5">
        <w:t xml:space="preserve"> is amended as follows:</w:t>
      </w:r>
      <w:r w:rsidR="00057D64" w:rsidRPr="002033A5">
        <w:t xml:space="preserve"> </w:t>
      </w:r>
    </w:p>
    <w:bookmarkEnd w:id="8"/>
    <w:bookmarkEnd w:id="9"/>
    <w:p w14:paraId="0B379F19" w14:textId="13E52D2A" w:rsidR="002033A5" w:rsidRPr="002033A5" w:rsidRDefault="002033A5" w:rsidP="002033A5">
      <w:pPr>
        <w:pStyle w:val="Point1"/>
      </w:pPr>
      <w:r w:rsidRPr="002033A5">
        <w:t>(a)</w:t>
      </w:r>
      <w:r w:rsidRPr="002033A5">
        <w:tab/>
        <w:t>the following is added after point (</w:t>
      </w:r>
      <w:r>
        <w:t>f</w:t>
      </w:r>
      <w:r w:rsidRPr="002033A5">
        <w:t>)(ii) sub-point 2:</w:t>
      </w:r>
    </w:p>
    <w:p w14:paraId="6FDF3721" w14:textId="2B565E0D" w:rsidR="002033A5" w:rsidRPr="002033A5" w:rsidRDefault="002033A5" w:rsidP="002033A5">
      <w:pPr>
        <w:pStyle w:val="Point2"/>
      </w:pPr>
      <w:r w:rsidRPr="002033A5">
        <w:t>‘3.</w:t>
      </w:r>
      <w:r w:rsidRPr="002033A5">
        <w:tab/>
        <w:t xml:space="preserve">the animals have been vaccinated against all serotypes of </w:t>
      </w:r>
      <w:r w:rsidR="007137CB">
        <w:t>i</w:t>
      </w:r>
      <w:r w:rsidR="007137CB" w:rsidRPr="00395719">
        <w:t>nfection with epizootic haemorrhagic disease virus</w:t>
      </w:r>
      <w:r w:rsidRPr="002033A5">
        <w:t xml:space="preserve"> reported during the past 2 years in an area of at least 150 km radius around the establishment of origin, the animals are within the immunity period guaranteed in the specifications of the vaccine and meet at least one of the following requirements:</w:t>
      </w:r>
    </w:p>
    <w:p w14:paraId="6152DDE7" w14:textId="77777777" w:rsidR="002033A5" w:rsidRPr="002033A5" w:rsidRDefault="002033A5" w:rsidP="00597A42">
      <w:pPr>
        <w:pStyle w:val="Tiret3"/>
      </w:pPr>
      <w:r w:rsidRPr="002033A5">
        <w:t>they have been vaccinated more than 60 days before the date of movement;</w:t>
      </w:r>
    </w:p>
    <w:p w14:paraId="4317DCEE" w14:textId="77777777" w:rsidR="002033A5" w:rsidRPr="002033A5" w:rsidRDefault="002033A5" w:rsidP="00597A42">
      <w:pPr>
        <w:pStyle w:val="Tiret3"/>
      </w:pPr>
      <w:r w:rsidRPr="002033A5">
        <w:t>they have been vaccinated with an inactivated vaccine and subject to a PCR test, with negative results on samples collected at least 14 days after the onset of the immunity set in the specifications of the vaccine</w:t>
      </w:r>
      <w:r w:rsidRPr="002033A5">
        <w:rPr>
          <w:noProof/>
        </w:rPr>
        <w:t>’;</w:t>
      </w:r>
      <w:r w:rsidRPr="002033A5">
        <w:t xml:space="preserve"> </w:t>
      </w:r>
    </w:p>
    <w:p w14:paraId="05837387" w14:textId="43AE848E" w:rsidR="002033A5" w:rsidRPr="002033A5" w:rsidRDefault="002033A5" w:rsidP="002033A5">
      <w:pPr>
        <w:pStyle w:val="Point1"/>
      </w:pPr>
      <w:r w:rsidRPr="002033A5">
        <w:t>(b)</w:t>
      </w:r>
      <w:r w:rsidRPr="002033A5">
        <w:tab/>
        <w:t xml:space="preserve">last subparagraph of </w:t>
      </w:r>
      <w:r w:rsidR="006724ED">
        <w:t>paragraph</w:t>
      </w:r>
      <w:r w:rsidRPr="002033A5">
        <w:t xml:space="preserve"> 1 is replaced by the following: </w:t>
      </w:r>
    </w:p>
    <w:p w14:paraId="1EF3A616" w14:textId="1258C480" w:rsidR="002033A5" w:rsidRPr="002033A5" w:rsidRDefault="002033A5" w:rsidP="00E45AE4">
      <w:pPr>
        <w:pStyle w:val="Text2"/>
      </w:pPr>
      <w:r w:rsidRPr="002033A5">
        <w:rPr>
          <w:rFonts w:eastAsiaTheme="minorEastAsia"/>
        </w:rPr>
        <w:t>‘</w:t>
      </w:r>
      <w:r w:rsidRPr="002033A5">
        <w:t>By way of derogation from point (</w:t>
      </w:r>
      <w:r>
        <w:t>f</w:t>
      </w:r>
      <w:r w:rsidRPr="002033A5">
        <w:t xml:space="preserve">)(ii), the competent authority of the Member State of origin may authorise the following movements to another Member State or area thereof: </w:t>
      </w:r>
    </w:p>
    <w:p w14:paraId="04375BA2" w14:textId="30503C84" w:rsidR="002033A5" w:rsidRPr="002033A5" w:rsidRDefault="002033A5" w:rsidP="00E45AE4">
      <w:pPr>
        <w:pStyle w:val="Point2"/>
      </w:pPr>
      <w:r w:rsidRPr="002033A5">
        <w:t>(a)</w:t>
      </w:r>
      <w:r w:rsidR="00E45AE4">
        <w:tab/>
      </w:r>
      <w:r w:rsidRPr="002033A5">
        <w:t>movements which do not meet one of the requirements laid down in that point;</w:t>
      </w:r>
      <w:r w:rsidR="008C4350">
        <w:t xml:space="preserve"> or</w:t>
      </w:r>
    </w:p>
    <w:p w14:paraId="5AC30DD2" w14:textId="2FFDDD64" w:rsidR="002033A5" w:rsidRPr="002033A5" w:rsidRDefault="002033A5" w:rsidP="00E45AE4">
      <w:pPr>
        <w:pStyle w:val="Point2"/>
      </w:pPr>
      <w:r w:rsidRPr="002033A5">
        <w:t>(b)</w:t>
      </w:r>
      <w:r w:rsidR="00E45AE4">
        <w:tab/>
      </w:r>
      <w:r w:rsidRPr="002033A5">
        <w:t xml:space="preserve">movements that comply with specific animal health requirements defined by the competent authority of the Member State of destination. </w:t>
      </w:r>
    </w:p>
    <w:p w14:paraId="07F6256F" w14:textId="77777777" w:rsidR="002033A5" w:rsidRPr="002033A5" w:rsidRDefault="002033A5" w:rsidP="00E45AE4">
      <w:pPr>
        <w:pStyle w:val="Text2"/>
      </w:pPr>
      <w:r w:rsidRPr="002033A5">
        <w:t xml:space="preserve">Prior to the use of any of the derogations, the competent authority of the Member State of destination shall: </w:t>
      </w:r>
    </w:p>
    <w:p w14:paraId="0906B545" w14:textId="77777777" w:rsidR="002033A5" w:rsidRPr="00093AB4" w:rsidRDefault="002033A5" w:rsidP="002033A5">
      <w:pPr>
        <w:pStyle w:val="Point2"/>
        <w:rPr>
          <w:lang w:eastAsia="en-IE"/>
        </w:rPr>
      </w:pPr>
      <w:r w:rsidRPr="002033A5">
        <w:rPr>
          <w:lang w:eastAsia="en-IE"/>
        </w:rPr>
        <w:t>(a)</w:t>
      </w:r>
      <w:r w:rsidRPr="002033A5">
        <w:rPr>
          <w:lang w:eastAsia="en-IE"/>
        </w:rPr>
        <w:tab/>
        <w:t>inform the Commission and the other Member States that such movements are authorised; and</w:t>
      </w:r>
    </w:p>
    <w:p w14:paraId="6164D668" w14:textId="6BA7D61E" w:rsidR="002033A5" w:rsidRPr="003D4058" w:rsidRDefault="002033A5" w:rsidP="002033A5">
      <w:pPr>
        <w:pStyle w:val="Point2"/>
      </w:pPr>
      <w:r w:rsidRPr="00093AB4">
        <w:rPr>
          <w:lang w:eastAsia="en-IE"/>
        </w:rPr>
        <w:t>(b)</w:t>
      </w:r>
      <w:r w:rsidRPr="00093AB4">
        <w:rPr>
          <w:lang w:eastAsia="en-IE"/>
        </w:rPr>
        <w:tab/>
        <w:t xml:space="preserve">accept the animals </w:t>
      </w:r>
      <w:r w:rsidRPr="00093AB4" w:rsidDel="000E5651">
        <w:rPr>
          <w:lang w:eastAsia="en-IE"/>
        </w:rPr>
        <w:t xml:space="preserve">regardless of the Member State or </w:t>
      </w:r>
      <w:r w:rsidRPr="00093AB4">
        <w:rPr>
          <w:lang w:eastAsia="en-IE"/>
        </w:rPr>
        <w:t>area thereof</w:t>
      </w:r>
      <w:r w:rsidRPr="00093AB4" w:rsidDel="000E5651">
        <w:rPr>
          <w:lang w:eastAsia="en-IE"/>
        </w:rPr>
        <w:t xml:space="preserve"> of </w:t>
      </w:r>
      <w:r w:rsidRPr="00093AB4">
        <w:rPr>
          <w:lang w:eastAsia="en-IE"/>
        </w:rPr>
        <w:t xml:space="preserve">their </w:t>
      </w:r>
      <w:r w:rsidRPr="00093AB4" w:rsidDel="000E5651">
        <w:rPr>
          <w:lang w:eastAsia="en-IE"/>
        </w:rPr>
        <w:t>origin</w:t>
      </w:r>
      <w:r w:rsidRPr="00093AB4">
        <w:rPr>
          <w:noProof/>
        </w:rPr>
        <w:t>’</w:t>
      </w:r>
      <w:r>
        <w:rPr>
          <w:noProof/>
        </w:rPr>
        <w:t>.</w:t>
      </w:r>
    </w:p>
    <w:p w14:paraId="535E61EC" w14:textId="5696D337" w:rsidR="001E01E6" w:rsidRPr="00093AB4" w:rsidRDefault="001E01E6" w:rsidP="001E01E6">
      <w:pPr>
        <w:pStyle w:val="Titrearticle"/>
        <w:spacing w:after="0"/>
        <w:rPr>
          <w:noProof/>
        </w:rPr>
      </w:pPr>
      <w:r w:rsidRPr="00937BA9">
        <w:rPr>
          <w:noProof/>
        </w:rPr>
        <w:t>Article</w:t>
      </w:r>
      <w:r>
        <w:rPr>
          <w:noProof/>
        </w:rPr>
        <w:t xml:space="preserve"> </w:t>
      </w:r>
      <w:r w:rsidR="00093AB4">
        <w:rPr>
          <w:noProof/>
        </w:rPr>
        <w:t>2</w:t>
      </w:r>
    </w:p>
    <w:p w14:paraId="66DF6F7A" w14:textId="77777777" w:rsidR="001E01E6" w:rsidRPr="00B42C79" w:rsidRDefault="001E01E6" w:rsidP="001E01E6">
      <w:pPr>
        <w:pStyle w:val="Titrearticle"/>
        <w:spacing w:before="0"/>
        <w:rPr>
          <w:noProof/>
        </w:rPr>
      </w:pPr>
      <w:r>
        <w:rPr>
          <w:noProof/>
        </w:rPr>
        <w:t>Entry into force</w:t>
      </w:r>
    </w:p>
    <w:p w14:paraId="24C485DF" w14:textId="77777777" w:rsidR="00E57522" w:rsidRPr="00937BA9" w:rsidRDefault="00E57522" w:rsidP="00684A51">
      <w:r w:rsidRPr="00937BA9">
        <w:t xml:space="preserve">This Regulation shall enter into force on the </w:t>
      </w:r>
      <w:r w:rsidR="001E01E6" w:rsidRPr="00EB4C74">
        <w:rPr>
          <w:noProof/>
        </w:rPr>
        <w:t xml:space="preserve">twentieth </w:t>
      </w:r>
      <w:r w:rsidRPr="00937BA9">
        <w:t xml:space="preserve">day following that of its publication in the </w:t>
      </w:r>
      <w:r w:rsidRPr="00CD4ACA">
        <w:rPr>
          <w:i/>
          <w:iCs/>
        </w:rPr>
        <w:t>Official Journal of the European Union</w:t>
      </w:r>
      <w:r w:rsidRPr="00937BA9">
        <w:t>.</w:t>
      </w:r>
    </w:p>
    <w:p w14:paraId="22507ABB" w14:textId="77777777" w:rsidR="00E57522" w:rsidRDefault="00E57522" w:rsidP="00684A51">
      <w:pPr>
        <w:pStyle w:val="Applicationdirecte"/>
      </w:pPr>
      <w:r w:rsidRPr="00937BA9">
        <w:lastRenderedPageBreak/>
        <w:t>This Regulation shall be binding in its entirety and directly applicable in all Member States.</w:t>
      </w:r>
    </w:p>
    <w:p w14:paraId="04810CB0" w14:textId="1FD7ABD5" w:rsidR="00E57522" w:rsidRDefault="003967FE" w:rsidP="003967FE">
      <w:pPr>
        <w:pStyle w:val="Fait"/>
      </w:pPr>
      <w:r w:rsidRPr="003967FE">
        <w:t>Done at Brussels,</w:t>
      </w:r>
    </w:p>
    <w:p w14:paraId="65D06A9E" w14:textId="77777777" w:rsidR="00E57522" w:rsidRDefault="00E57522" w:rsidP="00E57522">
      <w:pPr>
        <w:pStyle w:val="Institutionquisigne"/>
      </w:pPr>
      <w:r w:rsidRPr="00E57522">
        <w:tab/>
        <w:t>For the Commission</w:t>
      </w:r>
    </w:p>
    <w:p w14:paraId="07970F76" w14:textId="77777777" w:rsidR="00F52191" w:rsidRPr="00083CC1" w:rsidRDefault="00E57522" w:rsidP="00E57522">
      <w:pPr>
        <w:pStyle w:val="Personnequisigne"/>
        <w:rPr>
          <w:lang w:val="de-DE"/>
        </w:rPr>
      </w:pPr>
      <w:r w:rsidRPr="00E57522">
        <w:tab/>
      </w:r>
      <w:r w:rsidRPr="00083CC1">
        <w:rPr>
          <w:lang w:val="de-DE"/>
        </w:rPr>
        <w:t>The President</w:t>
      </w:r>
    </w:p>
    <w:p w14:paraId="4938D019" w14:textId="77777777" w:rsidR="00E57522" w:rsidRPr="00083CC1" w:rsidRDefault="00E57522" w:rsidP="00E57522">
      <w:pPr>
        <w:pStyle w:val="Personnequisigne"/>
        <w:rPr>
          <w:lang w:val="de-DE"/>
        </w:rPr>
      </w:pPr>
      <w:r w:rsidRPr="00083CC1">
        <w:rPr>
          <w:lang w:val="de-DE"/>
        </w:rPr>
        <w:tab/>
      </w:r>
      <w:r w:rsidR="001E01E6" w:rsidRPr="00083CC1">
        <w:rPr>
          <w:lang w:val="de-DE"/>
        </w:rPr>
        <w:t>Ursula VON DER LEYEN</w:t>
      </w:r>
    </w:p>
    <w:sectPr w:rsidR="00E57522" w:rsidRPr="00083CC1" w:rsidSect="00304D4A">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7AAF6" w14:textId="77777777" w:rsidR="000309B8" w:rsidRDefault="000309B8" w:rsidP="00E57522">
      <w:pPr>
        <w:spacing w:before="0" w:after="0"/>
      </w:pPr>
      <w:r>
        <w:separator/>
      </w:r>
    </w:p>
  </w:endnote>
  <w:endnote w:type="continuationSeparator" w:id="0">
    <w:p w14:paraId="16C7680A" w14:textId="77777777" w:rsidR="000309B8" w:rsidRDefault="000309B8" w:rsidP="00E57522">
      <w:pPr>
        <w:spacing w:before="0" w:after="0"/>
      </w:pPr>
      <w:r>
        <w:continuationSeparator/>
      </w:r>
    </w:p>
  </w:endnote>
  <w:endnote w:type="continuationNotice" w:id="1">
    <w:p w14:paraId="3F010167" w14:textId="77777777" w:rsidR="000309B8" w:rsidRDefault="000309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C7DE" w14:textId="7898FA1E" w:rsidR="009F25AD" w:rsidRPr="0076655E" w:rsidRDefault="00304D4A" w:rsidP="00304D4A">
    <w:pPr>
      <w:pStyle w:val="Sidefod"/>
    </w:pPr>
    <w:r w:rsidRPr="0058478E">
      <w:rPr>
        <w:rFonts w:ascii="Arial" w:hAnsi="Arial" w:cs="Arial"/>
        <w:b/>
        <w:sz w:val="48"/>
      </w:rPr>
      <w:t>EN</w:t>
    </w:r>
    <w:r w:rsidRPr="0058478E">
      <w:rPr>
        <w:rFonts w:ascii="Arial" w:hAnsi="Arial" w:cs="Arial"/>
        <w:b/>
        <w:sz w:val="48"/>
      </w:rPr>
      <w:tab/>
    </w:r>
    <w:r w:rsidRPr="0058478E">
      <w:rPr>
        <w:rFonts w:ascii="Arial" w:hAnsi="Arial" w:cs="Arial"/>
        <w:b/>
        <w:sz w:val="48"/>
      </w:rPr>
      <w:tab/>
    </w:r>
    <w:r w:rsidRPr="0058478E">
      <w:tab/>
    </w:r>
    <w:r w:rsidRPr="0058478E">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9EA02" w14:textId="30D45A1B" w:rsidR="009F25AD" w:rsidRPr="0076655E" w:rsidRDefault="00304D4A" w:rsidP="00304D4A">
    <w:pPr>
      <w:pStyle w:val="Sidefod"/>
    </w:pPr>
    <w:r w:rsidRPr="0058478E">
      <w:rPr>
        <w:rFonts w:ascii="Arial" w:hAnsi="Arial" w:cs="Arial"/>
        <w:b/>
        <w:sz w:val="48"/>
      </w:rPr>
      <w:t>EN</w:t>
    </w:r>
    <w:r w:rsidRPr="0058478E">
      <w:rPr>
        <w:rFonts w:ascii="Arial" w:hAnsi="Arial" w:cs="Arial"/>
        <w:b/>
        <w:sz w:val="48"/>
      </w:rPr>
      <w:tab/>
    </w:r>
    <w:r w:rsidRPr="0058478E">
      <w:rPr>
        <w:rFonts w:ascii="Arial" w:hAnsi="Arial" w:cs="Arial"/>
        <w:b/>
        <w:sz w:val="48"/>
      </w:rPr>
      <w:tab/>
    </w:r>
    <w:r w:rsidRPr="0058478E">
      <w:tab/>
    </w:r>
    <w:r w:rsidRPr="0058478E">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7963" w14:textId="77777777" w:rsidR="007D7021" w:rsidRDefault="007D7021">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B9D9" w14:textId="5E994AB2" w:rsidR="003967FE" w:rsidRPr="0076655E" w:rsidRDefault="00304D4A" w:rsidP="00304D4A">
    <w:pPr>
      <w:pStyle w:val="Sidefod"/>
      <w:rPr>
        <w:rFonts w:ascii="Arial" w:hAnsi="Arial" w:cs="Arial"/>
        <w:b/>
        <w:sz w:val="48"/>
      </w:rPr>
    </w:pPr>
    <w:r w:rsidRPr="0058478E">
      <w:rPr>
        <w:rFonts w:ascii="Arial" w:hAnsi="Arial" w:cs="Arial"/>
        <w:b/>
        <w:sz w:val="48"/>
      </w:rPr>
      <w:t>EN</w:t>
    </w:r>
    <w:r w:rsidRPr="0058478E">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rsidRPr="0058478E">
      <w:tab/>
    </w:r>
    <w:r w:rsidRPr="00304D4A">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FC08" w14:textId="77777777" w:rsidR="00304D4A" w:rsidRPr="00304D4A" w:rsidRDefault="00304D4A" w:rsidP="00304D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7E3B3" w14:textId="77777777" w:rsidR="000309B8" w:rsidRDefault="000309B8" w:rsidP="00E57522">
      <w:pPr>
        <w:spacing w:before="0" w:after="0"/>
      </w:pPr>
      <w:r>
        <w:separator/>
      </w:r>
    </w:p>
  </w:footnote>
  <w:footnote w:type="continuationSeparator" w:id="0">
    <w:p w14:paraId="610FA402" w14:textId="77777777" w:rsidR="000309B8" w:rsidRDefault="000309B8" w:rsidP="00E57522">
      <w:pPr>
        <w:spacing w:before="0" w:after="0"/>
      </w:pPr>
      <w:r>
        <w:continuationSeparator/>
      </w:r>
    </w:p>
  </w:footnote>
  <w:footnote w:type="continuationNotice" w:id="1">
    <w:p w14:paraId="047B09B7" w14:textId="77777777" w:rsidR="000309B8" w:rsidRDefault="000309B8">
      <w:pPr>
        <w:spacing w:before="0" w:after="0"/>
      </w:pPr>
    </w:p>
  </w:footnote>
  <w:footnote w:id="2">
    <w:p w14:paraId="0AF8AB04" w14:textId="560F14E8" w:rsidR="009F25AD" w:rsidRPr="00143C4A" w:rsidRDefault="009F25AD">
      <w:pPr>
        <w:pStyle w:val="Fodnotetekst"/>
        <w:rPr>
          <w:lang w:val="es-ES"/>
        </w:rPr>
      </w:pPr>
      <w:r>
        <w:rPr>
          <w:rStyle w:val="Fodnotehenvisning"/>
        </w:rPr>
        <w:footnoteRef/>
      </w:r>
      <w:r w:rsidRPr="00143C4A">
        <w:rPr>
          <w:lang w:val="es-ES"/>
        </w:rPr>
        <w:tab/>
      </w:r>
      <w:r w:rsidRPr="00143C4A">
        <w:rPr>
          <w:rFonts w:eastAsia="Times New Roman"/>
          <w:lang w:val="es-ES"/>
        </w:rPr>
        <w:t>OJ L 84, 31.3.2016, p. 1</w:t>
      </w:r>
      <w:r w:rsidR="00143C4A" w:rsidRPr="00143C4A">
        <w:rPr>
          <w:rFonts w:eastAsia="Times New Roman"/>
          <w:lang w:val="es-ES"/>
        </w:rPr>
        <w:t>, ELI:</w:t>
      </w:r>
      <w:r w:rsidR="008951EC" w:rsidRPr="00E1155B">
        <w:rPr>
          <w:rFonts w:eastAsia="Times New Roman"/>
          <w:lang w:val="de-AT"/>
        </w:rPr>
        <w:t xml:space="preserve"> </w:t>
      </w:r>
      <w:r w:rsidR="00F04F45">
        <w:fldChar w:fldCharType="begin"/>
      </w:r>
      <w:r w:rsidR="00F04F45" w:rsidRPr="00F04F45">
        <w:rPr>
          <w:lang w:val="es-ES"/>
          <w:rPrChange w:id="0" w:author="ROSADO MARTIN Pedro (SANTE)" w:date="2024-03-11T13:45:00Z">
            <w:rPr/>
          </w:rPrChange>
        </w:rPr>
        <w:instrText>HYPERLINK "http://data.europa.eu/eli/reg/2016/429/oj"</w:instrText>
      </w:r>
      <w:r w:rsidR="00F04F45">
        <w:fldChar w:fldCharType="separate"/>
      </w:r>
      <w:r w:rsidR="008951EC" w:rsidRPr="001942C7">
        <w:rPr>
          <w:rStyle w:val="Hyperlink"/>
          <w:rFonts w:eastAsia="Times New Roman"/>
          <w:lang w:val="es-ES"/>
        </w:rPr>
        <w:t>http://data.europa.eu/eli/reg/2016/429/oj</w:t>
      </w:r>
      <w:r w:rsidR="00F04F45">
        <w:rPr>
          <w:rStyle w:val="Hyperlink"/>
          <w:rFonts w:eastAsia="Times New Roman"/>
          <w:lang w:val="es-ES"/>
        </w:rPr>
        <w:fldChar w:fldCharType="end"/>
      </w:r>
      <w:r w:rsidR="00143C4A" w:rsidRPr="008951EC">
        <w:rPr>
          <w:rStyle w:val="Hyperlink"/>
          <w:rFonts w:eastAsia="Times New Roman"/>
          <w:lang w:val="es-ES"/>
        </w:rPr>
        <w:t>.</w:t>
      </w:r>
    </w:p>
  </w:footnote>
  <w:footnote w:id="3">
    <w:p w14:paraId="00C5650A" w14:textId="1EF4FD0B" w:rsidR="009F25AD" w:rsidRPr="00C0430C" w:rsidRDefault="009F25AD">
      <w:pPr>
        <w:pStyle w:val="Fodnotetekst"/>
        <w:rPr>
          <w:lang w:val="en-IE"/>
        </w:rPr>
      </w:pPr>
      <w:r>
        <w:rPr>
          <w:rStyle w:val="Fodnotehenvisning"/>
        </w:rPr>
        <w:footnoteRef/>
      </w:r>
      <w:r>
        <w:tab/>
      </w:r>
      <w:r w:rsidRPr="00C0430C">
        <w:rPr>
          <w:rFonts w:eastAsia="Times New Roman"/>
        </w:rPr>
        <w:t>Commission Delegated Regulation (EU) 2020/688 of 17 December 2019 supplementing Regulation (EU) 2016/429 of the European Parliament and of the Council, as regards animal health requirements for movements within the Union of terrestrial animals and hatching eggs (OJ L 174, 3.6.2020, p. 140)</w:t>
      </w:r>
      <w:r w:rsidR="00143C4A">
        <w:rPr>
          <w:rFonts w:eastAsia="Times New Roman"/>
        </w:rPr>
        <w:t xml:space="preserve">, ELI: </w:t>
      </w:r>
      <w:hyperlink r:id="rId1" w:history="1">
        <w:r w:rsidR="00143C4A" w:rsidRPr="0078392B">
          <w:rPr>
            <w:rStyle w:val="Hyperlink"/>
            <w:rFonts w:eastAsia="Times New Roman"/>
          </w:rPr>
          <w:t>https://eur-lex.europa.eu/eli/reg_del/2020/688/oj</w:t>
        </w:r>
      </w:hyperlink>
      <w:r w:rsidR="00143C4A">
        <w:rPr>
          <w:rFonts w:eastAsia="Times New Roman"/>
        </w:rPr>
        <w:t xml:space="preserve">. </w:t>
      </w:r>
    </w:p>
  </w:footnote>
  <w:footnote w:id="4">
    <w:p w14:paraId="74B36478" w14:textId="7164D824" w:rsidR="009368B3" w:rsidRPr="009368B3" w:rsidRDefault="009368B3">
      <w:pPr>
        <w:pStyle w:val="Fodnotetekst"/>
      </w:pPr>
      <w:r>
        <w:rPr>
          <w:rStyle w:val="Fodnotehenvisning"/>
        </w:rPr>
        <w:footnoteRef/>
      </w:r>
      <w:r>
        <w:tab/>
      </w:r>
      <w:r w:rsidRPr="008951EC">
        <w:rPr>
          <w:rFonts w:eastAsia="Times New Roman"/>
        </w:rPr>
        <w:t>Commission Delegated Regulation (EU) 2023/2515 of 8 September 2023 amending Delegated Regulation (EU) 2020/688 as regards certain animal health requirements for movements within the Union of terrestrial animals</w:t>
      </w:r>
      <w:r w:rsidR="00143C4A" w:rsidRPr="008951EC">
        <w:rPr>
          <w:rFonts w:eastAsia="Times New Roman"/>
        </w:rPr>
        <w:t xml:space="preserve">, ELI: </w:t>
      </w:r>
      <w:hyperlink r:id="rId2" w:history="1">
        <w:r w:rsidR="00143C4A" w:rsidRPr="008951EC">
          <w:rPr>
            <w:rStyle w:val="Hyperlink"/>
            <w:rFonts w:eastAsia="Times New Roman"/>
          </w:rPr>
          <w:t>https://eur-lex.europa.eu/eli/reg_del/2023/2515/oj</w:t>
        </w:r>
      </w:hyperlink>
      <w:r w:rsidR="00143C4A" w:rsidRPr="008951EC">
        <w:rPr>
          <w:rFonts w:eastAsia="Times New Roman"/>
        </w:rPr>
        <w:t>.</w:t>
      </w:r>
    </w:p>
  </w:footnote>
  <w:footnote w:id="5">
    <w:p w14:paraId="2FC1E708" w14:textId="646F3D18" w:rsidR="009F25AD" w:rsidRPr="00110B89" w:rsidRDefault="009F25AD" w:rsidP="009C22FD">
      <w:pPr>
        <w:pStyle w:val="Fodnotetekst"/>
        <w:rPr>
          <w:lang w:val="es-ES"/>
        </w:rPr>
      </w:pPr>
      <w:r w:rsidRPr="00A46787">
        <w:rPr>
          <w:rStyle w:val="Fodnotehenvisning"/>
        </w:rPr>
        <w:footnoteRef/>
      </w:r>
      <w:r w:rsidRPr="00110B89">
        <w:rPr>
          <w:rFonts w:eastAsia="Times New Roman"/>
          <w:sz w:val="24"/>
          <w:szCs w:val="24"/>
          <w:lang w:val="es-ES"/>
        </w:rPr>
        <w:tab/>
      </w:r>
      <w:r w:rsidRPr="00110B89">
        <w:rPr>
          <w:rFonts w:eastAsia="Times New Roman"/>
          <w:lang w:val="es-ES"/>
        </w:rPr>
        <w:t xml:space="preserve">OJ L 84, 31.3.2016, p. </w:t>
      </w:r>
      <w:r w:rsidR="00110B89" w:rsidRPr="00110B89">
        <w:rPr>
          <w:rFonts w:eastAsia="Times New Roman"/>
          <w:lang w:val="es-ES"/>
        </w:rPr>
        <w:t xml:space="preserve">1, </w:t>
      </w:r>
      <w:r w:rsidR="00110B89" w:rsidRPr="00143C4A">
        <w:rPr>
          <w:rFonts w:eastAsia="Times New Roman"/>
          <w:lang w:val="es-ES"/>
        </w:rPr>
        <w:t xml:space="preserve">ELI: </w:t>
      </w:r>
      <w:r w:rsidR="00F04F45">
        <w:fldChar w:fldCharType="begin"/>
      </w:r>
      <w:r w:rsidR="00F04F45" w:rsidRPr="00F04F45">
        <w:rPr>
          <w:lang w:val="es-ES"/>
          <w:rPrChange w:id="2" w:author="ROSADO MARTIN Pedro (SANTE)" w:date="2024-03-11T13:45:00Z">
            <w:rPr/>
          </w:rPrChange>
        </w:rPr>
        <w:instrText>HYPERLINK "http://data.europa.eu/eli/reg/2016/429/oj"</w:instrText>
      </w:r>
      <w:r w:rsidR="00F04F45">
        <w:fldChar w:fldCharType="separate"/>
      </w:r>
      <w:r w:rsidR="00110B89">
        <w:rPr>
          <w:rStyle w:val="Hyperlink"/>
          <w:lang w:val="es-ES"/>
        </w:rPr>
        <w:t>http://data.europa.eu/eli/reg/2016/429/oj</w:t>
      </w:r>
      <w:r w:rsidR="00F04F45">
        <w:rPr>
          <w:rStyle w:val="Hyperlink"/>
          <w:lang w:val="es-ES"/>
        </w:rPr>
        <w:fldChar w:fldCharType="end"/>
      </w:r>
      <w:r w:rsidR="00110B89">
        <w:rPr>
          <w:lang w:val="es-ES"/>
        </w:rPr>
        <w:t>.</w:t>
      </w:r>
    </w:p>
  </w:footnote>
  <w:footnote w:id="6">
    <w:p w14:paraId="3CC8F2CD" w14:textId="33AF137C" w:rsidR="009F25AD" w:rsidRDefault="009F25AD" w:rsidP="00CE6ABA">
      <w:pPr>
        <w:pStyle w:val="Fodnotetekst"/>
      </w:pPr>
      <w:r w:rsidRPr="00A46787">
        <w:rPr>
          <w:rStyle w:val="Fodnotehenvisning"/>
        </w:rPr>
        <w:footnoteRef/>
      </w:r>
      <w:r>
        <w:rPr>
          <w:rFonts w:eastAsia="Times New Roman"/>
          <w:sz w:val="24"/>
          <w:szCs w:val="24"/>
        </w:rPr>
        <w:tab/>
      </w:r>
      <w:r w:rsidRPr="00C0430C">
        <w:rPr>
          <w:rFonts w:eastAsia="Times New Roman"/>
        </w:rPr>
        <w:t>Commission Delegated Regulation (EU) 2020/688 of 17 December 2019 supplementing Regulation (EU) 2016/429 of the European Parliament and of the Council, as regards animal health requirements for movements within the Union of terrestrial animals and hatching eggs (OJ L 174, 3.6.2020, p. 140)</w:t>
      </w:r>
      <w:r w:rsidR="00110B89">
        <w:rPr>
          <w:rFonts w:eastAsia="Times New Roman"/>
        </w:rPr>
        <w:t xml:space="preserve">, ELI: </w:t>
      </w:r>
      <w:hyperlink r:id="rId3" w:history="1">
        <w:r w:rsidR="00110B89" w:rsidRPr="0078392B">
          <w:rPr>
            <w:rStyle w:val="Hyperlink"/>
            <w:rFonts w:eastAsia="Times New Roman"/>
          </w:rPr>
          <w:t>https://eur-lex.europa.eu/eli/reg_del/2020/688/oj</w:t>
        </w:r>
      </w:hyperlink>
      <w:r w:rsidR="00110B89">
        <w:rPr>
          <w:rFonts w:eastAsia="Times New Roman"/>
        </w:rPr>
        <w:t xml:space="preserve">. </w:t>
      </w:r>
    </w:p>
  </w:footnote>
  <w:footnote w:id="7">
    <w:p w14:paraId="04178019" w14:textId="58137933" w:rsidR="009F25AD" w:rsidRDefault="009F25AD" w:rsidP="00A46787">
      <w:pPr>
        <w:pStyle w:val="Fodnotetekst"/>
        <w:ind w:left="709" w:hanging="709"/>
      </w:pPr>
      <w:r w:rsidRPr="00A46787">
        <w:rPr>
          <w:rStyle w:val="Fodnotehenvisning"/>
        </w:rPr>
        <w:footnoteRef/>
      </w:r>
      <w:r>
        <w:rPr>
          <w:rFonts w:ascii="Roboto" w:eastAsia="Roboto" w:hAnsi="Roboto" w:cs="Roboto"/>
          <w:sz w:val="21"/>
          <w:szCs w:val="21"/>
        </w:rPr>
        <w:tab/>
      </w:r>
      <w:r w:rsidRPr="00C0430C">
        <w:rPr>
          <w:rFonts w:eastAsia="Times New Roman"/>
        </w:rPr>
        <w:t>Commission Implementing Regulation (EU) 2018/1882 of 3 December 2018 on the application of certain disease prevention and control rules to categories of listed diseases and establishing a list of species and groups of species posing a considerable risk for the spread of those listed diseases (OJ L 308, 4.12.2018, p. 21)</w:t>
      </w:r>
      <w:r w:rsidR="00110B89">
        <w:rPr>
          <w:rFonts w:eastAsia="Times New Roman"/>
        </w:rPr>
        <w:t xml:space="preserve">, ELI: </w:t>
      </w:r>
      <w:hyperlink r:id="rId4" w:history="1">
        <w:r w:rsidR="00110B89" w:rsidRPr="0078392B">
          <w:rPr>
            <w:rStyle w:val="Hyperlink"/>
            <w:rFonts w:eastAsia="Times New Roman"/>
          </w:rPr>
          <w:t>https://eur-lex.europa.eu/eli/reg_impl/2018/1882/oj</w:t>
        </w:r>
      </w:hyperlink>
      <w:r w:rsidR="00110B89">
        <w:rPr>
          <w:rFonts w:eastAsia="Times New Roman"/>
        </w:rPr>
        <w:t xml:space="preserve">. </w:t>
      </w:r>
    </w:p>
  </w:footnote>
  <w:footnote w:id="8">
    <w:p w14:paraId="69883860" w14:textId="5D8D7D10" w:rsidR="00D3682F" w:rsidRPr="009368B3" w:rsidRDefault="00D3682F" w:rsidP="00D3682F">
      <w:pPr>
        <w:pStyle w:val="Fodnotetekst"/>
      </w:pPr>
      <w:r>
        <w:rPr>
          <w:rStyle w:val="Fodnotehenvisning"/>
        </w:rPr>
        <w:footnoteRef/>
      </w:r>
      <w:r>
        <w:tab/>
      </w:r>
      <w:r w:rsidRPr="009368B3">
        <w:rPr>
          <w:rFonts w:eastAsia="Times New Roman"/>
        </w:rPr>
        <w:t xml:space="preserve">Commission Delegated Regulation (EU) 2023/2515 of 8 September 2023 amending Delegated Regulation (EU) 2020/688 as regards certain animal health requirements for movements within the </w:t>
      </w:r>
      <w:r w:rsidRPr="00413B37">
        <w:rPr>
          <w:rFonts w:eastAsia="Times New Roman"/>
        </w:rPr>
        <w:t xml:space="preserve">Union of terrestrial animals </w:t>
      </w:r>
      <w:r w:rsidR="00110B89" w:rsidRPr="00413B37">
        <w:rPr>
          <w:rFonts w:eastAsia="Times New Roman"/>
        </w:rPr>
        <w:t xml:space="preserve">, ELI: </w:t>
      </w:r>
      <w:hyperlink r:id="rId5" w:history="1">
        <w:r w:rsidR="00110B89" w:rsidRPr="00413B37">
          <w:rPr>
            <w:rStyle w:val="Hyperlink"/>
            <w:rFonts w:eastAsia="Times New Roman"/>
          </w:rPr>
          <w:t>https://eur-lex.europa.eu/eli/reg_del/2023/2515/oj</w:t>
        </w:r>
      </w:hyperlink>
      <w:r w:rsidR="00110B89" w:rsidRPr="00413B37">
        <w:rPr>
          <w:rFonts w:eastAsia="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9EAB" w14:textId="77777777" w:rsidR="007D7021" w:rsidRDefault="007D702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542919"/>
      <w:docPartObj>
        <w:docPartGallery w:val="Watermarks"/>
        <w:docPartUnique/>
      </w:docPartObj>
    </w:sdtPr>
    <w:sdtEndPr/>
    <w:sdtContent>
      <w:p w14:paraId="5C5AE918" w14:textId="30281CCB" w:rsidR="00CB0320" w:rsidRDefault="000309B8">
        <w:pPr>
          <w:pStyle w:val="Sidehoved"/>
        </w:pPr>
        <w:r>
          <w:rPr>
            <w:noProof/>
          </w:rPr>
          <w:pict w14:anchorId="304C5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0E8C" w14:textId="77777777" w:rsidR="007D7021" w:rsidRDefault="007D702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48A75FE"/>
    <w:lvl w:ilvl="0">
      <w:start w:val="1"/>
      <w:numFmt w:val="decimal"/>
      <w:pStyle w:val="Opstilling-talellerbogst4"/>
      <w:lvlText w:val="%1."/>
      <w:lvlJc w:val="left"/>
      <w:pPr>
        <w:tabs>
          <w:tab w:val="num" w:pos="1016"/>
        </w:tabs>
        <w:ind w:left="1016" w:hanging="360"/>
      </w:pPr>
    </w:lvl>
  </w:abstractNum>
  <w:abstractNum w:abstractNumId="1" w15:restartNumberingAfterBreak="0">
    <w:nsid w:val="FFFFFF7E"/>
    <w:multiLevelType w:val="singleLevel"/>
    <w:tmpl w:val="0E868DAC"/>
    <w:lvl w:ilvl="0">
      <w:start w:val="1"/>
      <w:numFmt w:val="decimal"/>
      <w:pStyle w:val="Opstilling-talellerbogst3"/>
      <w:lvlText w:val="%1."/>
      <w:lvlJc w:val="left"/>
      <w:pPr>
        <w:tabs>
          <w:tab w:val="num" w:pos="1080"/>
        </w:tabs>
        <w:ind w:left="1080" w:hanging="360"/>
      </w:pPr>
    </w:lvl>
  </w:abstractNum>
  <w:abstractNum w:abstractNumId="2" w15:restartNumberingAfterBreak="0">
    <w:nsid w:val="FFFFFF7F"/>
    <w:multiLevelType w:val="singleLevel"/>
    <w:tmpl w:val="39362980"/>
    <w:lvl w:ilvl="0">
      <w:start w:val="1"/>
      <w:numFmt w:val="decimal"/>
      <w:pStyle w:val="Opstilling-talellerbogst2"/>
      <w:lvlText w:val="%1."/>
      <w:lvlJc w:val="left"/>
      <w:pPr>
        <w:tabs>
          <w:tab w:val="num" w:pos="720"/>
        </w:tabs>
        <w:ind w:left="720" w:hanging="360"/>
      </w:pPr>
    </w:lvl>
  </w:abstractNum>
  <w:abstractNum w:abstractNumId="3" w15:restartNumberingAfterBreak="0">
    <w:nsid w:val="FFFFFF81"/>
    <w:multiLevelType w:val="singleLevel"/>
    <w:tmpl w:val="4800AC7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144309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E601A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D3A02FD4"/>
    <w:lvl w:ilvl="0">
      <w:start w:val="1"/>
      <w:numFmt w:val="decimal"/>
      <w:pStyle w:val="Opstilling-talellerbogst"/>
      <w:lvlText w:val="%1."/>
      <w:lvlJc w:val="left"/>
      <w:pPr>
        <w:tabs>
          <w:tab w:val="num" w:pos="360"/>
        </w:tabs>
        <w:ind w:left="360" w:hanging="360"/>
      </w:pPr>
    </w:lvl>
  </w:abstractNum>
  <w:abstractNum w:abstractNumId="7" w15:restartNumberingAfterBreak="0">
    <w:nsid w:val="FFFFFF89"/>
    <w:multiLevelType w:val="singleLevel"/>
    <w:tmpl w:val="52981D90"/>
    <w:lvl w:ilvl="0">
      <w:start w:val="1"/>
      <w:numFmt w:val="bullet"/>
      <w:pStyle w:val="Opstilling-punkttegn"/>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decimal"/>
      <w:pStyle w:val="Overskrift5"/>
      <w:lvlText w:val="%1.%2.%3.%4.%5."/>
      <w:lvlJc w:val="left"/>
      <w:pPr>
        <w:tabs>
          <w:tab w:val="num" w:pos="1417"/>
        </w:tabs>
        <w:ind w:left="1417" w:hanging="1417"/>
      </w:pPr>
    </w:lvl>
    <w:lvl w:ilvl="5">
      <w:start w:val="1"/>
      <w:numFmt w:val="decimal"/>
      <w:pStyle w:val="Overskrift6"/>
      <w:lvlText w:val="%1.%2.%3.%4.%5.%6."/>
      <w:lvlJc w:val="left"/>
      <w:pPr>
        <w:tabs>
          <w:tab w:val="num" w:pos="1417"/>
        </w:tabs>
        <w:ind w:left="1417" w:hanging="1417"/>
      </w:pPr>
    </w:lvl>
    <w:lvl w:ilvl="6">
      <w:start w:val="1"/>
      <w:numFmt w:val="decimal"/>
      <w:pStyle w:val="Overskrift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2"/>
    <w:lvlOverride w:ilvl="0">
      <w:startOverride w:val="1"/>
    </w:lvlOverride>
  </w:num>
  <w:num w:numId="6">
    <w:abstractNumId w:val="6"/>
  </w:num>
  <w:num w:numId="7">
    <w:abstractNumId w:val="2"/>
  </w:num>
  <w:num w:numId="8">
    <w:abstractNumId w:val="1"/>
  </w:num>
  <w:num w:numId="9">
    <w:abstractNumId w:val="0"/>
  </w:num>
  <w:num w:numId="10">
    <w:abstractNumId w:val="19"/>
    <w:lvlOverride w:ilvl="0">
      <w:startOverride w:val="1"/>
    </w:lvlOverride>
  </w:num>
  <w:num w:numId="11">
    <w:abstractNumId w:val="11"/>
    <w:lvlOverride w:ilvl="0">
      <w:startOverride w:val="1"/>
    </w:lvlOverride>
  </w:num>
  <w:num w:numId="12">
    <w:abstractNumId w:val="19"/>
  </w:num>
  <w:num w:numId="13">
    <w:abstractNumId w:val="12"/>
  </w:num>
  <w:num w:numId="14">
    <w:abstractNumId w:val="21"/>
  </w:num>
  <w:num w:numId="15">
    <w:abstractNumId w:val="11"/>
  </w:num>
  <w:num w:numId="16">
    <w:abstractNumId w:val="13"/>
  </w:num>
  <w:num w:numId="17">
    <w:abstractNumId w:val="14"/>
  </w:num>
  <w:num w:numId="18">
    <w:abstractNumId w:val="9"/>
  </w:num>
  <w:num w:numId="19">
    <w:abstractNumId w:val="20"/>
  </w:num>
  <w:num w:numId="20">
    <w:abstractNumId w:val="8"/>
  </w:num>
  <w:num w:numId="21">
    <w:abstractNumId w:val="15"/>
  </w:num>
  <w:num w:numId="22">
    <w:abstractNumId w:val="17"/>
  </w:num>
  <w:num w:numId="23">
    <w:abstractNumId w:val="18"/>
  </w:num>
  <w:num w:numId="24">
    <w:abstractNumId w:val="10"/>
  </w:num>
  <w:num w:numId="25">
    <w:abstractNumId w:val="16"/>
  </w:num>
  <w:num w:numId="26">
    <w:abstractNumId w:val="22"/>
  </w:num>
  <w:num w:numId="27">
    <w:abstractNumId w:val="11"/>
    <w:lvlOverride w:ilvl="0">
      <w:startOverride w:val="1"/>
    </w:lvlOverride>
  </w:num>
  <w:num w:numId="28">
    <w:abstractNumId w:val="19"/>
  </w:num>
  <w:num w:numId="29">
    <w:abstractNumId w:val="19"/>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DO MARTIN Pedro (SANTE)">
    <w15:presenceInfo w15:providerId="AD" w15:userId="S::Pedro.ROSADO-MARTIN@ec.europa.eu::37014a11-c56b-4c6f-bd84-12ae40d975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_RefLast" w:val="0"/>
    <w:docVar w:name="DQCDateTime" w:val="2024-02-22 15:52:06"/>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Yellow"/>
    <w:docVar w:name="DQCVersion" w:val="3"/>
    <w:docVar w:name="DQCWithWarnings" w:val="0"/>
    <w:docVar w:name="LW_CORRIGENDUM" w:val="&lt;UNUSED&gt;"/>
    <w:docVar w:name="LW_COVERPAGE_EXISTS" w:val="True"/>
    <w:docVar w:name="LW_COVERPAGE_GUID" w:val="69234C1D-73D6-4F5D-BB1E-F608C1B72202"/>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3"/>
    <w:docVar w:name="LW_ID_DOCSIGNATURE" w:val="SJ-003"/>
    <w:docVar w:name="LW_ID_DOCSTRUCTURE" w:val="COM/AA"/>
    <w:docVar w:name="LW_ID_DOCTYPE" w:val="SJ-003"/>
    <w:docVar w:name="LW_INSERT_EXP.MOTIFS.NEW" w:val="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4) XXX"/>
    <w:docVar w:name="LW_REF.INTERNE" w:val="PLAN/19/2024 CIS (POOL/G2/2024/19_DA/19-EN CIS.docx)"/>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Delegated Regulation (EU) 2020/688 as regards certain animal health requirements for movements within the Union of terrestrial animals"/>
    <w:docVar w:name="LW_TYPE.DOC.CP" w:val="COMMISSION DELEGATED REGULATION (EU) \u8230?/..."/>
  </w:docVars>
  <w:rsids>
    <w:rsidRoot w:val="00E57522"/>
    <w:rsid w:val="0000009B"/>
    <w:rsid w:val="0000374A"/>
    <w:rsid w:val="00004C7F"/>
    <w:rsid w:val="0000796B"/>
    <w:rsid w:val="00012F6E"/>
    <w:rsid w:val="00014464"/>
    <w:rsid w:val="000152BF"/>
    <w:rsid w:val="0002103F"/>
    <w:rsid w:val="00023BF0"/>
    <w:rsid w:val="0002536C"/>
    <w:rsid w:val="00030004"/>
    <w:rsid w:val="00030916"/>
    <w:rsid w:val="000309B8"/>
    <w:rsid w:val="00033B78"/>
    <w:rsid w:val="00037E78"/>
    <w:rsid w:val="0004525E"/>
    <w:rsid w:val="00053FC3"/>
    <w:rsid w:val="00055E29"/>
    <w:rsid w:val="000572F5"/>
    <w:rsid w:val="0005786E"/>
    <w:rsid w:val="00057D64"/>
    <w:rsid w:val="00060DBC"/>
    <w:rsid w:val="00064530"/>
    <w:rsid w:val="00070728"/>
    <w:rsid w:val="00071340"/>
    <w:rsid w:val="00072F6E"/>
    <w:rsid w:val="00073166"/>
    <w:rsid w:val="00075E95"/>
    <w:rsid w:val="00077294"/>
    <w:rsid w:val="00077A98"/>
    <w:rsid w:val="00080FBA"/>
    <w:rsid w:val="0008132D"/>
    <w:rsid w:val="00083517"/>
    <w:rsid w:val="00083AF0"/>
    <w:rsid w:val="00083CC1"/>
    <w:rsid w:val="00084341"/>
    <w:rsid w:val="00086718"/>
    <w:rsid w:val="0009150F"/>
    <w:rsid w:val="00093AB4"/>
    <w:rsid w:val="000945AF"/>
    <w:rsid w:val="00096923"/>
    <w:rsid w:val="000A6DB3"/>
    <w:rsid w:val="000A6F90"/>
    <w:rsid w:val="000B11AA"/>
    <w:rsid w:val="000B3553"/>
    <w:rsid w:val="000B7854"/>
    <w:rsid w:val="000C2798"/>
    <w:rsid w:val="000D098E"/>
    <w:rsid w:val="000E07C0"/>
    <w:rsid w:val="000E2F02"/>
    <w:rsid w:val="000E5651"/>
    <w:rsid w:val="000E59B7"/>
    <w:rsid w:val="000E5AD2"/>
    <w:rsid w:val="000E7C16"/>
    <w:rsid w:val="000F5054"/>
    <w:rsid w:val="000F5073"/>
    <w:rsid w:val="00100DA6"/>
    <w:rsid w:val="001025C7"/>
    <w:rsid w:val="00103FD1"/>
    <w:rsid w:val="001041B9"/>
    <w:rsid w:val="001065F5"/>
    <w:rsid w:val="0010756D"/>
    <w:rsid w:val="00110B89"/>
    <w:rsid w:val="0011348B"/>
    <w:rsid w:val="00113EE5"/>
    <w:rsid w:val="001163CB"/>
    <w:rsid w:val="00120F5C"/>
    <w:rsid w:val="001238EF"/>
    <w:rsid w:val="00123CCE"/>
    <w:rsid w:val="0012552B"/>
    <w:rsid w:val="001261FC"/>
    <w:rsid w:val="00127A8E"/>
    <w:rsid w:val="00143C4A"/>
    <w:rsid w:val="00146385"/>
    <w:rsid w:val="0015457F"/>
    <w:rsid w:val="00156A9B"/>
    <w:rsid w:val="00156F99"/>
    <w:rsid w:val="00160A77"/>
    <w:rsid w:val="001636DB"/>
    <w:rsid w:val="00164BAB"/>
    <w:rsid w:val="00164F16"/>
    <w:rsid w:val="00165933"/>
    <w:rsid w:val="00171264"/>
    <w:rsid w:val="00171DB0"/>
    <w:rsid w:val="00177AF5"/>
    <w:rsid w:val="001801D6"/>
    <w:rsid w:val="0018095D"/>
    <w:rsid w:val="00182779"/>
    <w:rsid w:val="0019321E"/>
    <w:rsid w:val="001939AF"/>
    <w:rsid w:val="00193F90"/>
    <w:rsid w:val="00197613"/>
    <w:rsid w:val="001A038B"/>
    <w:rsid w:val="001A05EB"/>
    <w:rsid w:val="001A0D93"/>
    <w:rsid w:val="001A1B23"/>
    <w:rsid w:val="001A614C"/>
    <w:rsid w:val="001A62C4"/>
    <w:rsid w:val="001B5B86"/>
    <w:rsid w:val="001B6658"/>
    <w:rsid w:val="001C031C"/>
    <w:rsid w:val="001C1D6A"/>
    <w:rsid w:val="001C39A4"/>
    <w:rsid w:val="001C5B86"/>
    <w:rsid w:val="001C6100"/>
    <w:rsid w:val="001D38FC"/>
    <w:rsid w:val="001D458E"/>
    <w:rsid w:val="001D600E"/>
    <w:rsid w:val="001D6305"/>
    <w:rsid w:val="001D6889"/>
    <w:rsid w:val="001D7D67"/>
    <w:rsid w:val="001E01E6"/>
    <w:rsid w:val="001E089F"/>
    <w:rsid w:val="001E25CD"/>
    <w:rsid w:val="001E6FEE"/>
    <w:rsid w:val="001F2DC7"/>
    <w:rsid w:val="001F43F4"/>
    <w:rsid w:val="001F62B1"/>
    <w:rsid w:val="0020011F"/>
    <w:rsid w:val="00202FD2"/>
    <w:rsid w:val="002033A5"/>
    <w:rsid w:val="00203CA0"/>
    <w:rsid w:val="00205D47"/>
    <w:rsid w:val="00206A45"/>
    <w:rsid w:val="00211864"/>
    <w:rsid w:val="002121CC"/>
    <w:rsid w:val="00214799"/>
    <w:rsid w:val="00214A8A"/>
    <w:rsid w:val="00221C14"/>
    <w:rsid w:val="00221F62"/>
    <w:rsid w:val="0022465F"/>
    <w:rsid w:val="00224695"/>
    <w:rsid w:val="00226AEE"/>
    <w:rsid w:val="0022777A"/>
    <w:rsid w:val="00227E57"/>
    <w:rsid w:val="00230870"/>
    <w:rsid w:val="00232DA3"/>
    <w:rsid w:val="00233DC7"/>
    <w:rsid w:val="00233EF8"/>
    <w:rsid w:val="00236773"/>
    <w:rsid w:val="002368E4"/>
    <w:rsid w:val="0024014D"/>
    <w:rsid w:val="002401FB"/>
    <w:rsid w:val="00241D7B"/>
    <w:rsid w:val="00243239"/>
    <w:rsid w:val="00247779"/>
    <w:rsid w:val="0025068C"/>
    <w:rsid w:val="00250E65"/>
    <w:rsid w:val="00255FF3"/>
    <w:rsid w:val="00262BCF"/>
    <w:rsid w:val="0026354C"/>
    <w:rsid w:val="002641C4"/>
    <w:rsid w:val="002645DB"/>
    <w:rsid w:val="00273BE4"/>
    <w:rsid w:val="00273CF5"/>
    <w:rsid w:val="00280713"/>
    <w:rsid w:val="00285BEE"/>
    <w:rsid w:val="00286C28"/>
    <w:rsid w:val="002918BA"/>
    <w:rsid w:val="00292112"/>
    <w:rsid w:val="00294A09"/>
    <w:rsid w:val="00294F31"/>
    <w:rsid w:val="0029533F"/>
    <w:rsid w:val="00296C03"/>
    <w:rsid w:val="002A0746"/>
    <w:rsid w:val="002A12CE"/>
    <w:rsid w:val="002A168E"/>
    <w:rsid w:val="002B30AF"/>
    <w:rsid w:val="002B4386"/>
    <w:rsid w:val="002B712D"/>
    <w:rsid w:val="002C0E7D"/>
    <w:rsid w:val="002C335B"/>
    <w:rsid w:val="002C3433"/>
    <w:rsid w:val="002C3DD9"/>
    <w:rsid w:val="002C5E40"/>
    <w:rsid w:val="002C7772"/>
    <w:rsid w:val="002D21F9"/>
    <w:rsid w:val="002D57C6"/>
    <w:rsid w:val="002D5831"/>
    <w:rsid w:val="002D6CF0"/>
    <w:rsid w:val="002E0ED6"/>
    <w:rsid w:val="002E1551"/>
    <w:rsid w:val="002E246B"/>
    <w:rsid w:val="002E4740"/>
    <w:rsid w:val="002E4904"/>
    <w:rsid w:val="002E6BE6"/>
    <w:rsid w:val="002F3114"/>
    <w:rsid w:val="002F4924"/>
    <w:rsid w:val="003025AA"/>
    <w:rsid w:val="003025DD"/>
    <w:rsid w:val="00302743"/>
    <w:rsid w:val="00304D4A"/>
    <w:rsid w:val="0031345D"/>
    <w:rsid w:val="00317F88"/>
    <w:rsid w:val="00323C01"/>
    <w:rsid w:val="00324692"/>
    <w:rsid w:val="003313B3"/>
    <w:rsid w:val="00331BCF"/>
    <w:rsid w:val="00332AC5"/>
    <w:rsid w:val="003333BC"/>
    <w:rsid w:val="0033344A"/>
    <w:rsid w:val="00333C9C"/>
    <w:rsid w:val="003350C5"/>
    <w:rsid w:val="003363C9"/>
    <w:rsid w:val="003448D4"/>
    <w:rsid w:val="00353F8F"/>
    <w:rsid w:val="00360714"/>
    <w:rsid w:val="00363C6F"/>
    <w:rsid w:val="0036664B"/>
    <w:rsid w:val="003700FC"/>
    <w:rsid w:val="00376C12"/>
    <w:rsid w:val="003810CE"/>
    <w:rsid w:val="00381B62"/>
    <w:rsid w:val="0038493A"/>
    <w:rsid w:val="00386C87"/>
    <w:rsid w:val="00386E46"/>
    <w:rsid w:val="003878F0"/>
    <w:rsid w:val="00392027"/>
    <w:rsid w:val="00393783"/>
    <w:rsid w:val="00395719"/>
    <w:rsid w:val="003967FE"/>
    <w:rsid w:val="00396A8C"/>
    <w:rsid w:val="003A0005"/>
    <w:rsid w:val="003A570C"/>
    <w:rsid w:val="003A64CE"/>
    <w:rsid w:val="003B08DF"/>
    <w:rsid w:val="003B4D2A"/>
    <w:rsid w:val="003C39C2"/>
    <w:rsid w:val="003C3BB6"/>
    <w:rsid w:val="003C3EEF"/>
    <w:rsid w:val="003D07E2"/>
    <w:rsid w:val="003D13E2"/>
    <w:rsid w:val="003D4058"/>
    <w:rsid w:val="003D466D"/>
    <w:rsid w:val="003D58A5"/>
    <w:rsid w:val="003E117D"/>
    <w:rsid w:val="003E26AA"/>
    <w:rsid w:val="003E3022"/>
    <w:rsid w:val="003E377B"/>
    <w:rsid w:val="003E6B55"/>
    <w:rsid w:val="003E7E95"/>
    <w:rsid w:val="003F115F"/>
    <w:rsid w:val="003F182B"/>
    <w:rsid w:val="003F25C9"/>
    <w:rsid w:val="003F3A84"/>
    <w:rsid w:val="003F488A"/>
    <w:rsid w:val="0040317F"/>
    <w:rsid w:val="004105F1"/>
    <w:rsid w:val="00411383"/>
    <w:rsid w:val="00411D88"/>
    <w:rsid w:val="004126F1"/>
    <w:rsid w:val="00413B37"/>
    <w:rsid w:val="00413E6D"/>
    <w:rsid w:val="0041680D"/>
    <w:rsid w:val="0042167B"/>
    <w:rsid w:val="00423665"/>
    <w:rsid w:val="0042648E"/>
    <w:rsid w:val="00427D5D"/>
    <w:rsid w:val="0043024E"/>
    <w:rsid w:val="004328A0"/>
    <w:rsid w:val="00435DA1"/>
    <w:rsid w:val="0043713B"/>
    <w:rsid w:val="00440AAB"/>
    <w:rsid w:val="00441940"/>
    <w:rsid w:val="00445619"/>
    <w:rsid w:val="00451A88"/>
    <w:rsid w:val="0045375C"/>
    <w:rsid w:val="00454223"/>
    <w:rsid w:val="00460F19"/>
    <w:rsid w:val="00461B3E"/>
    <w:rsid w:val="00462D6E"/>
    <w:rsid w:val="00464892"/>
    <w:rsid w:val="00467BFB"/>
    <w:rsid w:val="0047262B"/>
    <w:rsid w:val="0048019E"/>
    <w:rsid w:val="004802BB"/>
    <w:rsid w:val="0048396E"/>
    <w:rsid w:val="00492069"/>
    <w:rsid w:val="0049215C"/>
    <w:rsid w:val="004936D2"/>
    <w:rsid w:val="004941D5"/>
    <w:rsid w:val="004A1845"/>
    <w:rsid w:val="004A33DE"/>
    <w:rsid w:val="004A36DE"/>
    <w:rsid w:val="004A3C72"/>
    <w:rsid w:val="004A3C7D"/>
    <w:rsid w:val="004A423F"/>
    <w:rsid w:val="004B37F8"/>
    <w:rsid w:val="004B4381"/>
    <w:rsid w:val="004B553D"/>
    <w:rsid w:val="004B6FF4"/>
    <w:rsid w:val="004C0CE2"/>
    <w:rsid w:val="004C272E"/>
    <w:rsid w:val="004C2967"/>
    <w:rsid w:val="004D1DB3"/>
    <w:rsid w:val="004D467B"/>
    <w:rsid w:val="004D6F0D"/>
    <w:rsid w:val="004D7370"/>
    <w:rsid w:val="004E190D"/>
    <w:rsid w:val="004E65C7"/>
    <w:rsid w:val="004F072F"/>
    <w:rsid w:val="004F175D"/>
    <w:rsid w:val="004F1852"/>
    <w:rsid w:val="004F3D19"/>
    <w:rsid w:val="004F5E32"/>
    <w:rsid w:val="00501094"/>
    <w:rsid w:val="00501AC7"/>
    <w:rsid w:val="00504527"/>
    <w:rsid w:val="00504AB3"/>
    <w:rsid w:val="005069D5"/>
    <w:rsid w:val="00511384"/>
    <w:rsid w:val="00516DBE"/>
    <w:rsid w:val="00520A6B"/>
    <w:rsid w:val="005219A6"/>
    <w:rsid w:val="0052274A"/>
    <w:rsid w:val="0052324F"/>
    <w:rsid w:val="00524286"/>
    <w:rsid w:val="00533D87"/>
    <w:rsid w:val="00534A3C"/>
    <w:rsid w:val="00536008"/>
    <w:rsid w:val="005404FF"/>
    <w:rsid w:val="005405C1"/>
    <w:rsid w:val="00541E43"/>
    <w:rsid w:val="00544D8C"/>
    <w:rsid w:val="005508E9"/>
    <w:rsid w:val="00550D52"/>
    <w:rsid w:val="005533F9"/>
    <w:rsid w:val="00561873"/>
    <w:rsid w:val="005638DE"/>
    <w:rsid w:val="00564E7F"/>
    <w:rsid w:val="00572C7B"/>
    <w:rsid w:val="00573234"/>
    <w:rsid w:val="00576493"/>
    <w:rsid w:val="0058478E"/>
    <w:rsid w:val="00586043"/>
    <w:rsid w:val="00586A08"/>
    <w:rsid w:val="0058754A"/>
    <w:rsid w:val="00592295"/>
    <w:rsid w:val="005933F2"/>
    <w:rsid w:val="00597A42"/>
    <w:rsid w:val="00597DA1"/>
    <w:rsid w:val="005A2855"/>
    <w:rsid w:val="005A378B"/>
    <w:rsid w:val="005A7876"/>
    <w:rsid w:val="005A7884"/>
    <w:rsid w:val="005B1EB6"/>
    <w:rsid w:val="005B2294"/>
    <w:rsid w:val="005B2BB7"/>
    <w:rsid w:val="005C1A16"/>
    <w:rsid w:val="005C4402"/>
    <w:rsid w:val="005C5DDE"/>
    <w:rsid w:val="005C77AD"/>
    <w:rsid w:val="005C7911"/>
    <w:rsid w:val="005D0409"/>
    <w:rsid w:val="005D36F4"/>
    <w:rsid w:val="005E2027"/>
    <w:rsid w:val="005E3A10"/>
    <w:rsid w:val="005E5434"/>
    <w:rsid w:val="005E7618"/>
    <w:rsid w:val="005E7911"/>
    <w:rsid w:val="005E7CE2"/>
    <w:rsid w:val="005F1240"/>
    <w:rsid w:val="005F5A3B"/>
    <w:rsid w:val="0060213B"/>
    <w:rsid w:val="00604F02"/>
    <w:rsid w:val="00607007"/>
    <w:rsid w:val="00607CBF"/>
    <w:rsid w:val="0061658D"/>
    <w:rsid w:val="006172FF"/>
    <w:rsid w:val="00617F15"/>
    <w:rsid w:val="00624B7E"/>
    <w:rsid w:val="00625804"/>
    <w:rsid w:val="006432B5"/>
    <w:rsid w:val="00644819"/>
    <w:rsid w:val="00646212"/>
    <w:rsid w:val="00647275"/>
    <w:rsid w:val="00647983"/>
    <w:rsid w:val="00654EF8"/>
    <w:rsid w:val="006567B7"/>
    <w:rsid w:val="00661048"/>
    <w:rsid w:val="00661E05"/>
    <w:rsid w:val="00664DBE"/>
    <w:rsid w:val="00665B81"/>
    <w:rsid w:val="00671D7C"/>
    <w:rsid w:val="006724ED"/>
    <w:rsid w:val="006770D8"/>
    <w:rsid w:val="00683369"/>
    <w:rsid w:val="00684A51"/>
    <w:rsid w:val="00685876"/>
    <w:rsid w:val="00690AD7"/>
    <w:rsid w:val="00691314"/>
    <w:rsid w:val="00691420"/>
    <w:rsid w:val="00692EA7"/>
    <w:rsid w:val="006947E3"/>
    <w:rsid w:val="006A289F"/>
    <w:rsid w:val="006B3BEB"/>
    <w:rsid w:val="006B465C"/>
    <w:rsid w:val="006B7CD5"/>
    <w:rsid w:val="006C05BC"/>
    <w:rsid w:val="006C29A0"/>
    <w:rsid w:val="006C3B0A"/>
    <w:rsid w:val="006C4405"/>
    <w:rsid w:val="006D2126"/>
    <w:rsid w:val="006D7852"/>
    <w:rsid w:val="006D7B2C"/>
    <w:rsid w:val="006E0874"/>
    <w:rsid w:val="006E2705"/>
    <w:rsid w:val="006E3AAE"/>
    <w:rsid w:val="006E4DB3"/>
    <w:rsid w:val="006E5DE4"/>
    <w:rsid w:val="006E6598"/>
    <w:rsid w:val="006E74AC"/>
    <w:rsid w:val="006F30EF"/>
    <w:rsid w:val="006F596A"/>
    <w:rsid w:val="006F777E"/>
    <w:rsid w:val="00704DAA"/>
    <w:rsid w:val="007104E1"/>
    <w:rsid w:val="007137CB"/>
    <w:rsid w:val="00722B98"/>
    <w:rsid w:val="00727689"/>
    <w:rsid w:val="00731B59"/>
    <w:rsid w:val="00742B00"/>
    <w:rsid w:val="00743B8F"/>
    <w:rsid w:val="00747A0F"/>
    <w:rsid w:val="007521BB"/>
    <w:rsid w:val="00760904"/>
    <w:rsid w:val="0076524D"/>
    <w:rsid w:val="0076655E"/>
    <w:rsid w:val="00767A3A"/>
    <w:rsid w:val="00773331"/>
    <w:rsid w:val="00774025"/>
    <w:rsid w:val="0077489D"/>
    <w:rsid w:val="0078198E"/>
    <w:rsid w:val="00784FC8"/>
    <w:rsid w:val="0078531E"/>
    <w:rsid w:val="00786025"/>
    <w:rsid w:val="00786847"/>
    <w:rsid w:val="00786D5F"/>
    <w:rsid w:val="00787937"/>
    <w:rsid w:val="00787B58"/>
    <w:rsid w:val="007918B1"/>
    <w:rsid w:val="007932A4"/>
    <w:rsid w:val="007932EF"/>
    <w:rsid w:val="007933F0"/>
    <w:rsid w:val="00795F48"/>
    <w:rsid w:val="007970DA"/>
    <w:rsid w:val="00797184"/>
    <w:rsid w:val="00797A9F"/>
    <w:rsid w:val="007A1C07"/>
    <w:rsid w:val="007B011C"/>
    <w:rsid w:val="007B53AB"/>
    <w:rsid w:val="007B631B"/>
    <w:rsid w:val="007B63CF"/>
    <w:rsid w:val="007C0EC2"/>
    <w:rsid w:val="007C76CF"/>
    <w:rsid w:val="007D32F8"/>
    <w:rsid w:val="007D60A6"/>
    <w:rsid w:val="007D7021"/>
    <w:rsid w:val="007D7333"/>
    <w:rsid w:val="007E05B0"/>
    <w:rsid w:val="007E4BBD"/>
    <w:rsid w:val="007E6409"/>
    <w:rsid w:val="007E7150"/>
    <w:rsid w:val="007F2D35"/>
    <w:rsid w:val="007F54B7"/>
    <w:rsid w:val="0080213E"/>
    <w:rsid w:val="00803381"/>
    <w:rsid w:val="00804FD1"/>
    <w:rsid w:val="00805323"/>
    <w:rsid w:val="00810948"/>
    <w:rsid w:val="008122FD"/>
    <w:rsid w:val="0081428B"/>
    <w:rsid w:val="00816D6B"/>
    <w:rsid w:val="0081797A"/>
    <w:rsid w:val="008232C1"/>
    <w:rsid w:val="0082607E"/>
    <w:rsid w:val="008265C5"/>
    <w:rsid w:val="0082782C"/>
    <w:rsid w:val="00830536"/>
    <w:rsid w:val="00833788"/>
    <w:rsid w:val="00833E90"/>
    <w:rsid w:val="00834DFA"/>
    <w:rsid w:val="00837214"/>
    <w:rsid w:val="00842263"/>
    <w:rsid w:val="008539B0"/>
    <w:rsid w:val="00853CE1"/>
    <w:rsid w:val="008554F5"/>
    <w:rsid w:val="00860FF3"/>
    <w:rsid w:val="00862F1C"/>
    <w:rsid w:val="00870E9F"/>
    <w:rsid w:val="008723E3"/>
    <w:rsid w:val="00873BF9"/>
    <w:rsid w:val="00874D22"/>
    <w:rsid w:val="00874DF2"/>
    <w:rsid w:val="008751F0"/>
    <w:rsid w:val="00875745"/>
    <w:rsid w:val="00876420"/>
    <w:rsid w:val="00877DEC"/>
    <w:rsid w:val="008829A2"/>
    <w:rsid w:val="00884AD7"/>
    <w:rsid w:val="00893227"/>
    <w:rsid w:val="008945B3"/>
    <w:rsid w:val="008951EC"/>
    <w:rsid w:val="00896916"/>
    <w:rsid w:val="00897936"/>
    <w:rsid w:val="008A0DEC"/>
    <w:rsid w:val="008A1E79"/>
    <w:rsid w:val="008A2914"/>
    <w:rsid w:val="008A2AA1"/>
    <w:rsid w:val="008A2B60"/>
    <w:rsid w:val="008B5C3F"/>
    <w:rsid w:val="008B6637"/>
    <w:rsid w:val="008C1738"/>
    <w:rsid w:val="008C40F6"/>
    <w:rsid w:val="008C4350"/>
    <w:rsid w:val="008C4433"/>
    <w:rsid w:val="008C46A3"/>
    <w:rsid w:val="008C5C09"/>
    <w:rsid w:val="008D22BC"/>
    <w:rsid w:val="008E0E9D"/>
    <w:rsid w:val="008E4C5A"/>
    <w:rsid w:val="008E4D8E"/>
    <w:rsid w:val="008E6591"/>
    <w:rsid w:val="008E7D2B"/>
    <w:rsid w:val="008F4B83"/>
    <w:rsid w:val="00900F94"/>
    <w:rsid w:val="00903C54"/>
    <w:rsid w:val="00907157"/>
    <w:rsid w:val="00911DF8"/>
    <w:rsid w:val="00926C24"/>
    <w:rsid w:val="00927AC8"/>
    <w:rsid w:val="0093250C"/>
    <w:rsid w:val="00936050"/>
    <w:rsid w:val="009368B3"/>
    <w:rsid w:val="00937406"/>
    <w:rsid w:val="00940714"/>
    <w:rsid w:val="0094224B"/>
    <w:rsid w:val="0094280D"/>
    <w:rsid w:val="00946A2D"/>
    <w:rsid w:val="009474B4"/>
    <w:rsid w:val="0095563C"/>
    <w:rsid w:val="00956C60"/>
    <w:rsid w:val="009574E2"/>
    <w:rsid w:val="00960151"/>
    <w:rsid w:val="00960636"/>
    <w:rsid w:val="009608DB"/>
    <w:rsid w:val="009622E4"/>
    <w:rsid w:val="00962FF0"/>
    <w:rsid w:val="00964E27"/>
    <w:rsid w:val="00966ECE"/>
    <w:rsid w:val="00967277"/>
    <w:rsid w:val="009711CE"/>
    <w:rsid w:val="00972243"/>
    <w:rsid w:val="0097285D"/>
    <w:rsid w:val="00974776"/>
    <w:rsid w:val="00980F12"/>
    <w:rsid w:val="00982FD4"/>
    <w:rsid w:val="009844AB"/>
    <w:rsid w:val="00986ADF"/>
    <w:rsid w:val="00996820"/>
    <w:rsid w:val="009968DA"/>
    <w:rsid w:val="009A0BA0"/>
    <w:rsid w:val="009A40AE"/>
    <w:rsid w:val="009A51F2"/>
    <w:rsid w:val="009A5EC6"/>
    <w:rsid w:val="009A6113"/>
    <w:rsid w:val="009A7C4E"/>
    <w:rsid w:val="009B7EB8"/>
    <w:rsid w:val="009C00D9"/>
    <w:rsid w:val="009C19A2"/>
    <w:rsid w:val="009C22FD"/>
    <w:rsid w:val="009C3A0D"/>
    <w:rsid w:val="009C6982"/>
    <w:rsid w:val="009C78A0"/>
    <w:rsid w:val="009E6840"/>
    <w:rsid w:val="009E7E41"/>
    <w:rsid w:val="009F1B7F"/>
    <w:rsid w:val="009F25AD"/>
    <w:rsid w:val="009F7F3E"/>
    <w:rsid w:val="00A00FCB"/>
    <w:rsid w:val="00A02AF7"/>
    <w:rsid w:val="00A03800"/>
    <w:rsid w:val="00A128E4"/>
    <w:rsid w:val="00A14004"/>
    <w:rsid w:val="00A2447A"/>
    <w:rsid w:val="00A26699"/>
    <w:rsid w:val="00A31C0D"/>
    <w:rsid w:val="00A32690"/>
    <w:rsid w:val="00A3730A"/>
    <w:rsid w:val="00A44641"/>
    <w:rsid w:val="00A46787"/>
    <w:rsid w:val="00A46E75"/>
    <w:rsid w:val="00A5313F"/>
    <w:rsid w:val="00A540AF"/>
    <w:rsid w:val="00A56FE2"/>
    <w:rsid w:val="00A61132"/>
    <w:rsid w:val="00A6130E"/>
    <w:rsid w:val="00A6537C"/>
    <w:rsid w:val="00A65DB2"/>
    <w:rsid w:val="00A714FB"/>
    <w:rsid w:val="00A747B2"/>
    <w:rsid w:val="00A76B29"/>
    <w:rsid w:val="00A84699"/>
    <w:rsid w:val="00A86E86"/>
    <w:rsid w:val="00A91B9D"/>
    <w:rsid w:val="00A93BC6"/>
    <w:rsid w:val="00A96062"/>
    <w:rsid w:val="00A9612C"/>
    <w:rsid w:val="00A96B21"/>
    <w:rsid w:val="00AA180F"/>
    <w:rsid w:val="00AA4517"/>
    <w:rsid w:val="00AA4D4C"/>
    <w:rsid w:val="00AA61B3"/>
    <w:rsid w:val="00AB11A9"/>
    <w:rsid w:val="00AB293E"/>
    <w:rsid w:val="00AC24E7"/>
    <w:rsid w:val="00AC5DF2"/>
    <w:rsid w:val="00AD2ED8"/>
    <w:rsid w:val="00AD3140"/>
    <w:rsid w:val="00AD5684"/>
    <w:rsid w:val="00AD62BF"/>
    <w:rsid w:val="00AD6554"/>
    <w:rsid w:val="00AD7E4F"/>
    <w:rsid w:val="00AE0EB7"/>
    <w:rsid w:val="00AE4E4D"/>
    <w:rsid w:val="00AE6501"/>
    <w:rsid w:val="00AE744D"/>
    <w:rsid w:val="00AF001C"/>
    <w:rsid w:val="00AF1B30"/>
    <w:rsid w:val="00AF4762"/>
    <w:rsid w:val="00B0397C"/>
    <w:rsid w:val="00B03DE0"/>
    <w:rsid w:val="00B047F3"/>
    <w:rsid w:val="00B0623B"/>
    <w:rsid w:val="00B06979"/>
    <w:rsid w:val="00B13913"/>
    <w:rsid w:val="00B14BBC"/>
    <w:rsid w:val="00B17168"/>
    <w:rsid w:val="00B17804"/>
    <w:rsid w:val="00B22487"/>
    <w:rsid w:val="00B25498"/>
    <w:rsid w:val="00B25896"/>
    <w:rsid w:val="00B2719A"/>
    <w:rsid w:val="00B30EE0"/>
    <w:rsid w:val="00B34942"/>
    <w:rsid w:val="00B40F31"/>
    <w:rsid w:val="00B41E3B"/>
    <w:rsid w:val="00B4265D"/>
    <w:rsid w:val="00B467AD"/>
    <w:rsid w:val="00B7032E"/>
    <w:rsid w:val="00B72BA3"/>
    <w:rsid w:val="00B81AF9"/>
    <w:rsid w:val="00B81CEB"/>
    <w:rsid w:val="00B84F9B"/>
    <w:rsid w:val="00B86F8F"/>
    <w:rsid w:val="00B95584"/>
    <w:rsid w:val="00B967C0"/>
    <w:rsid w:val="00BA1174"/>
    <w:rsid w:val="00BA50CB"/>
    <w:rsid w:val="00BA5777"/>
    <w:rsid w:val="00BB11CF"/>
    <w:rsid w:val="00BB33C5"/>
    <w:rsid w:val="00BB35C7"/>
    <w:rsid w:val="00BC189E"/>
    <w:rsid w:val="00BC2BA9"/>
    <w:rsid w:val="00BC4AC2"/>
    <w:rsid w:val="00BC7889"/>
    <w:rsid w:val="00BD0F01"/>
    <w:rsid w:val="00BD7C5D"/>
    <w:rsid w:val="00BE1F94"/>
    <w:rsid w:val="00BE3874"/>
    <w:rsid w:val="00BE40F9"/>
    <w:rsid w:val="00BE625F"/>
    <w:rsid w:val="00BE6F51"/>
    <w:rsid w:val="00BF12C8"/>
    <w:rsid w:val="00BF24F7"/>
    <w:rsid w:val="00BF33E8"/>
    <w:rsid w:val="00BF3E2F"/>
    <w:rsid w:val="00BF4032"/>
    <w:rsid w:val="00BF4B30"/>
    <w:rsid w:val="00BF6E61"/>
    <w:rsid w:val="00C001BA"/>
    <w:rsid w:val="00C02490"/>
    <w:rsid w:val="00C02720"/>
    <w:rsid w:val="00C02E55"/>
    <w:rsid w:val="00C0430C"/>
    <w:rsid w:val="00C04BEC"/>
    <w:rsid w:val="00C0547A"/>
    <w:rsid w:val="00C05BEC"/>
    <w:rsid w:val="00C06115"/>
    <w:rsid w:val="00C06DB2"/>
    <w:rsid w:val="00C0799F"/>
    <w:rsid w:val="00C10EBD"/>
    <w:rsid w:val="00C116D5"/>
    <w:rsid w:val="00C12301"/>
    <w:rsid w:val="00C179FF"/>
    <w:rsid w:val="00C24FAF"/>
    <w:rsid w:val="00C32485"/>
    <w:rsid w:val="00C36ECC"/>
    <w:rsid w:val="00C41048"/>
    <w:rsid w:val="00C42032"/>
    <w:rsid w:val="00C42547"/>
    <w:rsid w:val="00C4440E"/>
    <w:rsid w:val="00C47B1E"/>
    <w:rsid w:val="00C47EC3"/>
    <w:rsid w:val="00C55165"/>
    <w:rsid w:val="00C55D8A"/>
    <w:rsid w:val="00C5740B"/>
    <w:rsid w:val="00C62FEC"/>
    <w:rsid w:val="00C63A50"/>
    <w:rsid w:val="00C6469F"/>
    <w:rsid w:val="00C64A40"/>
    <w:rsid w:val="00C65142"/>
    <w:rsid w:val="00C6641A"/>
    <w:rsid w:val="00C70D85"/>
    <w:rsid w:val="00C732A5"/>
    <w:rsid w:val="00C84754"/>
    <w:rsid w:val="00C8502A"/>
    <w:rsid w:val="00CA6C8F"/>
    <w:rsid w:val="00CA6FC8"/>
    <w:rsid w:val="00CA7A7C"/>
    <w:rsid w:val="00CB0320"/>
    <w:rsid w:val="00CB0CA7"/>
    <w:rsid w:val="00CC3200"/>
    <w:rsid w:val="00CC4825"/>
    <w:rsid w:val="00CC58F3"/>
    <w:rsid w:val="00CC65AC"/>
    <w:rsid w:val="00CD4ACA"/>
    <w:rsid w:val="00CE3889"/>
    <w:rsid w:val="00CE397F"/>
    <w:rsid w:val="00CE5066"/>
    <w:rsid w:val="00CE53B4"/>
    <w:rsid w:val="00CE6ABA"/>
    <w:rsid w:val="00CF1E18"/>
    <w:rsid w:val="00CF44F3"/>
    <w:rsid w:val="00CF4581"/>
    <w:rsid w:val="00CF4A3A"/>
    <w:rsid w:val="00D032B8"/>
    <w:rsid w:val="00D04625"/>
    <w:rsid w:val="00D058B3"/>
    <w:rsid w:val="00D05EEB"/>
    <w:rsid w:val="00D12AFF"/>
    <w:rsid w:val="00D1713A"/>
    <w:rsid w:val="00D17766"/>
    <w:rsid w:val="00D20381"/>
    <w:rsid w:val="00D22E55"/>
    <w:rsid w:val="00D235EA"/>
    <w:rsid w:val="00D27AB7"/>
    <w:rsid w:val="00D3682F"/>
    <w:rsid w:val="00D371E1"/>
    <w:rsid w:val="00D40EA6"/>
    <w:rsid w:val="00D436A2"/>
    <w:rsid w:val="00D47D96"/>
    <w:rsid w:val="00D53CC3"/>
    <w:rsid w:val="00D53E1B"/>
    <w:rsid w:val="00D62AE7"/>
    <w:rsid w:val="00D64A5D"/>
    <w:rsid w:val="00D64C49"/>
    <w:rsid w:val="00D71DE0"/>
    <w:rsid w:val="00D73CBF"/>
    <w:rsid w:val="00D75A57"/>
    <w:rsid w:val="00D85F3F"/>
    <w:rsid w:val="00D91D1B"/>
    <w:rsid w:val="00D941A8"/>
    <w:rsid w:val="00DA3A41"/>
    <w:rsid w:val="00DA451A"/>
    <w:rsid w:val="00DA7BCA"/>
    <w:rsid w:val="00DB27E7"/>
    <w:rsid w:val="00DB5EC8"/>
    <w:rsid w:val="00DB74B6"/>
    <w:rsid w:val="00DC0A46"/>
    <w:rsid w:val="00DC23EB"/>
    <w:rsid w:val="00DC75D5"/>
    <w:rsid w:val="00DD0CDB"/>
    <w:rsid w:val="00DD548C"/>
    <w:rsid w:val="00DD6DB7"/>
    <w:rsid w:val="00DD6FEC"/>
    <w:rsid w:val="00DE6B0F"/>
    <w:rsid w:val="00DE72D5"/>
    <w:rsid w:val="00DF1731"/>
    <w:rsid w:val="00DF30FC"/>
    <w:rsid w:val="00E01E79"/>
    <w:rsid w:val="00E01F52"/>
    <w:rsid w:val="00E103C8"/>
    <w:rsid w:val="00E1155B"/>
    <w:rsid w:val="00E141EC"/>
    <w:rsid w:val="00E1752A"/>
    <w:rsid w:val="00E23CCD"/>
    <w:rsid w:val="00E2472A"/>
    <w:rsid w:val="00E2561E"/>
    <w:rsid w:val="00E26148"/>
    <w:rsid w:val="00E27D0C"/>
    <w:rsid w:val="00E30B60"/>
    <w:rsid w:val="00E354A9"/>
    <w:rsid w:val="00E35B06"/>
    <w:rsid w:val="00E35B69"/>
    <w:rsid w:val="00E432F9"/>
    <w:rsid w:val="00E44783"/>
    <w:rsid w:val="00E45AE4"/>
    <w:rsid w:val="00E45EEE"/>
    <w:rsid w:val="00E5469B"/>
    <w:rsid w:val="00E54787"/>
    <w:rsid w:val="00E57522"/>
    <w:rsid w:val="00E639A7"/>
    <w:rsid w:val="00E64939"/>
    <w:rsid w:val="00E661F8"/>
    <w:rsid w:val="00E66C74"/>
    <w:rsid w:val="00E67B41"/>
    <w:rsid w:val="00E71368"/>
    <w:rsid w:val="00E714C1"/>
    <w:rsid w:val="00E75BED"/>
    <w:rsid w:val="00E76FFA"/>
    <w:rsid w:val="00E80D2D"/>
    <w:rsid w:val="00E82189"/>
    <w:rsid w:val="00E827B8"/>
    <w:rsid w:val="00E87056"/>
    <w:rsid w:val="00E9030B"/>
    <w:rsid w:val="00E904D8"/>
    <w:rsid w:val="00E93994"/>
    <w:rsid w:val="00E960BF"/>
    <w:rsid w:val="00E9760C"/>
    <w:rsid w:val="00EA25FD"/>
    <w:rsid w:val="00EA381D"/>
    <w:rsid w:val="00EA64AD"/>
    <w:rsid w:val="00EB1819"/>
    <w:rsid w:val="00EB36D1"/>
    <w:rsid w:val="00EB3C34"/>
    <w:rsid w:val="00EB613D"/>
    <w:rsid w:val="00EC027A"/>
    <w:rsid w:val="00EC034F"/>
    <w:rsid w:val="00EC10B6"/>
    <w:rsid w:val="00ED1DD1"/>
    <w:rsid w:val="00ED2A07"/>
    <w:rsid w:val="00ED4807"/>
    <w:rsid w:val="00ED57F9"/>
    <w:rsid w:val="00EE06BB"/>
    <w:rsid w:val="00EE485C"/>
    <w:rsid w:val="00EE66E6"/>
    <w:rsid w:val="00EF20C7"/>
    <w:rsid w:val="00F01021"/>
    <w:rsid w:val="00F04033"/>
    <w:rsid w:val="00F041E1"/>
    <w:rsid w:val="00F04F45"/>
    <w:rsid w:val="00F07758"/>
    <w:rsid w:val="00F10DB9"/>
    <w:rsid w:val="00F11036"/>
    <w:rsid w:val="00F12013"/>
    <w:rsid w:val="00F12D78"/>
    <w:rsid w:val="00F165B4"/>
    <w:rsid w:val="00F210A3"/>
    <w:rsid w:val="00F25641"/>
    <w:rsid w:val="00F25A24"/>
    <w:rsid w:val="00F3105E"/>
    <w:rsid w:val="00F315F5"/>
    <w:rsid w:val="00F33CFC"/>
    <w:rsid w:val="00F34CFA"/>
    <w:rsid w:val="00F35182"/>
    <w:rsid w:val="00F360D8"/>
    <w:rsid w:val="00F36973"/>
    <w:rsid w:val="00F402A4"/>
    <w:rsid w:val="00F473B9"/>
    <w:rsid w:val="00F51EC2"/>
    <w:rsid w:val="00F52191"/>
    <w:rsid w:val="00F53285"/>
    <w:rsid w:val="00F54518"/>
    <w:rsid w:val="00F644AA"/>
    <w:rsid w:val="00F64C4E"/>
    <w:rsid w:val="00F65C85"/>
    <w:rsid w:val="00F6617F"/>
    <w:rsid w:val="00F66200"/>
    <w:rsid w:val="00F67A62"/>
    <w:rsid w:val="00F72E2C"/>
    <w:rsid w:val="00F75D13"/>
    <w:rsid w:val="00F81899"/>
    <w:rsid w:val="00F83BD4"/>
    <w:rsid w:val="00FA43FA"/>
    <w:rsid w:val="00FB00A6"/>
    <w:rsid w:val="00FB1DAB"/>
    <w:rsid w:val="00FB202C"/>
    <w:rsid w:val="00FB2484"/>
    <w:rsid w:val="00FB3C96"/>
    <w:rsid w:val="00FB4319"/>
    <w:rsid w:val="00FB7AF2"/>
    <w:rsid w:val="00FC26DF"/>
    <w:rsid w:val="00FC3193"/>
    <w:rsid w:val="00FC38F8"/>
    <w:rsid w:val="00FD1C65"/>
    <w:rsid w:val="00FD46E0"/>
    <w:rsid w:val="00FD7723"/>
    <w:rsid w:val="00FE6A12"/>
    <w:rsid w:val="00FE6DB3"/>
    <w:rsid w:val="00FF0DF2"/>
    <w:rsid w:val="00FF249F"/>
    <w:rsid w:val="00FF269D"/>
    <w:rsid w:val="00FF2C1F"/>
    <w:rsid w:val="00FF7690"/>
    <w:rsid w:val="01E28601"/>
    <w:rsid w:val="09A31FEE"/>
    <w:rsid w:val="0AA5E5A8"/>
    <w:rsid w:val="0E3240AB"/>
    <w:rsid w:val="0EBFC351"/>
    <w:rsid w:val="0F5623EE"/>
    <w:rsid w:val="12D26594"/>
    <w:rsid w:val="12DD6FBD"/>
    <w:rsid w:val="1533EA62"/>
    <w:rsid w:val="16687A99"/>
    <w:rsid w:val="1E0F88F1"/>
    <w:rsid w:val="20E96571"/>
    <w:rsid w:val="20F17D6E"/>
    <w:rsid w:val="210DA398"/>
    <w:rsid w:val="214729B3"/>
    <w:rsid w:val="22DF6DE3"/>
    <w:rsid w:val="237E39D6"/>
    <w:rsid w:val="23EC78FC"/>
    <w:rsid w:val="24641FAA"/>
    <w:rsid w:val="247832D2"/>
    <w:rsid w:val="268F83A4"/>
    <w:rsid w:val="278E5FAD"/>
    <w:rsid w:val="27DBBE0E"/>
    <w:rsid w:val="290D44A9"/>
    <w:rsid w:val="2926129B"/>
    <w:rsid w:val="294F782D"/>
    <w:rsid w:val="2AF8D60D"/>
    <w:rsid w:val="2B8A4AC0"/>
    <w:rsid w:val="2C44E56B"/>
    <w:rsid w:val="2C8A4C38"/>
    <w:rsid w:val="2D0DAE51"/>
    <w:rsid w:val="2E6B8A17"/>
    <w:rsid w:val="301D941E"/>
    <w:rsid w:val="31095420"/>
    <w:rsid w:val="311241E7"/>
    <w:rsid w:val="311B2DE0"/>
    <w:rsid w:val="318DCE8D"/>
    <w:rsid w:val="31AC9A0E"/>
    <w:rsid w:val="31C8EEBB"/>
    <w:rsid w:val="31E11F74"/>
    <w:rsid w:val="359FBF93"/>
    <w:rsid w:val="374CF135"/>
    <w:rsid w:val="3808330E"/>
    <w:rsid w:val="398A6D4C"/>
    <w:rsid w:val="3C61C352"/>
    <w:rsid w:val="3F1600DB"/>
    <w:rsid w:val="3F8D2588"/>
    <w:rsid w:val="4006234A"/>
    <w:rsid w:val="415EAA3F"/>
    <w:rsid w:val="428195C3"/>
    <w:rsid w:val="43CABEEA"/>
    <w:rsid w:val="454F3BF1"/>
    <w:rsid w:val="4551B04A"/>
    <w:rsid w:val="45A40A37"/>
    <w:rsid w:val="4669CF74"/>
    <w:rsid w:val="47119700"/>
    <w:rsid w:val="47A472DD"/>
    <w:rsid w:val="47A54EF7"/>
    <w:rsid w:val="47BC72A4"/>
    <w:rsid w:val="4A1426D3"/>
    <w:rsid w:val="4A80BE6F"/>
    <w:rsid w:val="4B5940CD"/>
    <w:rsid w:val="4C34AAC4"/>
    <w:rsid w:val="4D4BD586"/>
    <w:rsid w:val="50E51E10"/>
    <w:rsid w:val="52E2D79A"/>
    <w:rsid w:val="541E6477"/>
    <w:rsid w:val="55D02859"/>
    <w:rsid w:val="56F963F8"/>
    <w:rsid w:val="576DC4FE"/>
    <w:rsid w:val="5852FA64"/>
    <w:rsid w:val="59B6430B"/>
    <w:rsid w:val="5EA89F01"/>
    <w:rsid w:val="5EAEDC89"/>
    <w:rsid w:val="5EED6DF7"/>
    <w:rsid w:val="60BB29C3"/>
    <w:rsid w:val="623D4A08"/>
    <w:rsid w:val="62BE651F"/>
    <w:rsid w:val="639C024B"/>
    <w:rsid w:val="63C02064"/>
    <w:rsid w:val="63F03FBA"/>
    <w:rsid w:val="6460BF63"/>
    <w:rsid w:val="6893632F"/>
    <w:rsid w:val="6B646141"/>
    <w:rsid w:val="6BCB03F1"/>
    <w:rsid w:val="6DB3B8C7"/>
    <w:rsid w:val="6DEA5431"/>
    <w:rsid w:val="6E2D12CB"/>
    <w:rsid w:val="6F1648A1"/>
    <w:rsid w:val="70ABDD7F"/>
    <w:rsid w:val="70B2C4FF"/>
    <w:rsid w:val="71D69853"/>
    <w:rsid w:val="7376C33E"/>
    <w:rsid w:val="74C9D8C9"/>
    <w:rsid w:val="752D2D50"/>
    <w:rsid w:val="764152E6"/>
    <w:rsid w:val="769C599A"/>
    <w:rsid w:val="76D240C6"/>
    <w:rsid w:val="7700D2A8"/>
    <w:rsid w:val="77E27B72"/>
    <w:rsid w:val="78B1747F"/>
    <w:rsid w:val="798A9FED"/>
    <w:rsid w:val="7A022372"/>
    <w:rsid w:val="7C090DB7"/>
    <w:rsid w:val="7C351A90"/>
    <w:rsid w:val="7C8A2332"/>
    <w:rsid w:val="7CB53787"/>
    <w:rsid w:val="7E7C0BB1"/>
    <w:rsid w:val="7EC826FC"/>
    <w:rsid w:val="7FE8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99500B"/>
  <w15:docId w15:val="{17953B3D-7A05-46AA-8B30-03E4BB5E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Overskrift1">
    <w:name w:val="heading 1"/>
    <w:basedOn w:val="Normal"/>
    <w:next w:val="Text1"/>
    <w:link w:val="Overskrift1Tegn"/>
    <w:uiPriority w:val="9"/>
    <w:qFormat/>
    <w:pPr>
      <w:keepNext/>
      <w:numPr>
        <w:numId w:val="19"/>
      </w:numPr>
      <w:spacing w:before="360"/>
      <w:outlineLvl w:val="0"/>
    </w:pPr>
    <w:rPr>
      <w:rFonts w:eastAsiaTheme="majorEastAsia"/>
      <w:b/>
      <w:bCs/>
      <w:smallCaps/>
      <w:szCs w:val="28"/>
    </w:rPr>
  </w:style>
  <w:style w:type="paragraph" w:styleId="Overskrift2">
    <w:name w:val="heading 2"/>
    <w:basedOn w:val="Normal"/>
    <w:next w:val="Text1"/>
    <w:link w:val="Overskrift2Tegn"/>
    <w:uiPriority w:val="9"/>
    <w:semiHidden/>
    <w:unhideWhenUsed/>
    <w:qFormat/>
    <w:pPr>
      <w:keepNext/>
      <w:numPr>
        <w:ilvl w:val="1"/>
        <w:numId w:val="19"/>
      </w:numPr>
      <w:outlineLvl w:val="1"/>
    </w:pPr>
    <w:rPr>
      <w:rFonts w:eastAsiaTheme="majorEastAsia"/>
      <w:b/>
      <w:bCs/>
      <w:szCs w:val="26"/>
    </w:rPr>
  </w:style>
  <w:style w:type="paragraph" w:styleId="Overskrift3">
    <w:name w:val="heading 3"/>
    <w:basedOn w:val="Normal"/>
    <w:next w:val="Text1"/>
    <w:link w:val="Overskrift3Tegn"/>
    <w:uiPriority w:val="9"/>
    <w:semiHidden/>
    <w:unhideWhenUsed/>
    <w:qFormat/>
    <w:pPr>
      <w:keepNext/>
      <w:numPr>
        <w:ilvl w:val="2"/>
        <w:numId w:val="19"/>
      </w:numPr>
      <w:outlineLvl w:val="2"/>
    </w:pPr>
    <w:rPr>
      <w:rFonts w:eastAsiaTheme="majorEastAsia"/>
      <w:bCs/>
      <w:i/>
    </w:rPr>
  </w:style>
  <w:style w:type="paragraph" w:styleId="Overskrift4">
    <w:name w:val="heading 4"/>
    <w:basedOn w:val="Normal"/>
    <w:next w:val="Text1"/>
    <w:link w:val="Overskrift4Tegn"/>
    <w:uiPriority w:val="9"/>
    <w:semiHidden/>
    <w:unhideWhenUsed/>
    <w:qFormat/>
    <w:pPr>
      <w:keepNext/>
      <w:numPr>
        <w:ilvl w:val="3"/>
        <w:numId w:val="19"/>
      </w:numPr>
      <w:outlineLvl w:val="3"/>
    </w:pPr>
    <w:rPr>
      <w:rFonts w:eastAsiaTheme="majorEastAsia"/>
      <w:bCs/>
      <w:iCs/>
    </w:rPr>
  </w:style>
  <w:style w:type="paragraph" w:styleId="Overskrift5">
    <w:name w:val="heading 5"/>
    <w:basedOn w:val="Normal"/>
    <w:next w:val="Text2"/>
    <w:link w:val="Overskrift5Tegn"/>
    <w:uiPriority w:val="9"/>
    <w:semiHidden/>
    <w:unhideWhenUsed/>
    <w:qFormat/>
    <w:pPr>
      <w:keepNext/>
      <w:numPr>
        <w:ilvl w:val="4"/>
        <w:numId w:val="19"/>
      </w:numPr>
      <w:outlineLvl w:val="4"/>
    </w:pPr>
    <w:rPr>
      <w:rFonts w:eastAsiaTheme="majorEastAsia"/>
    </w:rPr>
  </w:style>
  <w:style w:type="paragraph" w:styleId="Overskrift6">
    <w:name w:val="heading 6"/>
    <w:basedOn w:val="Normal"/>
    <w:next w:val="Text2"/>
    <w:link w:val="Overskrift6Tegn"/>
    <w:uiPriority w:val="9"/>
    <w:semiHidden/>
    <w:unhideWhenUsed/>
    <w:qFormat/>
    <w:pPr>
      <w:keepNext/>
      <w:numPr>
        <w:ilvl w:val="5"/>
        <w:numId w:val="19"/>
      </w:numPr>
      <w:outlineLvl w:val="5"/>
    </w:pPr>
    <w:rPr>
      <w:rFonts w:eastAsiaTheme="majorEastAsia"/>
      <w:iCs/>
    </w:rPr>
  </w:style>
  <w:style w:type="paragraph" w:styleId="Overskrift7">
    <w:name w:val="heading 7"/>
    <w:basedOn w:val="Normal"/>
    <w:next w:val="Text2"/>
    <w:link w:val="Overskrift7Tegn"/>
    <w:uiPriority w:val="9"/>
    <w:semiHidden/>
    <w:unhideWhenUsed/>
    <w:qFormat/>
    <w:pPr>
      <w:keepNext/>
      <w:numPr>
        <w:ilvl w:val="6"/>
        <w:numId w:val="19"/>
      </w:numPr>
      <w:outlineLvl w:val="6"/>
    </w:pPr>
    <w:rPr>
      <w:rFonts w:eastAsiaTheme="majorEastAsia"/>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9C22FD"/>
    <w:rPr>
      <w:sz w:val="16"/>
      <w:szCs w:val="16"/>
    </w:rPr>
  </w:style>
  <w:style w:type="paragraph" w:styleId="Kommentartekst">
    <w:name w:val="annotation text"/>
    <w:basedOn w:val="Normal"/>
    <w:link w:val="KommentartekstTegn"/>
    <w:uiPriority w:val="99"/>
    <w:unhideWhenUsed/>
    <w:rsid w:val="009C22FD"/>
    <w:rPr>
      <w:sz w:val="20"/>
      <w:szCs w:val="20"/>
    </w:rPr>
  </w:style>
  <w:style w:type="character" w:customStyle="1" w:styleId="KommentartekstTegn">
    <w:name w:val="Kommentartekst Tegn"/>
    <w:basedOn w:val="Standardskrifttypeiafsnit"/>
    <w:link w:val="Kommentartekst"/>
    <w:uiPriority w:val="99"/>
    <w:rsid w:val="009C22FD"/>
    <w:rPr>
      <w:rFonts w:ascii="Times New Roman" w:hAnsi="Times New Roman" w:cs="Times New Roman"/>
      <w:sz w:val="20"/>
      <w:szCs w:val="20"/>
      <w:lang w:val="en-GB"/>
    </w:rPr>
  </w:style>
  <w:style w:type="paragraph" w:styleId="Korrektur">
    <w:name w:val="Revision"/>
    <w:hidden/>
    <w:uiPriority w:val="99"/>
    <w:semiHidden/>
    <w:rsid w:val="009C22FD"/>
    <w:pPr>
      <w:spacing w:after="0" w:line="240" w:lineRule="auto"/>
    </w:pPr>
    <w:rPr>
      <w:rFonts w:ascii="Times New Roman" w:hAnsi="Times New Roman" w:cs="Times New Roman"/>
      <w:sz w:val="24"/>
      <w:lang w:val="en-GB"/>
    </w:rPr>
  </w:style>
  <w:style w:type="paragraph" w:customStyle="1" w:styleId="Bullet5">
    <w:name w:val="Bullet 5"/>
    <w:basedOn w:val="Bullet4"/>
    <w:rsid w:val="008D22BC"/>
    <w:rPr>
      <w:lang w:val="en-IE" w:eastAsia="en-IE"/>
    </w:rPr>
  </w:style>
  <w:style w:type="paragraph" w:styleId="Listeafsnit">
    <w:name w:val="List Paragraph"/>
    <w:basedOn w:val="Normal"/>
    <w:uiPriority w:val="34"/>
    <w:qFormat/>
    <w:rsid w:val="00F402A4"/>
    <w:pPr>
      <w:ind w:left="720"/>
      <w:contextualSpacing/>
    </w:pPr>
  </w:style>
  <w:style w:type="character" w:styleId="Hyperlink">
    <w:name w:val="Hyperlink"/>
    <w:basedOn w:val="Standardskrifttypeiafsnit"/>
    <w:uiPriority w:val="99"/>
    <w:unhideWhenUsed/>
    <w:rsid w:val="00E01F52"/>
    <w:rPr>
      <w:color w:val="0000FF" w:themeColor="hyperlink"/>
      <w:u w:val="single"/>
    </w:rPr>
  </w:style>
  <w:style w:type="paragraph" w:styleId="Opstilling-punkttegn">
    <w:name w:val="List Bullet"/>
    <w:basedOn w:val="Normal"/>
    <w:uiPriority w:val="99"/>
    <w:semiHidden/>
    <w:unhideWhenUsed/>
    <w:rsid w:val="00D371E1"/>
    <w:pPr>
      <w:numPr>
        <w:numId w:val="1"/>
      </w:numPr>
      <w:contextualSpacing/>
    </w:pPr>
  </w:style>
  <w:style w:type="paragraph" w:styleId="Opstilling-punkttegn2">
    <w:name w:val="List Bullet 2"/>
    <w:basedOn w:val="Normal"/>
    <w:uiPriority w:val="99"/>
    <w:semiHidden/>
    <w:unhideWhenUsed/>
    <w:rsid w:val="00D371E1"/>
    <w:pPr>
      <w:numPr>
        <w:numId w:val="2"/>
      </w:numPr>
      <w:contextualSpacing/>
    </w:pPr>
  </w:style>
  <w:style w:type="paragraph" w:styleId="Opstilling-punkttegn3">
    <w:name w:val="List Bullet 3"/>
    <w:basedOn w:val="Normal"/>
    <w:uiPriority w:val="99"/>
    <w:semiHidden/>
    <w:unhideWhenUsed/>
    <w:rsid w:val="00D371E1"/>
    <w:pPr>
      <w:numPr>
        <w:numId w:val="3"/>
      </w:numPr>
      <w:contextualSpacing/>
    </w:pPr>
  </w:style>
  <w:style w:type="paragraph" w:styleId="Opstilling-punkttegn4">
    <w:name w:val="List Bullet 4"/>
    <w:basedOn w:val="Normal"/>
    <w:uiPriority w:val="99"/>
    <w:semiHidden/>
    <w:unhideWhenUsed/>
    <w:rsid w:val="00D371E1"/>
    <w:pPr>
      <w:numPr>
        <w:numId w:val="4"/>
      </w:numPr>
      <w:contextualSpacing/>
    </w:pPr>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ret">
    <w:name w:val="Tiret"/>
    <w:basedOn w:val="Tiret3"/>
    <w:rsid w:val="006A289F"/>
  </w:style>
  <w:style w:type="paragraph" w:customStyle="1" w:styleId="point55">
    <w:name w:val="point 5 5"/>
    <w:basedOn w:val="Bullet5"/>
    <w:rsid w:val="006A289F"/>
  </w:style>
  <w:style w:type="paragraph" w:styleId="Billedtekst">
    <w:name w:val="caption"/>
    <w:basedOn w:val="Normal"/>
    <w:next w:val="Normal"/>
    <w:uiPriority w:val="35"/>
    <w:semiHidden/>
    <w:unhideWhenUsed/>
    <w:qFormat/>
    <w:rsid w:val="00607007"/>
    <w:pPr>
      <w:spacing w:before="0" w:after="200"/>
    </w:pPr>
    <w:rPr>
      <w:i/>
      <w:iCs/>
      <w:color w:val="1F497D" w:themeColor="text2"/>
      <w:sz w:val="18"/>
      <w:szCs w:val="18"/>
    </w:rPr>
  </w:style>
  <w:style w:type="paragraph" w:styleId="Listeoverfigurer">
    <w:name w:val="table of figures"/>
    <w:basedOn w:val="Normal"/>
    <w:next w:val="Normal"/>
    <w:uiPriority w:val="99"/>
    <w:semiHidden/>
    <w:unhideWhenUsed/>
    <w:rsid w:val="00607007"/>
    <w:pPr>
      <w:spacing w:after="0"/>
    </w:pPr>
  </w:style>
  <w:style w:type="paragraph" w:styleId="Opstilling-talellerbogst">
    <w:name w:val="List Number"/>
    <w:basedOn w:val="Normal"/>
    <w:uiPriority w:val="99"/>
    <w:semiHidden/>
    <w:unhideWhenUsed/>
    <w:rsid w:val="00607007"/>
    <w:pPr>
      <w:numPr>
        <w:numId w:val="6"/>
      </w:numPr>
      <w:contextualSpacing/>
    </w:pPr>
  </w:style>
  <w:style w:type="paragraph" w:styleId="Opstilling-talellerbogst2">
    <w:name w:val="List Number 2"/>
    <w:basedOn w:val="Normal"/>
    <w:uiPriority w:val="99"/>
    <w:semiHidden/>
    <w:unhideWhenUsed/>
    <w:rsid w:val="00607007"/>
    <w:pPr>
      <w:numPr>
        <w:numId w:val="7"/>
      </w:numPr>
      <w:contextualSpacing/>
    </w:pPr>
  </w:style>
  <w:style w:type="paragraph" w:styleId="Opstilling-talellerbogst3">
    <w:name w:val="List Number 3"/>
    <w:basedOn w:val="Normal"/>
    <w:uiPriority w:val="99"/>
    <w:semiHidden/>
    <w:unhideWhenUsed/>
    <w:rsid w:val="00607007"/>
    <w:pPr>
      <w:numPr>
        <w:numId w:val="8"/>
      </w:numPr>
      <w:contextualSpacing/>
    </w:pPr>
  </w:style>
  <w:style w:type="paragraph" w:styleId="Opstilling-talellerbogst4">
    <w:name w:val="List Number 4"/>
    <w:basedOn w:val="Normal"/>
    <w:uiPriority w:val="99"/>
    <w:semiHidden/>
    <w:unhideWhenUsed/>
    <w:rsid w:val="00607007"/>
    <w:pPr>
      <w:numPr>
        <w:numId w:val="9"/>
      </w:numPr>
      <w:contextualSpacing/>
    </w:pPr>
  </w:style>
  <w:style w:type="paragraph" w:styleId="Markeringsbobletekst">
    <w:name w:val="Balloon Text"/>
    <w:basedOn w:val="Normal"/>
    <w:link w:val="MarkeringsbobletekstTegn"/>
    <w:uiPriority w:val="99"/>
    <w:semiHidden/>
    <w:unhideWhenUsed/>
    <w:rsid w:val="00A46787"/>
    <w:pPr>
      <w:spacing w:before="0"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46787"/>
    <w:rPr>
      <w:rFonts w:ascii="Segoe UI" w:hAnsi="Segoe UI" w:cs="Segoe UI"/>
      <w:sz w:val="18"/>
      <w:szCs w:val="18"/>
      <w:lang w:val="en-GB"/>
    </w:rPr>
  </w:style>
  <w:style w:type="paragraph" w:styleId="Kommentaremne">
    <w:name w:val="annotation subject"/>
    <w:basedOn w:val="Kommentartekst"/>
    <w:next w:val="Kommentartekst"/>
    <w:link w:val="KommentaremneTegn"/>
    <w:uiPriority w:val="99"/>
    <w:semiHidden/>
    <w:unhideWhenUsed/>
    <w:rsid w:val="00E26148"/>
    <w:rPr>
      <w:b/>
      <w:bCs/>
    </w:rPr>
  </w:style>
  <w:style w:type="character" w:customStyle="1" w:styleId="KommentaremneTegn">
    <w:name w:val="Kommentaremne Tegn"/>
    <w:basedOn w:val="KommentartekstTegn"/>
    <w:link w:val="Kommentaremne"/>
    <w:uiPriority w:val="99"/>
    <w:semiHidden/>
    <w:rsid w:val="00E26148"/>
    <w:rPr>
      <w:rFonts w:ascii="Times New Roman" w:hAnsi="Times New Roman" w:cs="Times New Roman"/>
      <w:b/>
      <w:bCs/>
      <w:sz w:val="20"/>
      <w:szCs w:val="20"/>
      <w:lang w:val="en-GB"/>
    </w:rPr>
  </w:style>
  <w:style w:type="paragraph" w:customStyle="1" w:styleId="Point10">
    <w:name w:val="Point 10"/>
    <w:basedOn w:val="Normal"/>
    <w:pPr>
      <w:ind w:left="1417" w:hanging="567"/>
    </w:pPr>
  </w:style>
  <w:style w:type="paragraph" w:customStyle="1" w:styleId="Point100">
    <w:name w:val="Point 100"/>
    <w:basedOn w:val="Normal"/>
    <w:rsid w:val="0097285D"/>
    <w:pPr>
      <w:ind w:left="1417" w:hanging="567"/>
    </w:pPr>
  </w:style>
  <w:style w:type="paragraph" w:customStyle="1" w:styleId="Normal1">
    <w:name w:val="Normal1"/>
    <w:basedOn w:val="Normal"/>
    <w:rsid w:val="00731B59"/>
    <w:pPr>
      <w:spacing w:before="100" w:beforeAutospacing="1" w:after="100" w:afterAutospacing="1"/>
      <w:jc w:val="left"/>
    </w:pPr>
    <w:rPr>
      <w:rFonts w:eastAsia="Times New Roman"/>
      <w:szCs w:val="24"/>
      <w:lang w:val="en-IE" w:eastAsia="en-IE"/>
    </w:rPr>
  </w:style>
  <w:style w:type="paragraph" w:styleId="NormalWeb">
    <w:name w:val="Normal (Web)"/>
    <w:basedOn w:val="Normal"/>
    <w:uiPriority w:val="99"/>
    <w:semiHidden/>
    <w:unhideWhenUsed/>
    <w:rsid w:val="006172FF"/>
    <w:pPr>
      <w:spacing w:before="100" w:beforeAutospacing="1" w:after="100" w:afterAutospacing="1"/>
      <w:jc w:val="left"/>
    </w:pPr>
    <w:rPr>
      <w:rFonts w:ascii="Calibri" w:hAnsi="Calibri" w:cs="Calibri"/>
      <w:sz w:val="22"/>
      <w:lang w:val="en-IE" w:eastAsia="en-IE"/>
    </w:rPr>
  </w:style>
  <w:style w:type="paragraph" w:customStyle="1" w:styleId="sti-art">
    <w:name w:val="sti-art"/>
    <w:basedOn w:val="Normal"/>
    <w:rsid w:val="00392027"/>
    <w:pPr>
      <w:spacing w:before="100" w:beforeAutospacing="1" w:after="100" w:afterAutospacing="1"/>
      <w:jc w:val="left"/>
    </w:pPr>
    <w:rPr>
      <w:rFonts w:eastAsia="Times New Roman"/>
      <w:szCs w:val="24"/>
      <w:lang w:val="en-IE" w:eastAsia="en-IE"/>
    </w:rPr>
  </w:style>
  <w:style w:type="paragraph" w:customStyle="1" w:styleId="twxt2">
    <w:name w:val="twxt 2"/>
    <w:basedOn w:val="Point2"/>
    <w:rsid w:val="001A05EB"/>
    <w:rPr>
      <w:lang w:eastAsia="en-IE"/>
    </w:rPr>
  </w:style>
  <w:style w:type="paragraph" w:customStyle="1" w:styleId="Text">
    <w:name w:val="Text"/>
    <w:basedOn w:val="Kommentartekst"/>
    <w:rsid w:val="00004C7F"/>
    <w:pPr>
      <w:ind w:left="1417"/>
    </w:pPr>
    <w:rPr>
      <w:sz w:val="24"/>
      <w:szCs w:val="22"/>
    </w:rPr>
  </w:style>
  <w:style w:type="character" w:styleId="Ulstomtale">
    <w:name w:val="Unresolved Mention"/>
    <w:basedOn w:val="Standardskrifttypeiafsnit"/>
    <w:uiPriority w:val="99"/>
    <w:semiHidden/>
    <w:unhideWhenUsed/>
    <w:rsid w:val="005E3A10"/>
    <w:rPr>
      <w:color w:val="605E5C"/>
      <w:shd w:val="clear" w:color="auto" w:fill="E1DFDD"/>
    </w:rPr>
  </w:style>
  <w:style w:type="character" w:styleId="BesgtLink">
    <w:name w:val="FollowedHyperlink"/>
    <w:basedOn w:val="Standardskrifttypeiafsnit"/>
    <w:uiPriority w:val="99"/>
    <w:semiHidden/>
    <w:unhideWhenUsed/>
    <w:rsid w:val="00143C4A"/>
    <w:rPr>
      <w:color w:val="800080" w:themeColor="followedHyperlink"/>
      <w:u w:val="single"/>
    </w:rPr>
  </w:style>
  <w:style w:type="paragraph" w:customStyle="1" w:styleId="Point3">
    <w:name w:val="Point 3"/>
    <w:basedOn w:val="Normal"/>
    <w:pPr>
      <w:ind w:left="2551" w:hanging="567"/>
    </w:pPr>
  </w:style>
  <w:style w:type="paragraph" w:styleId="Sidehoved">
    <w:name w:val="header"/>
    <w:basedOn w:val="Normal"/>
    <w:link w:val="SidehovedTegn"/>
    <w:uiPriority w:val="99"/>
    <w:unhideWhenUsed/>
    <w:pPr>
      <w:tabs>
        <w:tab w:val="center" w:pos="4535"/>
        <w:tab w:val="right" w:pos="9071"/>
      </w:tabs>
      <w:spacing w:before="0"/>
    </w:pPr>
  </w:style>
  <w:style w:type="character" w:customStyle="1" w:styleId="SidehovedTegn">
    <w:name w:val="Sidehoved Tegn"/>
    <w:basedOn w:val="Standardskrifttypeiafsnit"/>
    <w:link w:val="Sidehoved"/>
    <w:uiPriority w:val="99"/>
    <w:rPr>
      <w:rFonts w:ascii="Times New Roman" w:hAnsi="Times New Roman" w:cs="Times New Roman"/>
      <w:sz w:val="24"/>
      <w:shd w:val="clear" w:color="auto" w:fill="auto"/>
      <w:lang w:val="en-GB"/>
    </w:rPr>
  </w:style>
  <w:style w:type="paragraph" w:styleId="Sidefod">
    <w:name w:val="footer"/>
    <w:basedOn w:val="Normal"/>
    <w:link w:val="SidefodTegn"/>
    <w:uiPriority w:val="99"/>
    <w:unhideWhenUsed/>
    <w:pPr>
      <w:tabs>
        <w:tab w:val="center" w:pos="4535"/>
        <w:tab w:val="right" w:pos="9071"/>
        <w:tab w:val="right" w:pos="9921"/>
      </w:tabs>
      <w:spacing w:before="360" w:after="0"/>
      <w:ind w:left="-850" w:right="-850"/>
      <w:jc w:val="left"/>
    </w:pPr>
  </w:style>
  <w:style w:type="character" w:customStyle="1" w:styleId="SidefodTegn">
    <w:name w:val="Sidefod Tegn"/>
    <w:basedOn w:val="Standardskrifttypeiafsnit"/>
    <w:link w:val="Sidefod"/>
    <w:uiPriority w:val="99"/>
    <w:rPr>
      <w:rFonts w:ascii="Times New Roman" w:hAnsi="Times New Roman" w:cs="Times New Roman"/>
      <w:sz w:val="24"/>
      <w:shd w:val="clear" w:color="auto" w:fill="auto"/>
      <w:lang w:val="en-GB"/>
    </w:rPr>
  </w:style>
  <w:style w:type="paragraph" w:styleId="Fodnotetekst">
    <w:name w:val="footnote text"/>
    <w:basedOn w:val="Normal"/>
    <w:link w:val="FodnotetekstTegn"/>
    <w:uiPriority w:val="99"/>
    <w:semiHidden/>
    <w:unhideWhenUsed/>
    <w:pPr>
      <w:spacing w:before="0" w:after="0"/>
      <w:ind w:left="720" w:hanging="720"/>
    </w:pPr>
    <w:rPr>
      <w:sz w:val="20"/>
      <w:szCs w:val="20"/>
    </w:rPr>
  </w:style>
  <w:style w:type="character" w:customStyle="1" w:styleId="FodnotetekstTegn">
    <w:name w:val="Fodnotetekst Tegn"/>
    <w:basedOn w:val="Standardskrifttypeiafsnit"/>
    <w:link w:val="Fodnotetekst"/>
    <w:uiPriority w:val="99"/>
    <w:semiHidden/>
    <w:rPr>
      <w:rFonts w:ascii="Times New Roman" w:hAnsi="Times New Roman" w:cs="Times New Roman"/>
      <w:sz w:val="20"/>
      <w:szCs w:val="20"/>
      <w:shd w:val="clear" w:color="auto" w:fill="auto"/>
      <w:lang w:val="en-GB"/>
    </w:rPr>
  </w:style>
  <w:style w:type="character" w:customStyle="1" w:styleId="Overskrift1Tegn">
    <w:name w:val="Overskrift 1 Tegn"/>
    <w:basedOn w:val="Standardskrifttypeiafsnit"/>
    <w:link w:val="Overskrift1"/>
    <w:uiPriority w:val="9"/>
    <w:rPr>
      <w:rFonts w:ascii="Times New Roman" w:eastAsiaTheme="majorEastAsia" w:hAnsi="Times New Roman" w:cs="Times New Roman"/>
      <w:b/>
      <w:bCs/>
      <w:smallCaps/>
      <w:sz w:val="24"/>
      <w:szCs w:val="28"/>
      <w:lang w:val="en-GB"/>
    </w:rPr>
  </w:style>
  <w:style w:type="character" w:customStyle="1" w:styleId="Overskrift2Tegn">
    <w:name w:val="Overskrift 2 Tegn"/>
    <w:basedOn w:val="Standardskrifttypeiafsnit"/>
    <w:link w:val="Overskrift2"/>
    <w:uiPriority w:val="9"/>
    <w:semiHidden/>
    <w:rPr>
      <w:rFonts w:ascii="Times New Roman" w:eastAsiaTheme="majorEastAsia" w:hAnsi="Times New Roman" w:cs="Times New Roman"/>
      <w:b/>
      <w:bCs/>
      <w:sz w:val="24"/>
      <w:szCs w:val="26"/>
      <w:lang w:val="en-GB"/>
    </w:rPr>
  </w:style>
  <w:style w:type="character" w:customStyle="1" w:styleId="Overskrift3Tegn">
    <w:name w:val="Overskrift 3 Tegn"/>
    <w:basedOn w:val="Standardskrifttypeiafsnit"/>
    <w:link w:val="Overskrift3"/>
    <w:uiPriority w:val="9"/>
    <w:semiHidden/>
    <w:rPr>
      <w:rFonts w:ascii="Times New Roman" w:eastAsiaTheme="majorEastAsia" w:hAnsi="Times New Roman" w:cs="Times New Roman"/>
      <w:bCs/>
      <w:i/>
      <w:sz w:val="24"/>
      <w:lang w:val="en-GB"/>
    </w:rPr>
  </w:style>
  <w:style w:type="character" w:customStyle="1" w:styleId="Overskrift4Tegn">
    <w:name w:val="Overskrift 4 Tegn"/>
    <w:basedOn w:val="Standardskrifttypeiafsnit"/>
    <w:link w:val="Overskrift4"/>
    <w:uiPriority w:val="9"/>
    <w:semiHidden/>
    <w:rPr>
      <w:rFonts w:ascii="Times New Roman" w:eastAsiaTheme="majorEastAsia" w:hAnsi="Times New Roman" w:cs="Times New Roman"/>
      <w:bCs/>
      <w:iCs/>
      <w:sz w:val="24"/>
      <w:lang w:val="en-GB"/>
    </w:rPr>
  </w:style>
  <w:style w:type="character" w:customStyle="1" w:styleId="Overskrift5Tegn">
    <w:name w:val="Overskrift 5 Tegn"/>
    <w:basedOn w:val="Standardskrifttypeiafsnit"/>
    <w:link w:val="Overskrift5"/>
    <w:uiPriority w:val="9"/>
    <w:semiHidden/>
    <w:rPr>
      <w:rFonts w:ascii="Times New Roman" w:eastAsiaTheme="majorEastAsia" w:hAnsi="Times New Roman" w:cs="Times New Roman"/>
      <w:sz w:val="24"/>
      <w:lang w:val="en-GB"/>
    </w:rPr>
  </w:style>
  <w:style w:type="character" w:customStyle="1" w:styleId="Overskrift6Tegn">
    <w:name w:val="Overskrift 6 Tegn"/>
    <w:basedOn w:val="Standardskrifttypeiafsnit"/>
    <w:link w:val="Overskrift6"/>
    <w:uiPriority w:val="9"/>
    <w:semiHidden/>
    <w:rPr>
      <w:rFonts w:ascii="Times New Roman" w:eastAsiaTheme="majorEastAsia" w:hAnsi="Times New Roman" w:cs="Times New Roman"/>
      <w:iCs/>
      <w:sz w:val="24"/>
      <w:lang w:val="en-GB"/>
    </w:rPr>
  </w:style>
  <w:style w:type="character" w:customStyle="1" w:styleId="Overskrift7Tegn">
    <w:name w:val="Overskrift 7 Tegn"/>
    <w:basedOn w:val="Standardskrifttypeiafsnit"/>
    <w:link w:val="Overskrift7"/>
    <w:uiPriority w:val="9"/>
    <w:semiHidden/>
    <w:rPr>
      <w:rFonts w:ascii="Times New Roman" w:eastAsiaTheme="majorEastAsia" w:hAnsi="Times New Roman" w:cs="Times New Roman"/>
      <w:iCs/>
      <w:sz w:val="24"/>
      <w:lang w:val="en-GB"/>
    </w:rPr>
  </w:style>
  <w:style w:type="paragraph" w:styleId="Overskrift">
    <w:name w:val="TOC Heading"/>
    <w:basedOn w:val="Normal"/>
    <w:next w:val="Normal"/>
    <w:uiPriority w:val="39"/>
    <w:semiHidden/>
    <w:unhideWhenUsed/>
    <w:qFormat/>
    <w:pPr>
      <w:spacing w:after="240"/>
      <w:jc w:val="center"/>
    </w:pPr>
    <w:rPr>
      <w:b/>
      <w:sz w:val="28"/>
    </w:rPr>
  </w:style>
  <w:style w:type="paragraph" w:styleId="Indholdsfortegnelse1">
    <w:name w:val="toc 1"/>
    <w:basedOn w:val="Normal"/>
    <w:next w:val="Normal"/>
    <w:uiPriority w:val="39"/>
    <w:semiHidden/>
    <w:unhideWhenUsed/>
    <w:pPr>
      <w:tabs>
        <w:tab w:val="right" w:leader="dot" w:pos="9071"/>
      </w:tabs>
      <w:spacing w:before="60"/>
      <w:ind w:left="850" w:hanging="850"/>
      <w:jc w:val="left"/>
    </w:pPr>
  </w:style>
  <w:style w:type="paragraph" w:styleId="Indholdsfortegnelse2">
    <w:name w:val="toc 2"/>
    <w:basedOn w:val="Normal"/>
    <w:next w:val="Normal"/>
    <w:uiPriority w:val="39"/>
    <w:semiHidden/>
    <w:unhideWhenUsed/>
    <w:pPr>
      <w:tabs>
        <w:tab w:val="right" w:leader="dot" w:pos="9071"/>
      </w:tabs>
      <w:spacing w:before="60"/>
      <w:ind w:left="850" w:hanging="850"/>
      <w:jc w:val="left"/>
    </w:pPr>
  </w:style>
  <w:style w:type="paragraph" w:styleId="Indholdsfortegnelse3">
    <w:name w:val="toc 3"/>
    <w:basedOn w:val="Normal"/>
    <w:next w:val="Normal"/>
    <w:uiPriority w:val="39"/>
    <w:semiHidden/>
    <w:unhideWhenUsed/>
    <w:pPr>
      <w:tabs>
        <w:tab w:val="right" w:leader="dot" w:pos="9071"/>
      </w:tabs>
      <w:spacing w:before="60"/>
      <w:ind w:left="850" w:hanging="850"/>
      <w:jc w:val="left"/>
    </w:pPr>
  </w:style>
  <w:style w:type="paragraph" w:styleId="Indholdsfortegnelse4">
    <w:name w:val="toc 4"/>
    <w:basedOn w:val="Normal"/>
    <w:next w:val="Normal"/>
    <w:uiPriority w:val="39"/>
    <w:semiHidden/>
    <w:unhideWhenUsed/>
    <w:pPr>
      <w:tabs>
        <w:tab w:val="right" w:leader="dot" w:pos="9071"/>
      </w:tabs>
      <w:spacing w:before="60"/>
      <w:ind w:left="850" w:hanging="850"/>
      <w:jc w:val="left"/>
    </w:pPr>
  </w:style>
  <w:style w:type="paragraph" w:styleId="Indholdsfortegnelse5">
    <w:name w:val="toc 5"/>
    <w:basedOn w:val="Normal"/>
    <w:next w:val="Normal"/>
    <w:uiPriority w:val="39"/>
    <w:semiHidden/>
    <w:unhideWhenUsed/>
    <w:pPr>
      <w:tabs>
        <w:tab w:val="right" w:leader="dot" w:pos="9071"/>
      </w:tabs>
      <w:spacing w:before="300"/>
      <w:jc w:val="left"/>
    </w:pPr>
  </w:style>
  <w:style w:type="paragraph" w:styleId="Indholdsfortegnelse6">
    <w:name w:val="toc 6"/>
    <w:basedOn w:val="Normal"/>
    <w:next w:val="Normal"/>
    <w:uiPriority w:val="39"/>
    <w:semiHidden/>
    <w:unhideWhenUsed/>
    <w:pPr>
      <w:tabs>
        <w:tab w:val="right" w:leader="dot" w:pos="9071"/>
      </w:tabs>
      <w:spacing w:before="240"/>
      <w:jc w:val="left"/>
    </w:pPr>
  </w:style>
  <w:style w:type="paragraph" w:styleId="Indholdsfortegnelse7">
    <w:name w:val="toc 7"/>
    <w:basedOn w:val="Normal"/>
    <w:next w:val="Normal"/>
    <w:uiPriority w:val="39"/>
    <w:semiHidden/>
    <w:unhideWhenUsed/>
    <w:pPr>
      <w:tabs>
        <w:tab w:val="right" w:leader="dot" w:pos="9071"/>
      </w:tabs>
      <w:spacing w:before="180"/>
      <w:jc w:val="left"/>
    </w:pPr>
  </w:style>
  <w:style w:type="paragraph" w:styleId="Indholdsfortegnelse8">
    <w:name w:val="toc 8"/>
    <w:basedOn w:val="Normal"/>
    <w:next w:val="Normal"/>
    <w:uiPriority w:val="39"/>
    <w:semiHidden/>
    <w:unhideWhenUsed/>
    <w:pPr>
      <w:tabs>
        <w:tab w:val="right" w:leader="dot" w:pos="9071"/>
      </w:tabs>
      <w:jc w:val="left"/>
    </w:pPr>
  </w:style>
  <w:style w:type="paragraph" w:styleId="Indholdsfortegnelse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dnotehenvisning">
    <w:name w:val="footnote reference"/>
    <w:basedOn w:val="Standardskrifttypeiafsni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1">
    <w:name w:val="Point 31"/>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1"/>
    <w:pPr>
      <w:numPr>
        <w:numId w:val="15"/>
      </w:numPr>
    </w:pPr>
  </w:style>
  <w:style w:type="paragraph" w:customStyle="1" w:styleId="Tiret4">
    <w:name w:val="Tiret 4"/>
    <w:basedOn w:val="Point4"/>
    <w:pPr>
      <w:numPr>
        <w:numId w:val="16"/>
      </w:numPr>
    </w:pPr>
  </w:style>
  <w:style w:type="paragraph" w:customStyle="1" w:styleId="Tiret5">
    <w:name w:val="Tiret 5"/>
    <w:basedOn w:val="Point5"/>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NumPar5">
    <w:name w:val="NumPar 5"/>
    <w:basedOn w:val="Normal"/>
    <w:next w:val="Text2"/>
    <w:pPr>
      <w:numPr>
        <w:ilvl w:val="4"/>
        <w:numId w:val="18"/>
      </w:numPr>
    </w:pPr>
  </w:style>
  <w:style w:type="paragraph" w:customStyle="1" w:styleId="NumPar6">
    <w:name w:val="NumPar 6"/>
    <w:basedOn w:val="Normal"/>
    <w:next w:val="Text2"/>
    <w:pPr>
      <w:numPr>
        <w:ilvl w:val="5"/>
        <w:numId w:val="18"/>
      </w:numPr>
    </w:pPr>
  </w:style>
  <w:style w:type="paragraph" w:customStyle="1" w:styleId="NumPar7">
    <w:name w:val="NumPar 7"/>
    <w:basedOn w:val="Normal"/>
    <w:next w:val="Text2"/>
    <w:pPr>
      <w:numPr>
        <w:ilvl w:val="6"/>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Overskrift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Standardskrifttypeiafsnit"/>
    <w:rPr>
      <w:color w:val="0000FF"/>
      <w:shd w:val="clear" w:color="auto" w:fill="auto"/>
    </w:rPr>
  </w:style>
  <w:style w:type="character" w:customStyle="1" w:styleId="Marker1">
    <w:name w:val="Marker1"/>
    <w:basedOn w:val="Standardskrifttypeiafsnit"/>
    <w:rPr>
      <w:color w:val="008000"/>
      <w:shd w:val="clear" w:color="auto" w:fill="auto"/>
    </w:rPr>
  </w:style>
  <w:style w:type="character" w:customStyle="1" w:styleId="Marker2">
    <w:name w:val="Marker2"/>
    <w:basedOn w:val="Standardskrifttypeiafsni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Standardskrifttypeiafsnit"/>
    <w:rPr>
      <w:b/>
      <w:u w:val="single"/>
      <w:shd w:val="clear" w:color="auto" w:fill="auto"/>
    </w:rPr>
  </w:style>
  <w:style w:type="character" w:customStyle="1" w:styleId="Deleted">
    <w:name w:val="Deleted"/>
    <w:basedOn w:val="Standardskrifttypeiafsni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6448">
      <w:bodyDiv w:val="1"/>
      <w:marLeft w:val="0"/>
      <w:marRight w:val="0"/>
      <w:marTop w:val="0"/>
      <w:marBottom w:val="0"/>
      <w:divBdr>
        <w:top w:val="none" w:sz="0" w:space="0" w:color="auto"/>
        <w:left w:val="none" w:sz="0" w:space="0" w:color="auto"/>
        <w:bottom w:val="none" w:sz="0" w:space="0" w:color="auto"/>
        <w:right w:val="none" w:sz="0" w:space="0" w:color="auto"/>
      </w:divBdr>
      <w:divsChild>
        <w:div w:id="1866358017">
          <w:marLeft w:val="0"/>
          <w:marRight w:val="0"/>
          <w:marTop w:val="0"/>
          <w:marBottom w:val="0"/>
          <w:divBdr>
            <w:top w:val="none" w:sz="0" w:space="0" w:color="auto"/>
            <w:left w:val="none" w:sz="0" w:space="0" w:color="auto"/>
            <w:bottom w:val="none" w:sz="0" w:space="0" w:color="auto"/>
            <w:right w:val="none" w:sz="0" w:space="0" w:color="auto"/>
          </w:divBdr>
        </w:div>
      </w:divsChild>
    </w:div>
    <w:div w:id="90667073">
      <w:bodyDiv w:val="1"/>
      <w:marLeft w:val="0"/>
      <w:marRight w:val="0"/>
      <w:marTop w:val="0"/>
      <w:marBottom w:val="0"/>
      <w:divBdr>
        <w:top w:val="none" w:sz="0" w:space="0" w:color="auto"/>
        <w:left w:val="none" w:sz="0" w:space="0" w:color="auto"/>
        <w:bottom w:val="none" w:sz="0" w:space="0" w:color="auto"/>
        <w:right w:val="none" w:sz="0" w:space="0" w:color="auto"/>
      </w:divBdr>
    </w:div>
    <w:div w:id="242954757">
      <w:bodyDiv w:val="1"/>
      <w:marLeft w:val="0"/>
      <w:marRight w:val="0"/>
      <w:marTop w:val="0"/>
      <w:marBottom w:val="0"/>
      <w:divBdr>
        <w:top w:val="none" w:sz="0" w:space="0" w:color="auto"/>
        <w:left w:val="none" w:sz="0" w:space="0" w:color="auto"/>
        <w:bottom w:val="none" w:sz="0" w:space="0" w:color="auto"/>
        <w:right w:val="none" w:sz="0" w:space="0" w:color="auto"/>
      </w:divBdr>
    </w:div>
    <w:div w:id="314991831">
      <w:bodyDiv w:val="1"/>
      <w:marLeft w:val="0"/>
      <w:marRight w:val="0"/>
      <w:marTop w:val="0"/>
      <w:marBottom w:val="0"/>
      <w:divBdr>
        <w:top w:val="none" w:sz="0" w:space="0" w:color="auto"/>
        <w:left w:val="none" w:sz="0" w:space="0" w:color="auto"/>
        <w:bottom w:val="none" w:sz="0" w:space="0" w:color="auto"/>
        <w:right w:val="none" w:sz="0" w:space="0" w:color="auto"/>
      </w:divBdr>
    </w:div>
    <w:div w:id="423497227">
      <w:bodyDiv w:val="1"/>
      <w:marLeft w:val="0"/>
      <w:marRight w:val="0"/>
      <w:marTop w:val="0"/>
      <w:marBottom w:val="0"/>
      <w:divBdr>
        <w:top w:val="none" w:sz="0" w:space="0" w:color="auto"/>
        <w:left w:val="none" w:sz="0" w:space="0" w:color="auto"/>
        <w:bottom w:val="none" w:sz="0" w:space="0" w:color="auto"/>
        <w:right w:val="none" w:sz="0" w:space="0" w:color="auto"/>
      </w:divBdr>
    </w:div>
    <w:div w:id="945499381">
      <w:bodyDiv w:val="1"/>
      <w:marLeft w:val="0"/>
      <w:marRight w:val="0"/>
      <w:marTop w:val="0"/>
      <w:marBottom w:val="0"/>
      <w:divBdr>
        <w:top w:val="none" w:sz="0" w:space="0" w:color="auto"/>
        <w:left w:val="none" w:sz="0" w:space="0" w:color="auto"/>
        <w:bottom w:val="none" w:sz="0" w:space="0" w:color="auto"/>
        <w:right w:val="none" w:sz="0" w:space="0" w:color="auto"/>
      </w:divBdr>
    </w:div>
    <w:div w:id="1317880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eli/reg_del/2020/688/oj" TargetMode="External"/><Relationship Id="rId2" Type="http://schemas.openxmlformats.org/officeDocument/2006/relationships/hyperlink" Target="https://eur-lex.europa.eu/eli/reg_del/2023/2515/oj" TargetMode="External"/><Relationship Id="rId1" Type="http://schemas.openxmlformats.org/officeDocument/2006/relationships/hyperlink" Target="https://eur-lex.europa.eu/eli/reg_del/2020/688/oj" TargetMode="External"/><Relationship Id="rId5" Type="http://schemas.openxmlformats.org/officeDocument/2006/relationships/hyperlink" Target="https://eur-lex.europa.eu/eli/reg_del/2023/2515/oj" TargetMode="External"/><Relationship Id="rId4" Type="http://schemas.openxmlformats.org/officeDocument/2006/relationships/hyperlink" Target="https://eur-lex.europa.eu/eli/reg_impl/2018/1882/o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5d7c9a51-8868-4cc4-b189-61103d00211e">
      <Terms xmlns="http://schemas.microsoft.com/office/infopath/2007/PartnerControls"/>
    </TaxKeywordTaxHTField>
    <SANTEDomainTaxHTField0 xmlns="106cd98b-cca1-44ec-94ab-6b6592ec6cd2">
      <Terms xmlns="http://schemas.microsoft.com/office/infopath/2007/PartnerControls">
        <TermInfo xmlns="http://schemas.microsoft.com/office/infopath/2007/PartnerControls">
          <TermName xmlns="http://schemas.microsoft.com/office/infopath/2007/PartnerControls">Animal health</TermName>
          <TermId xmlns="http://schemas.microsoft.com/office/infopath/2007/PartnerControls">e0382be3-f955-4ae8-a5f1-86608f1924c3</TermId>
        </TermInfo>
      </Terms>
    </SANTEDomainTaxHTField0>
    <SANTEDocumentDate xmlns="106cd98b-cca1-44ec-94ab-6b6592ec6cd2">2023-06-14T22:00:00+00:00</SANTEDocumentDate>
    <TaxCatchAll xmlns="5d7c9a51-8868-4cc4-b189-61103d00211e">
      <Value>3</Value>
    </TaxCatchAll>
    <_dlc_DocId xmlns="5d7c9a51-8868-4cc4-b189-61103d00211e">U044-467758371-133</_dlc_DocId>
    <_dlc_DocIdUrl xmlns="5d7c9a51-8868-4cc4-b189-61103d00211e">
      <Url>https://workspaces.sante.cec.eu.int/units/044/docs/_layouts/15/DocIdRedir.aspx?ID=U044-467758371-133</Url>
      <Description>U044-467758371-133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E1EDE6C0A88422BAED8C106DF00215D006095B4AE4B4AC3428D7BEF958DD6705700A36E4EDE0C4A4A428B2C42A27AD5D004" ma:contentTypeVersion="61" ma:contentTypeDescription="Shared Document" ma:contentTypeScope="" ma:versionID="b1277ed4afa07a623d2764ee9112734b">
  <xsd:schema xmlns:xsd="http://www.w3.org/2001/XMLSchema" xmlns:xs="http://www.w3.org/2001/XMLSchema" xmlns:p="http://schemas.microsoft.com/office/2006/metadata/properties" xmlns:ns2="106cd98b-cca1-44ec-94ab-6b6592ec6cd2" xmlns:ns3="5d7c9a51-8868-4cc4-b189-61103d00211e" xmlns:ns4="1d7cdb7b-e4b1-4518-af95-43dedef12d7a" targetNamespace="http://schemas.microsoft.com/office/2006/metadata/properties" ma:root="true" ma:fieldsID="d7ed8bf0a26efdb3b70f1e6e5bb62066" ns2:_="" ns3:_="" ns4:_="">
    <xsd:import namespace="106cd98b-cca1-44ec-94ab-6b6592ec6cd2"/>
    <xsd:import namespace="5d7c9a51-8868-4cc4-b189-61103d00211e"/>
    <xsd:import namespace="1d7cdb7b-e4b1-4518-af95-43dedef12d7a"/>
    <xsd:element name="properties">
      <xsd:complexType>
        <xsd:sequence>
          <xsd:element name="documentManagement">
            <xsd:complexType>
              <xsd:all>
                <xsd:element ref="ns2:SANTEDocumentDate"/>
                <xsd:element ref="ns2:SANTEDomainTaxHTField0"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cd98b-cca1-44ec-94ab-6b6592ec6cd2" elementFormDefault="qualified">
    <xsd:import namespace="http://schemas.microsoft.com/office/2006/documentManagement/types"/>
    <xsd:import namespace="http://schemas.microsoft.com/office/infopath/2007/PartnerControls"/>
    <xsd:element name="SANTEDocumentDate" ma:index="8" ma:displayName="Document Date" ma:default="[today]" ma:format="DateOnly" ma:internalName="SANTEDocumentDate">
      <xsd:simpleType>
        <xsd:restriction base="dms:DateTime"/>
      </xsd:simpleType>
    </xsd:element>
    <xsd:element name="SANTEDomainTaxHTField0" ma:index="10" ma:taxonomy="true" ma:internalName="SANTEDomainTaxHTField0" ma:taxonomyFieldName="SANTEDomain" ma:displayName="Workarea" ma:default="" ma:fieldId="{e697ec44-dd8a-4164-bcf5-215ee7c580a1}" ma:taxonomyMulti="true" ma:sspId="0443a01b-d79d-4f0b-a265-41f74190fd92" ma:termSetId="435e1170-dc66-4797-88b2-8b71610677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7c9a51-8868-4cc4-b189-61103d00211e"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DG Keywords" ma:fieldId="{23f27201-bee3-471e-b2e7-b64fd8b7ca38}" ma:taxonomyMulti="true" ma:sspId="0443a01b-d79d-4f0b-a265-41f74190fd92"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5648d932-46cc-47e1-85eb-0f32f7a26316}" ma:internalName="TaxCatchAll" ma:showField="CatchAllData" ma:web="106cd98b-cca1-44ec-94ab-6b6592ec6cd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648d932-46cc-47e1-85eb-0f32f7a26316}" ma:internalName="TaxCatchAllLabel" ma:readOnly="true" ma:showField="CatchAllDataLabel" ma:web="106cd98b-cca1-44ec-94ab-6b6592ec6cd2">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7cdb7b-e4b1-4518-af95-43dedef12d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443a01b-d79d-4f0b-a265-41f74190fd92" ContentTypeId="0x010100DE1EDE6C0A88422BAED8C106DF00215D"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5D65A-A248-4E96-96A2-CFBAFCC63C2E}">
  <ds:schemaRefs>
    <ds:schemaRef ds:uri="http://schemas.microsoft.com/office/2006/metadata/properties"/>
    <ds:schemaRef ds:uri="http://schemas.microsoft.com/office/infopath/2007/PartnerControls"/>
    <ds:schemaRef ds:uri="5d7c9a51-8868-4cc4-b189-61103d00211e"/>
    <ds:schemaRef ds:uri="106cd98b-cca1-44ec-94ab-6b6592ec6cd2"/>
  </ds:schemaRefs>
</ds:datastoreItem>
</file>

<file path=customXml/itemProps2.xml><?xml version="1.0" encoding="utf-8"?>
<ds:datastoreItem xmlns:ds="http://schemas.openxmlformats.org/officeDocument/2006/customXml" ds:itemID="{37AA3C59-C0BA-4783-977F-0235663EED65}">
  <ds:schemaRefs>
    <ds:schemaRef ds:uri="http://schemas.microsoft.com/sharepoint/events"/>
  </ds:schemaRefs>
</ds:datastoreItem>
</file>

<file path=customXml/itemProps3.xml><?xml version="1.0" encoding="utf-8"?>
<ds:datastoreItem xmlns:ds="http://schemas.openxmlformats.org/officeDocument/2006/customXml" ds:itemID="{24A9971D-2251-4B31-9D1B-1425F4DBF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cd98b-cca1-44ec-94ab-6b6592ec6cd2"/>
    <ds:schemaRef ds:uri="5d7c9a51-8868-4cc4-b189-61103d00211e"/>
    <ds:schemaRef ds:uri="1d7cdb7b-e4b1-4518-af95-43dedef12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E05E7-0E8F-4279-BDAA-63D671E257AC}">
  <ds:schemaRefs>
    <ds:schemaRef ds:uri="Microsoft.SharePoint.Taxonomy.ContentTypeSync"/>
  </ds:schemaRefs>
</ds:datastoreItem>
</file>

<file path=customXml/itemProps5.xml><?xml version="1.0" encoding="utf-8"?>
<ds:datastoreItem xmlns:ds="http://schemas.openxmlformats.org/officeDocument/2006/customXml" ds:itemID="{AABFB0D5-19FF-448A-BEA2-98DBE8296178}">
  <ds:schemaRefs>
    <ds:schemaRef ds:uri="http://schemas.microsoft.com/sharepoint/v3/contenttype/forms"/>
  </ds:schemaRefs>
</ds:datastoreItem>
</file>

<file path=customXml/itemProps6.xml><?xml version="1.0" encoding="utf-8"?>
<ds:datastoreItem xmlns:ds="http://schemas.openxmlformats.org/officeDocument/2006/customXml" ds:itemID="{FE668F58-E243-4DF7-A912-92EEA5EB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8</Pages>
  <Words>2034</Words>
  <Characters>12410</Characters>
  <Application>Microsoft Office Word</Application>
  <DocSecurity>0</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596-EN R1</vt:lpstr>
      <vt:lpstr>596-EN R1</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596-EN R1</dc:title>
  <dc:subject>-</dc:subject>
  <dc:creator>ROSADO MARTIN Pedro (SANTE)</dc:creator>
  <cp:keywords/>
  <dc:description/>
  <cp:lastModifiedBy>Jacob Neumann Freisleben (FVST)</cp:lastModifiedBy>
  <cp:revision>2</cp:revision>
  <cp:lastPrinted>2024-03-07T10:15:00Z</cp:lastPrinted>
  <dcterms:created xsi:type="dcterms:W3CDTF">2024-03-18T10:50:00Z</dcterms:created>
  <dcterms:modified xsi:type="dcterms:W3CDTF">2024-03-18T10:50:00Z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8.0.25.0</vt:lpwstr>
  </property>
  <property fmtid="{D5CDD505-2E9C-101B-9397-08002B2CF9AE}" pid="4" name="Last edited using">
    <vt:lpwstr>LW 9.0, Build 20230317</vt:lpwstr>
  </property>
  <property fmtid="{D5CDD505-2E9C-101B-9397-08002B2CF9AE}" pid="5" name="MSIP_Label_6bd9ddd1-4d20-43f6-abfa-fc3c07406f94_Enabled">
    <vt:lpwstr>true</vt:lpwstr>
  </property>
  <property fmtid="{D5CDD505-2E9C-101B-9397-08002B2CF9AE}" pid="6" name="MSIP_Label_6bd9ddd1-4d20-43f6-abfa-fc3c07406f94_SetDate">
    <vt:lpwstr>2023-02-27T13:15:29Z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3839db90-0d51-4d79-bec8-b34b68fe7891</vt:lpwstr>
  </property>
  <property fmtid="{D5CDD505-2E9C-101B-9397-08002B2CF9AE}" pid="11" name="MSIP_Label_6bd9ddd1-4d20-43f6-abfa-fc3c07406f94_ContentBits">
    <vt:lpwstr>0</vt:lpwstr>
  </property>
  <property fmtid="{D5CDD505-2E9C-101B-9397-08002B2CF9AE}" pid="12" name="Created using">
    <vt:lpwstr>LW 8.1, Build 20230124</vt:lpwstr>
  </property>
  <property fmtid="{D5CDD505-2E9C-101B-9397-08002B2CF9AE}" pid="13" name="Part">
    <vt:lpwstr>1</vt:lpwstr>
  </property>
  <property fmtid="{D5CDD505-2E9C-101B-9397-08002B2CF9AE}" pid="14" name="Total parts">
    <vt:lpwstr>1</vt:lpwstr>
  </property>
  <property fmtid="{D5CDD505-2E9C-101B-9397-08002B2CF9AE}" pid="15" name="Level of sensitivity">
    <vt:lpwstr>Standard treatment</vt:lpwstr>
  </property>
  <property fmtid="{D5CDD505-2E9C-101B-9397-08002B2CF9AE}" pid="16" name="LWTemplateID">
    <vt:lpwstr>SJ-003</vt:lpwstr>
  </property>
  <property fmtid="{D5CDD505-2E9C-101B-9397-08002B2CF9AE}" pid="17" name="ContentTypeId">
    <vt:lpwstr>0x010100DE1EDE6C0A88422BAED8C106DF00215D006095B4AE4B4AC3428D7BEF958DD6705700A36E4EDE0C4A4A428B2C42A27AD5D004</vt:lpwstr>
  </property>
  <property fmtid="{D5CDD505-2E9C-101B-9397-08002B2CF9AE}" pid="18" name="_dlc_DocIdItemGuid">
    <vt:lpwstr>bf1d5d6e-ba97-47fd-927f-69a553c36cd4</vt:lpwstr>
  </property>
  <property fmtid="{D5CDD505-2E9C-101B-9397-08002B2CF9AE}" pid="19" name="TaxKeyword">
    <vt:lpwstr/>
  </property>
  <property fmtid="{D5CDD505-2E9C-101B-9397-08002B2CF9AE}" pid="20" name="SANTEDomain">
    <vt:lpwstr>3;#Animal health|e0382be3-f955-4ae8-a5f1-86608f1924c3</vt:lpwstr>
  </property>
  <property fmtid="{D5CDD505-2E9C-101B-9397-08002B2CF9AE}" pid="21" name="DQCStatus">
    <vt:lpwstr>Yellow (DQC version 03)</vt:lpwstr>
  </property>
</Properties>
</file>