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22C3" w14:textId="77777777" w:rsidR="00A97B78" w:rsidRPr="00481026" w:rsidRDefault="00A84A6C" w:rsidP="00A84A6C">
      <w:pPr>
        <w:tabs>
          <w:tab w:val="left" w:pos="1793"/>
          <w:tab w:val="center" w:pos="4904"/>
        </w:tabs>
        <w:spacing w:before="100" w:beforeAutospacing="1" w:line="240" w:lineRule="auto"/>
        <w:ind w:firstLine="170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a-DK"/>
        </w:rPr>
        <w:tab/>
      </w:r>
      <w:r w:rsidR="00A97B78" w:rsidRPr="00481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a-DK"/>
        </w:rPr>
        <w:t>UDKAST</w:t>
      </w:r>
    </w:p>
    <w:p w14:paraId="21C847E4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</w:t>
      </w:r>
    </w:p>
    <w:p w14:paraId="1B7AC062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Forslag</w:t>
      </w:r>
    </w:p>
    <w:p w14:paraId="4F333F2D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</w:t>
      </w:r>
    </w:p>
    <w:p w14:paraId="7C0B7770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Lov om ændring af lov </w:t>
      </w:r>
      <w:r w:rsidR="004269EF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om</w:t>
      </w:r>
      <w:r w:rsidR="00E12D0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midlertidig regulering af boligforholdene</w:t>
      </w:r>
      <w:r w:rsidR="00F60F2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4269EF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</w:t>
      </w:r>
      <w:r w:rsidR="00E756F8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EF5A33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lov om leje af almene boliger</w:t>
      </w:r>
    </w:p>
    <w:p w14:paraId="5EF1F893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</w:t>
      </w:r>
      <w:r w:rsidR="00C913F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Forsøg med undladelse af beløbsopkrævning ved</w:t>
      </w:r>
      <w:r w:rsidR="00C913F6" w:rsidRPr="00C913F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indbringelse af sager for husleje-, anke- og beboerklagenævnene</w:t>
      </w: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)</w:t>
      </w:r>
    </w:p>
    <w:p w14:paraId="03DA0708" w14:textId="77777777" w:rsidR="00D02B99" w:rsidRPr="00481026" w:rsidRDefault="00D02B99" w:rsidP="00D02B9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  <w:t>§ 1</w:t>
      </w:r>
    </w:p>
    <w:p w14:paraId="5E4C7966" w14:textId="77777777" w:rsidR="005E5642" w:rsidRPr="00F51D01" w:rsidRDefault="005E5642" w:rsidP="00F51D01">
      <w:pPr>
        <w:spacing w:before="100" w:beforeAutospacing="1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da-DK"/>
        </w:rPr>
      </w:pPr>
      <w:r w:rsidRPr="00F51D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 lov om midlertidig regulering af boligforholdene, jf. lovbekendtgørelse nr. 929 af 4. september 2019, som ændret senest ved § 2 i lov nr. 2077 af 21. december 2020 foretages følgende ændringer:</w:t>
      </w:r>
    </w:p>
    <w:p w14:paraId="36DA2070" w14:textId="77777777" w:rsidR="00F60F25" w:rsidRDefault="00F60F25" w:rsidP="0057110C">
      <w:pPr>
        <w:pStyle w:val="Listeafsnit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I </w:t>
      </w:r>
      <w:r w:rsidRPr="00F51D0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§ 39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indsættes efter stk. 1 som nyt stykke:</w:t>
      </w:r>
    </w:p>
    <w:p w14:paraId="691B2F1E" w14:textId="77777777" w:rsidR="00F60F25" w:rsidRDefault="00F60F25" w:rsidP="00F51D01">
      <w:pPr>
        <w:spacing w:before="100" w:beforeAutospacing="1" w:line="240" w:lineRule="auto"/>
        <w:ind w:left="17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»</w:t>
      </w:r>
      <w:r w:rsidRPr="00F51D0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Stk. 2.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 w:rsidR="000F57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Indenrigs- og b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oligministeren kan fastsætte nærmere regler om </w:t>
      </w:r>
      <w:r w:rsidR="0019744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forsøg, hvorefter huslejenævnet</w:t>
      </w:r>
      <w:r w:rsidR="000F57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 w:rsidR="0019744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kan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undlade at opkræve </w:t>
      </w:r>
      <w:r w:rsidR="000F57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de i stk. 1, 2. og 3. pkt. nævnte 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beløb </w:t>
      </w:r>
      <w:r w:rsidR="000F57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for 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indbringelse af sager for huslejenævnet.«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br/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Stk. 2 og 3 bliver herefter stk. 3 og 4.</w:t>
      </w:r>
    </w:p>
    <w:p w14:paraId="52EB8836" w14:textId="77777777" w:rsidR="00F60F25" w:rsidRPr="00350809" w:rsidRDefault="00F60F25" w:rsidP="00F51D01">
      <w:pPr>
        <w:spacing w:before="100" w:beforeAutospacing="1" w:line="240" w:lineRule="auto"/>
        <w:ind w:left="17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</w:p>
    <w:p w14:paraId="30D55230" w14:textId="77777777" w:rsidR="00527EE1" w:rsidRPr="00F51D01" w:rsidRDefault="00F60F25" w:rsidP="00F51D01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1D0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</w:t>
      </w:r>
      <w:r w:rsidRPr="00F51D0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§ 44, stk. 4, 1. pkt.</w:t>
      </w:r>
      <w:r w:rsidRPr="00F51D01">
        <w:rPr>
          <w:rFonts w:ascii="Times New Roman" w:eastAsia="Times New Roman" w:hAnsi="Times New Roman" w:cs="Times New Roman"/>
          <w:sz w:val="24"/>
          <w:szCs w:val="24"/>
          <w:lang w:eastAsia="da-DK"/>
        </w:rPr>
        <w:t>, indsættes efter »ankenævnet«: », jf. dog stk. 5«.</w:t>
      </w:r>
    </w:p>
    <w:p w14:paraId="02BEDBB9" w14:textId="77777777" w:rsidR="00F60F25" w:rsidRPr="00F51D01" w:rsidRDefault="00F60F25" w:rsidP="00F51D01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1D0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</w:t>
      </w:r>
      <w:r w:rsidRPr="00F51D01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§ 44</w:t>
      </w:r>
      <w:r w:rsidRPr="00F51D0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indsættes efter stk. 4 som et nyt stykke:</w:t>
      </w:r>
    </w:p>
    <w:p w14:paraId="6F000B57" w14:textId="77777777" w:rsidR="00F60F25" w:rsidRPr="00F51D01" w:rsidRDefault="00F60F25" w:rsidP="00F51D01">
      <w:pPr>
        <w:ind w:left="170"/>
        <w:rPr>
          <w:rFonts w:ascii="Times New Roman" w:hAnsi="Times New Roman" w:cs="Times New Roman"/>
          <w:i/>
          <w:sz w:val="24"/>
          <w:szCs w:val="24"/>
        </w:rPr>
      </w:pPr>
    </w:p>
    <w:p w14:paraId="6FBFFF37" w14:textId="77777777" w:rsidR="00F60F25" w:rsidRPr="00F51D01" w:rsidRDefault="00F60F25" w:rsidP="00F51D01">
      <w:pPr>
        <w:ind w:left="170"/>
        <w:rPr>
          <w:rFonts w:ascii="Times New Roman" w:hAnsi="Times New Roman" w:cs="Times New Roman"/>
        </w:rPr>
      </w:pPr>
      <w:r w:rsidRPr="00F51D01">
        <w:rPr>
          <w:rFonts w:ascii="Times New Roman" w:hAnsi="Times New Roman" w:cs="Times New Roman"/>
          <w:i/>
          <w:sz w:val="24"/>
          <w:szCs w:val="24"/>
        </w:rPr>
        <w:t xml:space="preserve">»Stk. 5. </w:t>
      </w:r>
      <w:r w:rsidR="000F5718">
        <w:rPr>
          <w:rFonts w:ascii="Times New Roman" w:hAnsi="Times New Roman" w:cs="Times New Roman"/>
          <w:sz w:val="24"/>
          <w:szCs w:val="24"/>
        </w:rPr>
        <w:t>Indenrigs- og b</w:t>
      </w:r>
      <w:r w:rsidRPr="00F51D01">
        <w:rPr>
          <w:rFonts w:ascii="Times New Roman" w:hAnsi="Times New Roman" w:cs="Times New Roman"/>
          <w:sz w:val="24"/>
          <w:szCs w:val="24"/>
        </w:rPr>
        <w:t xml:space="preserve">oligministeren kan fastsætte nærmere regler om </w:t>
      </w:r>
      <w:r w:rsidR="00197447">
        <w:rPr>
          <w:rFonts w:ascii="Times New Roman" w:hAnsi="Times New Roman" w:cs="Times New Roman"/>
          <w:sz w:val="24"/>
          <w:szCs w:val="24"/>
        </w:rPr>
        <w:t>forsøg, hvorefter ankenævnet kan</w:t>
      </w:r>
      <w:r w:rsidRPr="00F51D01">
        <w:rPr>
          <w:rFonts w:ascii="Times New Roman" w:hAnsi="Times New Roman" w:cs="Times New Roman"/>
          <w:sz w:val="24"/>
          <w:szCs w:val="24"/>
        </w:rPr>
        <w:t xml:space="preserve"> undlade at opkræve beløb</w:t>
      </w:r>
      <w:r w:rsidR="002C2355">
        <w:rPr>
          <w:rFonts w:ascii="Times New Roman" w:hAnsi="Times New Roman" w:cs="Times New Roman"/>
          <w:sz w:val="24"/>
          <w:szCs w:val="24"/>
        </w:rPr>
        <w:t xml:space="preserve"> </w:t>
      </w:r>
      <w:r w:rsidR="00253302">
        <w:rPr>
          <w:rFonts w:ascii="Times New Roman" w:hAnsi="Times New Roman" w:cs="Times New Roman"/>
          <w:sz w:val="24"/>
          <w:szCs w:val="24"/>
        </w:rPr>
        <w:t>efter</w:t>
      </w:r>
      <w:r w:rsidR="002C2355">
        <w:rPr>
          <w:rFonts w:ascii="Times New Roman" w:hAnsi="Times New Roman" w:cs="Times New Roman"/>
          <w:sz w:val="24"/>
          <w:szCs w:val="24"/>
        </w:rPr>
        <w:t xml:space="preserve"> stk. 4</w:t>
      </w:r>
      <w:r w:rsidRPr="00F51D01">
        <w:rPr>
          <w:rFonts w:ascii="Times New Roman" w:hAnsi="Times New Roman" w:cs="Times New Roman"/>
          <w:sz w:val="24"/>
          <w:szCs w:val="24"/>
        </w:rPr>
        <w:t xml:space="preserve"> for indbringelse af sager for </w:t>
      </w:r>
      <w:r w:rsidR="00197447">
        <w:rPr>
          <w:rFonts w:ascii="Times New Roman" w:hAnsi="Times New Roman" w:cs="Times New Roman"/>
          <w:sz w:val="24"/>
          <w:szCs w:val="24"/>
        </w:rPr>
        <w:t>ankenævnet</w:t>
      </w:r>
      <w:r w:rsidRPr="00F51D01">
        <w:rPr>
          <w:rFonts w:ascii="Times New Roman" w:hAnsi="Times New Roman" w:cs="Times New Roman"/>
          <w:sz w:val="24"/>
          <w:szCs w:val="24"/>
        </w:rPr>
        <w:t>.«</w:t>
      </w:r>
      <w:r w:rsidRPr="00F51D01">
        <w:rPr>
          <w:rFonts w:ascii="Times New Roman" w:hAnsi="Times New Roman" w:cs="Times New Roman"/>
          <w:sz w:val="24"/>
          <w:szCs w:val="24"/>
        </w:rPr>
        <w:br/>
        <w:t>Stk. 5 og 6 bliver herefter stk. 6 og 7.</w:t>
      </w:r>
    </w:p>
    <w:p w14:paraId="33AEE66E" w14:textId="77777777" w:rsidR="00F60F25" w:rsidRPr="00350809" w:rsidRDefault="00F60F25" w:rsidP="00F51D01">
      <w:pPr>
        <w:ind w:left="170"/>
        <w:rPr>
          <w:rFonts w:eastAsia="Times New Roman"/>
          <w:lang w:eastAsia="da-DK"/>
        </w:rPr>
      </w:pPr>
    </w:p>
    <w:p w14:paraId="57CAD0C4" w14:textId="77777777" w:rsidR="00D07BC6" w:rsidRPr="00481026" w:rsidRDefault="00D07BC6" w:rsidP="00D07BC6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  <w:t xml:space="preserve">§ </w:t>
      </w:r>
      <w:r w:rsidR="00671A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  <w:t>2</w:t>
      </w:r>
    </w:p>
    <w:p w14:paraId="1AB7E1FF" w14:textId="77777777" w:rsidR="00D07BC6" w:rsidRPr="00481026" w:rsidRDefault="00F60F25" w:rsidP="00D07BC6">
      <w:pPr>
        <w:spacing w:before="100" w:beforeAutospacing="1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da-DK"/>
        </w:rPr>
      </w:pPr>
      <w:r w:rsidRPr="00F60F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 lov om leje af almene boliger, jf. lovbekendtgørelse nr. 928 af 4. september 2019, som</w:t>
      </w:r>
      <w:r w:rsidR="005E56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senest ændret</w:t>
      </w:r>
      <w:r w:rsidRPr="00F60F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ved § 2 i lov nr. 529 af 27. marts 2021 foretages følgende ændringer:</w:t>
      </w:r>
    </w:p>
    <w:p w14:paraId="1B65B19B" w14:textId="77777777" w:rsidR="00D07BC6" w:rsidRDefault="00F60F25" w:rsidP="00F60F25">
      <w:pPr>
        <w:pStyle w:val="Listeafsnit"/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F51D0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I </w:t>
      </w:r>
      <w:r w:rsidRPr="00F60F2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§ 102, stk. 1, 2. pkt. </w:t>
      </w:r>
      <w:r w:rsidRPr="00F51D01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indsættes efter »sag«: », jf. dog stk. 2«</w:t>
      </w:r>
    </w:p>
    <w:p w14:paraId="275B431A" w14:textId="77777777" w:rsidR="00F60F25" w:rsidRDefault="00F60F25" w:rsidP="00F60F25">
      <w:pPr>
        <w:pStyle w:val="Listeafsnit"/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I </w:t>
      </w:r>
      <w:r w:rsidRPr="00F51D0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§ 102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indsættes efter stk. 1 som et nyt stykke:</w:t>
      </w:r>
    </w:p>
    <w:p w14:paraId="732A1455" w14:textId="77777777" w:rsidR="00F60F25" w:rsidRPr="00F51D01" w:rsidRDefault="00F60F25" w:rsidP="00F51D01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»</w:t>
      </w:r>
      <w:r w:rsidRPr="00F51D0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Stk. 2.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 w:rsidR="000F57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Indenrigs- og b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oligministeren kan fastsætte nærmere regler om</w:t>
      </w:r>
      <w:r w:rsidR="0019744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forsøg, hvorefter beboerklagenævnet kan 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undlade at opkræve beløb</w:t>
      </w:r>
      <w:r w:rsidR="0025330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efter stk. 1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for indbringelse af sager for </w:t>
      </w:r>
      <w:r w:rsidR="0019744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beboerklagenævnet</w:t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. «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br/>
      </w: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Stk. 2 bliver herefter stk. 3.</w:t>
      </w:r>
    </w:p>
    <w:p w14:paraId="305B038E" w14:textId="77777777" w:rsidR="00366CE1" w:rsidRPr="00481026" w:rsidRDefault="00366CE1" w:rsidP="00366CE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EA43009" w14:textId="77777777" w:rsidR="0011487E" w:rsidRPr="00481026" w:rsidRDefault="009B0FD2" w:rsidP="001148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§ </w:t>
      </w:r>
      <w:r w:rsidR="00671A8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3</w:t>
      </w:r>
    </w:p>
    <w:p w14:paraId="6BD38DC0" w14:textId="77777777" w:rsidR="0011487E" w:rsidRPr="00481026" w:rsidRDefault="0011487E" w:rsidP="001148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DF1FFB4" w14:textId="77777777" w:rsidR="007A4C16" w:rsidRDefault="0011487E" w:rsidP="00911860">
      <w:pP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Loven træder i kraft den 1. </w:t>
      </w:r>
      <w:r w:rsidR="00395748"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>januar 202</w:t>
      </w:r>
      <w:r w:rsidR="00F60F25"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  <w:r w:rsidR="007A4C1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</w:t>
      </w:r>
    </w:p>
    <w:p w14:paraId="37EB6718" w14:textId="77777777" w:rsidR="00A97B78" w:rsidRPr="00481026" w:rsidRDefault="00A97B78" w:rsidP="009118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CDEE13A" w14:textId="77777777" w:rsidR="00A97B78" w:rsidRPr="00481026" w:rsidRDefault="00A97B78" w:rsidP="00A97B7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da-DK"/>
        </w:rPr>
        <w:t>Bemærkninger til ændringslovforslaget</w:t>
      </w:r>
    </w:p>
    <w:p w14:paraId="6D736248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Almindelige bemærkninger</w:t>
      </w:r>
    </w:p>
    <w:p w14:paraId="7E8E59CA" w14:textId="77777777" w:rsidR="00A97B78" w:rsidRPr="00481026" w:rsidRDefault="00A97B78" w:rsidP="00A97B78">
      <w:pPr>
        <w:spacing w:before="100" w:beforeAutospacing="1" w:line="240" w:lineRule="auto"/>
        <w:ind w:firstLine="17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Indholdsfortegnelse</w:t>
      </w:r>
    </w:p>
    <w:p w14:paraId="3617A17B" w14:textId="77777777" w:rsidR="00A97B78" w:rsidRPr="00481026" w:rsidRDefault="00A97B78" w:rsidP="00A97B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Indledning</w:t>
      </w:r>
    </w:p>
    <w:p w14:paraId="439AB257" w14:textId="77777777" w:rsidR="00A97B78" w:rsidRPr="00481026" w:rsidRDefault="00A97B78" w:rsidP="00A97B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Lovforslagets hovedpunkter</w:t>
      </w:r>
    </w:p>
    <w:p w14:paraId="20B89876" w14:textId="77777777" w:rsidR="00A97B78" w:rsidRPr="00481026" w:rsidRDefault="00A97B78" w:rsidP="00504ECC">
      <w:pPr>
        <w:tabs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2.</w:t>
      </w:r>
      <w:r w:rsidR="00671A8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1</w:t>
      </w:r>
      <w:r w:rsidR="00504ECC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.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</w:t>
      </w:r>
      <w:r w:rsidR="00504ECC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ab/>
      </w:r>
      <w:r w:rsidR="005E564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Forsøg med undladelse af beløbsopkrævning ved</w:t>
      </w:r>
      <w:r w:rsidR="005E5642" w:rsidRPr="00C913F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indbringelse af sager for husleje-, anke- og beboerklagenævnene</w:t>
      </w:r>
    </w:p>
    <w:p w14:paraId="64BDAD13" w14:textId="77777777" w:rsidR="001D2D04" w:rsidRPr="00481026" w:rsidRDefault="001D2D04" w:rsidP="00504ECC">
      <w:pPr>
        <w:tabs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2.</w:t>
      </w:r>
      <w:r w:rsidR="00671A8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.1</w:t>
      </w:r>
      <w:r w:rsidR="00504ECC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.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</w:t>
      </w:r>
      <w:r w:rsidR="00504ECC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ab/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Gældende ret</w:t>
      </w:r>
    </w:p>
    <w:p w14:paraId="5BA5934F" w14:textId="77777777" w:rsidR="001D2D04" w:rsidRPr="00481026" w:rsidRDefault="001D2D04" w:rsidP="00504ECC">
      <w:pPr>
        <w:tabs>
          <w:tab w:val="left" w:pos="1701"/>
        </w:tabs>
        <w:spacing w:line="240" w:lineRule="auto"/>
        <w:ind w:left="108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2.</w:t>
      </w:r>
      <w:r w:rsidR="00671A8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.2</w:t>
      </w:r>
      <w:r w:rsidR="00504ECC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.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</w:t>
      </w:r>
      <w:r w:rsidR="00504ECC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ab/>
      </w:r>
      <w:r w:rsidR="005E564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Indenrigs-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og Boligministeriets overvejelser</w:t>
      </w:r>
      <w:r w:rsidR="00274C1A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og den foreslåede ordning</w:t>
      </w:r>
    </w:p>
    <w:p w14:paraId="7A111CA1" w14:textId="77777777" w:rsidR="00A97B78" w:rsidRPr="00481026" w:rsidRDefault="00A97B78" w:rsidP="00A97B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Økonomiske</w:t>
      </w:r>
      <w:r w:rsidR="000F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konsekvenser </w:t>
      </w:r>
      <w:r w:rsidR="000F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og implementeringskonsekvenser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for det offentlige</w:t>
      </w:r>
    </w:p>
    <w:p w14:paraId="7D845202" w14:textId="77777777" w:rsidR="00A97B78" w:rsidRPr="00481026" w:rsidRDefault="000F5C66" w:rsidP="00A97B7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Økonomiske og a</w:t>
      </w:r>
      <w:r w:rsidR="00A97B78"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dministrative konsekvenser for erhvervslivet m.v.</w:t>
      </w:r>
    </w:p>
    <w:p w14:paraId="584B0AF0" w14:textId="77777777" w:rsidR="00A97B78" w:rsidRPr="00481026" w:rsidRDefault="00A97B78" w:rsidP="00A97B78">
      <w:pPr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Administrative konsekvenser for borgerne</w:t>
      </w:r>
    </w:p>
    <w:p w14:paraId="51EF8EE6" w14:textId="77777777" w:rsidR="00A97B78" w:rsidRPr="00481026" w:rsidRDefault="008E20CA" w:rsidP="00A97B78">
      <w:pPr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Klima- og m</w:t>
      </w:r>
      <w:r w:rsidR="00A97B78"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iljømæssige konsekvenser</w:t>
      </w:r>
    </w:p>
    <w:p w14:paraId="6E49F51A" w14:textId="77777777" w:rsidR="00A97B78" w:rsidRPr="00481026" w:rsidRDefault="00A97B78" w:rsidP="00A97B78">
      <w:pPr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Forholdet til EU-retten</w:t>
      </w:r>
    </w:p>
    <w:p w14:paraId="264CE7B3" w14:textId="77777777" w:rsidR="00A97B78" w:rsidRPr="00481026" w:rsidRDefault="00A97B78" w:rsidP="00A97B78">
      <w:pPr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Hørte myndigheder og organisationer</w:t>
      </w:r>
    </w:p>
    <w:p w14:paraId="6F617E3D" w14:textId="77777777" w:rsidR="00A97B78" w:rsidRPr="00481026" w:rsidRDefault="00A97B78" w:rsidP="00A97B78">
      <w:pPr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Sammenfattende skema</w:t>
      </w:r>
    </w:p>
    <w:p w14:paraId="0A34DD8E" w14:textId="77777777" w:rsidR="00A97B78" w:rsidRPr="00481026" w:rsidRDefault="00A97B78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1. Indledning</w:t>
      </w:r>
    </w:p>
    <w:p w14:paraId="29243993" w14:textId="77777777" w:rsidR="004C6804" w:rsidRDefault="004C6804" w:rsidP="00A97B7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6DC17D96" w14:textId="77777777" w:rsidR="00350809" w:rsidRDefault="005E5642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Lovforslaget </w:t>
      </w:r>
      <w:r w:rsidR="008F27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fremsættes på baggrund af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udfordringsretten</w:t>
      </w:r>
      <w:r w:rsidR="003508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, som har til formål at bidrage til at udvikle nye løsninger, ved at der bl.a. gives kommuner mulighed for at gøre opmærksom på uhensigtsmæssigheder eller begrænsninger i lovgivningen.</w:t>
      </w:r>
    </w:p>
    <w:p w14:paraId="32FBE4BF" w14:textId="77777777" w:rsidR="00350809" w:rsidRDefault="00350809" w:rsidP="00A97B7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0483339B" w14:textId="77777777" w:rsidR="00EA3A73" w:rsidRDefault="00350809" w:rsidP="00C517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Udfordringsretten har her været anvendt af Københavns Kommune til at påpege en oplevet uhensigtsmæssighed ved begrænsning i borgeres adgang til at få prøvet deres sager hos husleje-, anke- eller beboerklagenævnene, som følge af kravet om betaling af</w:t>
      </w:r>
      <w:r w:rsidR="00E830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et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beløb.</w:t>
      </w:r>
    </w:p>
    <w:p w14:paraId="385F67F9" w14:textId="77777777" w:rsidR="00EA3A73" w:rsidRDefault="00EA3A73" w:rsidP="00C517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3F248ACE" w14:textId="77777777" w:rsidR="00C517D0" w:rsidRPr="00481026" w:rsidRDefault="00C517D0" w:rsidP="00C517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Som led i udfordringsretten foreslås </w:t>
      </w:r>
      <w:r w:rsidR="00E830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der </w:t>
      </w:r>
      <w:r w:rsidR="00131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derfor </w:t>
      </w:r>
      <w:r w:rsidRPr="004810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indsat hjem</w:t>
      </w:r>
      <w:r w:rsidR="00E830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mel</w:t>
      </w:r>
      <w:r w:rsidRPr="004810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i </w:t>
      </w:r>
      <w:r w:rsidR="003508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lov om midlertidig regulering af boligforholdene, jf. </w:t>
      </w:r>
      <w:r w:rsidR="00350809" w:rsidRPr="00F60F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lovbekendtgørels</w:t>
      </w:r>
      <w:r w:rsidR="003508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e nr. 929 af 4. september 2019</w:t>
      </w:r>
      <w:r w:rsidR="00E830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,</w:t>
      </w:r>
      <w:r w:rsidR="003508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til at indenrigs- og boligministeren ved bekendtgørelse</w:t>
      </w:r>
      <w:r w:rsidR="00E830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kan</w:t>
      </w:r>
      <w:r w:rsidR="003508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fastsætte regler for, hvornår husleje- og ankenævn kan undlade at opkræve betaling ved indbringelse af sager, ligesom der foreslås indsat hjemmel i </w:t>
      </w:r>
      <w:r w:rsidR="003A3F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leje af almene boliger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, jf. lovbekendtgørelse nr. 928 af 11.</w:t>
      </w:r>
      <w:r w:rsidR="003A3F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september 2019,</w:t>
      </w:r>
      <w:r w:rsidRPr="004810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til at </w:t>
      </w:r>
      <w:r w:rsidR="003508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lade indenrigs- og boligministeren ved bekendtgørelse fastsætte regler for, hvornår beboerklagenævnet kan undlade at opkræve betaling ved indbringelse af sager.</w:t>
      </w:r>
      <w:r w:rsidRPr="004810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</w:t>
      </w:r>
    </w:p>
    <w:p w14:paraId="77EDE862" w14:textId="77777777" w:rsidR="00C517D0" w:rsidRPr="00481026" w:rsidRDefault="00C517D0" w:rsidP="00C517D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14:paraId="7CF8F8D9" w14:textId="77777777" w:rsidR="00A97B78" w:rsidRPr="00481026" w:rsidRDefault="00A97B78" w:rsidP="00A84A6C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2.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Lovforslagets hovedpunkter</w:t>
      </w:r>
    </w:p>
    <w:p w14:paraId="766FA9C5" w14:textId="77777777" w:rsidR="00C517D0" w:rsidRPr="00481026" w:rsidRDefault="00C517D0" w:rsidP="00C517D0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2.</w:t>
      </w:r>
      <w:r w:rsidR="002D42C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1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.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</w:t>
      </w:r>
      <w:r w:rsidR="00C913F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Forsøg med undladelse af beløbsopkrævning ved</w:t>
      </w:r>
      <w:r w:rsidR="00C913F6" w:rsidRPr="00C913F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indbringelse af sager for husleje-, anke- og beboerklagenævnene</w:t>
      </w:r>
    </w:p>
    <w:p w14:paraId="34D0DE08" w14:textId="77777777" w:rsidR="00C517D0" w:rsidRPr="00481026" w:rsidRDefault="00C517D0" w:rsidP="00C517D0">
      <w:pPr>
        <w:spacing w:line="240" w:lineRule="auto"/>
        <w:ind w:left="-1080" w:firstLine="108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</w:p>
    <w:p w14:paraId="4BE2AF4C" w14:textId="77777777" w:rsidR="00C517D0" w:rsidRPr="00481026" w:rsidRDefault="00C517D0" w:rsidP="00C517D0">
      <w:pP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2.</w:t>
      </w:r>
      <w:r w:rsidR="002D4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</w:t>
      </w: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Gældende ret</w:t>
      </w:r>
    </w:p>
    <w:p w14:paraId="526BE102" w14:textId="77777777" w:rsidR="00AE224E" w:rsidRDefault="00AE224E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A3E0DF" w14:textId="77777777" w:rsidR="00DD4665" w:rsidRPr="00481026" w:rsidRDefault="00C913F6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Efter den gældende lovgivning har</w:t>
      </w:r>
      <w:r w:rsidR="004C3B5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ved indbringelse af sager for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husleje-, anke- eller beboerklagenævn pligt til at </w:t>
      </w:r>
      <w:r w:rsidR="004C3B5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indbetale et beløb. </w:t>
      </w:r>
    </w:p>
    <w:p w14:paraId="1CF68801" w14:textId="77777777" w:rsidR="00C517D0" w:rsidRPr="00481026" w:rsidRDefault="00C517D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8CC62A9" w14:textId="77777777" w:rsidR="00C913F6" w:rsidRDefault="00C913F6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Ifølge boligreguleringslovens § 39, stk. 1, 3. pkt., skal der ved indbringelse af sager for huslejenævnet betales et beløb på kr. 315 for hver sag. I henhold til 4. pkt., skal der dog ved indbringelse af sager efter § 59 a, stk. 4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lov om leje betales et beløb på kr. 526. Indbringes sager efter § 5, stk. 3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lov om midlertidig regulering af boligforholdene betales et beløb på kr. 4.016. </w:t>
      </w:r>
      <w:r w:rsid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>Beløbene reguleres én gang årligt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efter </w:t>
      </w:r>
      <w:r w:rsid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>udviklingen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Danmarks Statistiks nettoprisindeks.</w:t>
      </w:r>
    </w:p>
    <w:p w14:paraId="13F1AE23" w14:textId="77777777" w:rsidR="00C913F6" w:rsidRDefault="00C913F6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9B225CB" w14:textId="77777777" w:rsidR="00C913F6" w:rsidRDefault="004C3B5D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Ifølge boligreguleringslovens § 44, stk. 4, skal der betales </w:t>
      </w:r>
      <w:r w:rsid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>et beløb på 16</w:t>
      </w:r>
      <w:r w:rsidRPr="004C3B5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6 kr. for hver lejlighed eller lokale, hvorom afgørelse indbringes for ankenævnet. </w:t>
      </w:r>
      <w:r w:rsid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Beløbet reguleres én gang årligt </w:t>
      </w:r>
      <w:r w:rsidRPr="004C3B5D">
        <w:rPr>
          <w:rFonts w:ascii="Times New Roman" w:eastAsia="Times New Roman" w:hAnsi="Times New Roman" w:cs="Times New Roman"/>
          <w:sz w:val="24"/>
          <w:szCs w:val="24"/>
          <w:lang w:eastAsia="da-DK"/>
        </w:rPr>
        <w:t>efter udviklingen i Danm</w:t>
      </w:r>
      <w:r w:rsid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>arks Statistiks nettoprisindeks.</w:t>
      </w:r>
    </w:p>
    <w:p w14:paraId="0260B59D" w14:textId="77777777" w:rsidR="008A3250" w:rsidRDefault="008A325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3240BD8" w14:textId="77777777" w:rsidR="008A3250" w:rsidRDefault="008A3250" w:rsidP="008A325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Ifølge almenlejelovens § 102, stk. 1, 3. pkt., skal der ved</w:t>
      </w:r>
      <w:r w:rsidRP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indbringelse af sager betales et beløb på 1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47</w:t>
      </w:r>
      <w:r w:rsidRPr="008A32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kr. for hver sag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Beløbet reguleres én gang årligt </w:t>
      </w:r>
      <w:r w:rsidRPr="004C3B5D">
        <w:rPr>
          <w:rFonts w:ascii="Times New Roman" w:eastAsia="Times New Roman" w:hAnsi="Times New Roman" w:cs="Times New Roman"/>
          <w:sz w:val="24"/>
          <w:szCs w:val="24"/>
          <w:lang w:eastAsia="da-DK"/>
        </w:rPr>
        <w:t>efter udviklingen i Danm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arks Statistiks nettoprisindeks.</w:t>
      </w:r>
    </w:p>
    <w:p w14:paraId="28E74613" w14:textId="77777777" w:rsidR="00C517D0" w:rsidRPr="00481026" w:rsidRDefault="00C517D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B7800E5" w14:textId="77777777" w:rsidR="002D42CB" w:rsidRDefault="00C517D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ikke hjemmel i</w:t>
      </w: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2D42CB">
        <w:rPr>
          <w:rFonts w:ascii="Times New Roman" w:eastAsia="Times New Roman" w:hAnsi="Times New Roman" w:cs="Times New Roman"/>
          <w:sz w:val="24"/>
          <w:szCs w:val="24"/>
          <w:lang w:eastAsia="da-DK"/>
        </w:rPr>
        <w:t>hverken lejeloven, boligreguleringsloven eller alm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enlejeloven til at undlade at op</w:t>
      </w:r>
      <w:r w:rsidR="002D42CB">
        <w:rPr>
          <w:rFonts w:ascii="Times New Roman" w:eastAsia="Times New Roman" w:hAnsi="Times New Roman" w:cs="Times New Roman"/>
          <w:sz w:val="24"/>
          <w:szCs w:val="24"/>
          <w:lang w:eastAsia="da-DK"/>
        </w:rPr>
        <w:t>kræve beløb for indbringelse af sager.</w:t>
      </w:r>
      <w:r w:rsidR="002D42CB" w:rsidRPr="00481026" w:rsidDel="002D42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55C741A8" w14:textId="77777777" w:rsidR="00C517D0" w:rsidRPr="00481026" w:rsidRDefault="00C517D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2EBC85" w14:textId="77777777" w:rsidR="00C517D0" w:rsidRPr="00481026" w:rsidRDefault="00C517D0" w:rsidP="00C517D0">
      <w:pP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2.</w:t>
      </w:r>
      <w:r w:rsidR="002D42C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</w:t>
      </w: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</w:t>
      </w:r>
      <w:r w:rsidR="005E56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Indenrigs-</w:t>
      </w:r>
      <w:r w:rsidRPr="0048102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og Boligministeriets overvejelser og den foreslåede ordning</w:t>
      </w:r>
    </w:p>
    <w:p w14:paraId="14032923" w14:textId="77777777" w:rsidR="009032E7" w:rsidRDefault="009032E7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4DEFFE" w14:textId="77777777" w:rsidR="00DD4665" w:rsidRDefault="00C517D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>Det foreslås med lovforslaget, at der</w:t>
      </w:r>
      <w:r w:rsidR="009032E7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et led i den udvidede udfordringsret</w:t>
      </w:r>
      <w:r w:rsidR="009032E7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noget nyt indsættes bestemmelser </w:t>
      </w:r>
      <w:r w:rsidR="0084333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boligreguleringsloven </w:t>
      </w:r>
      <w:r w:rsidRPr="004810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om </w:t>
      </w:r>
      <w:r w:rsidR="002D42CB">
        <w:rPr>
          <w:rFonts w:ascii="Times New Roman" w:eastAsia="Times New Roman" w:hAnsi="Times New Roman" w:cs="Times New Roman"/>
          <w:sz w:val="24"/>
          <w:szCs w:val="24"/>
          <w:lang w:eastAsia="da-DK"/>
        </w:rPr>
        <w:t>indenrigs- og boligministerens kompetence til at fastsætte nærmere regler for</w:t>
      </w:r>
      <w:r w:rsidR="007C0D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forsøg</w:t>
      </w:r>
      <w:r w:rsidR="002D42CB">
        <w:rPr>
          <w:rFonts w:ascii="Times New Roman" w:eastAsia="Times New Roman" w:hAnsi="Times New Roman" w:cs="Times New Roman"/>
          <w:sz w:val="24"/>
          <w:szCs w:val="24"/>
          <w:lang w:eastAsia="da-DK"/>
        </w:rPr>
        <w:t>, hvor</w:t>
      </w:r>
      <w:r w:rsidR="007C0DA8">
        <w:rPr>
          <w:rFonts w:ascii="Times New Roman" w:eastAsia="Times New Roman" w:hAnsi="Times New Roman" w:cs="Times New Roman"/>
          <w:sz w:val="24"/>
          <w:szCs w:val="24"/>
          <w:lang w:eastAsia="da-DK"/>
        </w:rPr>
        <w:t>efter</w:t>
      </w:r>
      <w:r w:rsidR="002D42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husleje- og ankenævnet kan </w:t>
      </w:r>
      <w:r w:rsidR="0084333F">
        <w:rPr>
          <w:rFonts w:ascii="Times New Roman" w:eastAsia="Times New Roman" w:hAnsi="Times New Roman" w:cs="Times New Roman"/>
          <w:sz w:val="24"/>
          <w:szCs w:val="24"/>
          <w:lang w:eastAsia="da-DK"/>
        </w:rPr>
        <w:t>undlade at opkræve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</w:t>
      </w:r>
      <w:r w:rsidR="0084333F">
        <w:rPr>
          <w:rFonts w:ascii="Times New Roman" w:eastAsia="Times New Roman" w:hAnsi="Times New Roman" w:cs="Times New Roman"/>
          <w:sz w:val="24"/>
          <w:szCs w:val="24"/>
          <w:lang w:eastAsia="da-DK"/>
        </w:rPr>
        <w:t>beløb ved indbringelse</w:t>
      </w:r>
      <w:r w:rsidR="001974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sager</w:t>
      </w:r>
      <w:r w:rsidR="0084333F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40FCB9AB" w14:textId="77777777" w:rsidR="00DD4665" w:rsidRDefault="00DD4665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A6B9928" w14:textId="77777777" w:rsidR="00C517D0" w:rsidRDefault="00DD4665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er dog ikke hensigten, at huslejenævnet skal kunne undlade at opkræve</w:t>
      </w:r>
      <w:r w:rsidR="00F6490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beløb i forbindelse med besigtigelse af boliger i henhold til boligreguleringslovens § 5, stk. 3.</w:t>
      </w:r>
    </w:p>
    <w:p w14:paraId="4CDF6AAC" w14:textId="77777777" w:rsidR="00197447" w:rsidRDefault="00197447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20C2BD7" w14:textId="77777777" w:rsidR="00197447" w:rsidRPr="00481026" w:rsidRDefault="00197447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Det foreslås ligeledes, at der, som et led i den udvidede udfordringsret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noget nyt indsættes en bestemmelse i almenlejeloven om indenrigs- og boligministerens kompetence til</w:t>
      </w:r>
      <w:r w:rsidR="007C0D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fastsætte nærmere regler om forsøg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hvor</w:t>
      </w:r>
      <w:r w:rsidR="007C0DA8">
        <w:rPr>
          <w:rFonts w:ascii="Times New Roman" w:eastAsia="Times New Roman" w:hAnsi="Times New Roman" w:cs="Times New Roman"/>
          <w:sz w:val="24"/>
          <w:szCs w:val="24"/>
          <w:lang w:eastAsia="da-DK"/>
        </w:rPr>
        <w:t>efter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beboerklagenævnet kan undlade at opkræve 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beløb ved indbringelse af sager.</w:t>
      </w:r>
    </w:p>
    <w:p w14:paraId="17FAAB67" w14:textId="77777777" w:rsidR="00C517D0" w:rsidRPr="00481026" w:rsidRDefault="00C517D0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68E4F29" w14:textId="471B8E95" w:rsidR="00197447" w:rsidRDefault="00197447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henblik på at imødekomme Københavns Kommunes anmodning om en forsøgsordning, hvor kommunen kan undlade at </w:t>
      </w:r>
      <w:r w:rsidR="00F561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opkræve 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et </w:t>
      </w:r>
      <w:r w:rsidR="00F56148">
        <w:rPr>
          <w:rFonts w:ascii="Times New Roman" w:eastAsia="Times New Roman" w:hAnsi="Times New Roman" w:cs="Times New Roman"/>
          <w:sz w:val="24"/>
          <w:szCs w:val="24"/>
          <w:lang w:eastAsia="da-DK"/>
        </w:rPr>
        <w:t>beløb ved indbringelse af sa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ger for nævnene foreslås, at det, ved </w:t>
      </w:r>
      <w:r w:rsidR="00F56148">
        <w:rPr>
          <w:rFonts w:ascii="Times New Roman" w:eastAsia="Times New Roman" w:hAnsi="Times New Roman" w:cs="Times New Roman"/>
          <w:sz w:val="24"/>
          <w:szCs w:val="24"/>
          <w:lang w:eastAsia="da-DK"/>
        </w:rPr>
        <w:t>bekendtgørelse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F561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gøres muligt for kommuner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ne,</w:t>
      </w:r>
      <w:r w:rsidR="00E964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få </w:t>
      </w:r>
      <w:r w:rsidR="00BC19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tilladelse til at undlade at opkræve beløb ved indbringelse for husleje-, anke- og beboerklagenævn i en periode på op til </w:t>
      </w:r>
      <w:r w:rsidR="00D04BDC"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  <w:r w:rsidR="00BC19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år.</w:t>
      </w:r>
      <w:r w:rsidR="00E964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1C7F88FA" w14:textId="79EC1A76" w:rsidR="00197447" w:rsidRDefault="00197447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1C0256A" w14:textId="24545F6E" w:rsidR="007039B8" w:rsidRPr="007039B8" w:rsidRDefault="007039B8" w:rsidP="007039B8">
      <w:pPr>
        <w:pStyle w:val="Kommentartekst"/>
        <w:rPr>
          <w:rFonts w:ascii="Times New Roman" w:hAnsi="Times New Roman" w:cs="Times New Roman"/>
          <w:sz w:val="24"/>
          <w:szCs w:val="24"/>
        </w:rPr>
      </w:pPr>
      <w:r w:rsidRPr="007039B8">
        <w:rPr>
          <w:rFonts w:ascii="Times New Roman" w:hAnsi="Times New Roman" w:cs="Times New Roman"/>
          <w:sz w:val="24"/>
          <w:szCs w:val="24"/>
        </w:rPr>
        <w:t>Ordningen vil være en tilladelsesordning, som muliggør for enhver kommune efter tilladelse fra ministeren, at deltage i forsøget.</w:t>
      </w:r>
    </w:p>
    <w:p w14:paraId="53DDBA14" w14:textId="77777777" w:rsidR="007039B8" w:rsidRDefault="007039B8" w:rsidP="007039B8">
      <w:pPr>
        <w:pStyle w:val="Kommentartek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3B69152" w14:textId="77777777" w:rsidR="00B112BE" w:rsidRDefault="007357AC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vil være et kriterie for at få tilladelse, at kommunen har afsat midler 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til at finansiere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830DA">
        <w:rPr>
          <w:rFonts w:ascii="Times New Roman" w:eastAsia="Times New Roman" w:hAnsi="Times New Roman" w:cs="Times New Roman"/>
          <w:sz w:val="24"/>
          <w:szCs w:val="24"/>
          <w:lang w:eastAsia="da-DK"/>
        </w:rPr>
        <w:t>de manglende indbetalinger ved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indbrin</w:t>
      </w:r>
      <w:r w:rsidR="00B112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gelse af sager og til de merudgifter,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som må forventes som følge af </w:t>
      </w:r>
      <w:r w:rsidR="00B112BE">
        <w:rPr>
          <w:rFonts w:ascii="Times New Roman" w:eastAsia="Times New Roman" w:hAnsi="Times New Roman" w:cs="Times New Roman"/>
          <w:sz w:val="24"/>
          <w:szCs w:val="24"/>
          <w:lang w:eastAsia="da-DK"/>
        </w:rPr>
        <w:t>afskaffelsen af gebyret.</w:t>
      </w:r>
    </w:p>
    <w:p w14:paraId="6DF1E0F6" w14:textId="77777777" w:rsidR="00B112BE" w:rsidRDefault="00B112BE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35025F7" w14:textId="77777777" w:rsidR="00B112BE" w:rsidRDefault="00B112BE" w:rsidP="00C517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Herudover er det et kriterie, at kommunen ligeledes har afsat midler til at sikre, at sagsbehandlingstiden i nævnene i kommunen ikke generelt forlænges som følge af tiltaget.</w:t>
      </w:r>
    </w:p>
    <w:p w14:paraId="64CD6472" w14:textId="77777777" w:rsidR="00A97B78" w:rsidRPr="00481026" w:rsidRDefault="00A97B78" w:rsidP="002B41D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</w:p>
    <w:p w14:paraId="36936306" w14:textId="77777777" w:rsidR="00A97B78" w:rsidRPr="00481026" w:rsidRDefault="00A97B78" w:rsidP="00A97B78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3.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Økonomiske konsekvenser </w:t>
      </w:r>
      <w:r w:rsidR="00CD6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og implementeringskonsekvenser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for det offentlige</w:t>
      </w:r>
    </w:p>
    <w:p w14:paraId="4F4AAF73" w14:textId="77777777" w:rsidR="002B41DA" w:rsidRPr="00481026" w:rsidRDefault="002B41DA" w:rsidP="00A97B7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</w:p>
    <w:p w14:paraId="7F39B98C" w14:textId="77777777" w:rsidR="00A97B78" w:rsidRPr="00481026" w:rsidRDefault="002B41DA" w:rsidP="00A97B7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Lovforslaget vurderes ikke at have økonomiske konsekvenser </w:t>
      </w:r>
      <w:r w:rsidR="00E94EC7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eller implementeringskonsekvenser </w:t>
      </w: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for stat, regioner og kommuner.</w:t>
      </w:r>
    </w:p>
    <w:p w14:paraId="649029D7" w14:textId="77777777" w:rsidR="003747EC" w:rsidRPr="00481026" w:rsidRDefault="003747EC" w:rsidP="00A97B7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</w:p>
    <w:p w14:paraId="09A21239" w14:textId="77777777" w:rsidR="00CD6A3F" w:rsidRPr="00481026" w:rsidRDefault="00B112BE" w:rsidP="007605D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Det beror på frivillighed for kommunerne, hvorvidt de ønsker at gøre brug af forsøgsordningen.</w:t>
      </w:r>
    </w:p>
    <w:p w14:paraId="29A1C483" w14:textId="77777777" w:rsidR="002B41DA" w:rsidRPr="00481026" w:rsidRDefault="002B41DA" w:rsidP="00A97B78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</w:p>
    <w:p w14:paraId="3DFCAB15" w14:textId="77777777" w:rsidR="00A97B78" w:rsidRPr="00481026" w:rsidRDefault="00A97B78" w:rsidP="00A97B78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4.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Økonomiske </w:t>
      </w:r>
      <w:r w:rsidR="00CD6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og administrative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konsekvenser for erhvervslivet m.v.</w:t>
      </w:r>
    </w:p>
    <w:p w14:paraId="213C2823" w14:textId="77777777" w:rsidR="006370CE" w:rsidRPr="00481026" w:rsidRDefault="006370CE" w:rsidP="002B41D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</w:p>
    <w:p w14:paraId="1BDC8296" w14:textId="77777777" w:rsidR="002B41DA" w:rsidRDefault="002B41DA" w:rsidP="002B41D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Lovforslaget vurderes</w:t>
      </w:r>
      <w:r w:rsidR="006370CE"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 </w:t>
      </w: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ikke at have økonomiske konsekvenser for erhvervslivet.</w:t>
      </w:r>
    </w:p>
    <w:p w14:paraId="758A6CFC" w14:textId="77777777" w:rsidR="00B112BE" w:rsidRPr="00481026" w:rsidRDefault="00B112BE" w:rsidP="002B41D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I det omfang kommuner vælger at gø</w:t>
      </w:r>
      <w:r w:rsidR="008F27F2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re brug af forsøgsordningen, kan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 det føre til </w:t>
      </w:r>
      <w:r w:rsidR="008F27F2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mindre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 besparelser for </w:t>
      </w:r>
      <w:r w:rsidR="008F27F2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erhvervslivet. </w:t>
      </w:r>
    </w:p>
    <w:p w14:paraId="5A83FE19" w14:textId="77777777" w:rsidR="00A97B78" w:rsidRPr="00481026" w:rsidRDefault="00A97B78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5.</w:t>
      </w:r>
      <w:r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 xml:space="preserve"> </w:t>
      </w:r>
      <w:r w:rsidRPr="004810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Administrative konsekvenser for borgerne</w:t>
      </w:r>
    </w:p>
    <w:p w14:paraId="14B7FD58" w14:textId="77777777" w:rsidR="008F27F2" w:rsidRDefault="008F27F2" w:rsidP="008F27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Lovforslaget vurderes ikke at have økonomiske konsekvenser for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borgerne</w:t>
      </w: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.</w:t>
      </w:r>
    </w:p>
    <w:p w14:paraId="717EE0E6" w14:textId="77777777" w:rsidR="008F27F2" w:rsidRPr="00481026" w:rsidRDefault="008F27F2" w:rsidP="008F27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I det omfang kommuner vælger at gøre brug af forsøgsordningen, kan det føre til mindre besparelser for borgerne. </w:t>
      </w:r>
    </w:p>
    <w:p w14:paraId="2B86BFC8" w14:textId="77777777" w:rsidR="00A97B78" w:rsidRPr="00481026" w:rsidRDefault="00A97B78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6. </w:t>
      </w:r>
      <w:r w:rsidR="0098203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Klima- og m</w:t>
      </w:r>
      <w:r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iljømæssige konsekvenser</w:t>
      </w:r>
    </w:p>
    <w:p w14:paraId="6B78289B" w14:textId="77777777" w:rsidR="006370CE" w:rsidRPr="00481026" w:rsidRDefault="006370CE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Lovforslaget vurderes ikke at have klima- og miljømæssige konsekvenser.</w:t>
      </w:r>
    </w:p>
    <w:p w14:paraId="7BBAB10D" w14:textId="77777777" w:rsidR="00A97B78" w:rsidRPr="00481026" w:rsidRDefault="006370CE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7</w:t>
      </w:r>
      <w:r w:rsidR="00A97B78"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. Forholdet til EU-retten</w:t>
      </w:r>
    </w:p>
    <w:p w14:paraId="44272B8B" w14:textId="77777777" w:rsidR="002A2631" w:rsidRDefault="002A2631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Der er ingen relevante EU-retlige aspekter forbundet med lovforslaget.</w:t>
      </w:r>
    </w:p>
    <w:p w14:paraId="2DBE5C06" w14:textId="77777777" w:rsidR="00876E64" w:rsidRPr="00481026" w:rsidRDefault="00876E64" w:rsidP="00A84A6C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br/>
      </w:r>
      <w:r w:rsidR="006370CE"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8</w:t>
      </w:r>
      <w:r w:rsidR="00A97B78" w:rsidRPr="0048102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. </w:t>
      </w:r>
      <w:r w:rsidR="00A97B78" w:rsidRPr="004810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da-DK"/>
        </w:rPr>
        <w:t>Hørte myndigheder og organisationer</w:t>
      </w:r>
    </w:p>
    <w:p w14:paraId="7D42741D" w14:textId="73D3D5E8" w:rsidR="00D624B2" w:rsidRDefault="00D624B2" w:rsidP="00D624B2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udkast til lovforslaget</w:t>
      </w:r>
      <w:r w:rsidRPr="0084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89E"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>har i pe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  <w:t xml:space="preserve">rioden fra </w:t>
      </w: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 </w:t>
      </w:r>
      <w:r w:rsidR="00045A0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5A0B">
        <w:rPr>
          <w:rFonts w:ascii="Times New Roman" w:eastAsia="Times New Roman" w:hAnsi="Times New Roman" w:cs="Times New Roman"/>
          <w:color w:val="000000"/>
          <w:sz w:val="24"/>
          <w:szCs w:val="24"/>
        </w:rPr>
        <w:t>maj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til den 30. juni 2021 været sendt i høring hos følgende myndigheder og organisationer m.v.:</w:t>
      </w:r>
    </w:p>
    <w:p w14:paraId="67CAA935" w14:textId="0137C991" w:rsidR="00D624B2" w:rsidRDefault="00D624B2" w:rsidP="00D624B2">
      <w:pPr>
        <w:autoSpaceDE w:val="0"/>
        <w:autoSpaceDN w:val="0"/>
        <w:adjustRightInd w:val="0"/>
        <w:spacing w:line="240" w:lineRule="auto"/>
        <w:rPr>
          <w:rFonts w:ascii="CIDFont+F2" w:eastAsiaTheme="minorHAnsi" w:hAnsi="CIDFont+F2" w:cs="CIDFont+F2"/>
          <w:color w:val="auto"/>
          <w:sz w:val="24"/>
          <w:szCs w:val="24"/>
        </w:rPr>
      </w:pP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Advokatrådet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>,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 xml:space="preserve"> Andelsboligfor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eningernes Fællesrepræsentation, BL Danmarks Almene Boliger, BOSAM,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Byggesocietet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et, Bygherreforeningen i Danmark, Danmarks Lejerforeninger, Dansk Byggeri, Dansk Ejendomsmæglerforening,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Danske Advokater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, Danske Lejere, Danske Udlejere,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Danske studerendes fællesråd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Den Danske Dommerforening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>,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 xml:space="preserve"> Dommerfuldmægtigforeningen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>,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 xml:space="preserve"> 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Ejendom Danmark,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F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inans Danmark, Forsikring &amp; Pension, Grundejernes Investeringsfond,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Husleje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- og Beboerklagenævnsforeningen, KL, Københavns Kommune, Landbrug &amp; Fødevarer,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Lejernes Hus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Lejer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nes Landsorganisation i Danmark,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Lejernes Retshjælp</w:t>
      </w:r>
      <w:r>
        <w:rPr>
          <w:rFonts w:ascii="CIDFont+F2" w:eastAsiaTheme="minorHAnsi" w:hAnsi="CIDFont+F2" w:cs="CIDFont+F2"/>
          <w:color w:val="auto"/>
          <w:sz w:val="24"/>
          <w:szCs w:val="24"/>
        </w:rPr>
        <w:t xml:space="preserve">, Præsidenten for Vestre Landsret, Præsidenten for Østre Landsret, P+, SAPU, </w:t>
      </w:r>
      <w:r w:rsidRPr="00D624B2">
        <w:rPr>
          <w:rFonts w:ascii="CIDFont+F2" w:eastAsiaTheme="minorHAnsi" w:hAnsi="CIDFont+F2" w:cs="CIDFont+F2"/>
          <w:color w:val="auto"/>
          <w:sz w:val="24"/>
          <w:szCs w:val="24"/>
        </w:rPr>
        <w:t>Statens Byggeforskningsinstitut/Aalborg Universitet</w:t>
      </w:r>
    </w:p>
    <w:p w14:paraId="4CABA778" w14:textId="77777777" w:rsidR="00D624B2" w:rsidRDefault="00D624B2" w:rsidP="00D624B2">
      <w:pPr>
        <w:autoSpaceDE w:val="0"/>
        <w:autoSpaceDN w:val="0"/>
        <w:adjustRightInd w:val="0"/>
        <w:spacing w:line="240" w:lineRule="auto"/>
        <w:rPr>
          <w:rFonts w:ascii="CIDFont+F2" w:eastAsiaTheme="minorHAnsi" w:hAnsi="CIDFont+F2" w:cs="CIDFont+F2"/>
          <w:color w:val="auto"/>
          <w:sz w:val="24"/>
          <w:szCs w:val="24"/>
        </w:rPr>
      </w:pPr>
    </w:p>
    <w:p w14:paraId="339F5619" w14:textId="1DFC014D" w:rsidR="00A97B78" w:rsidRPr="00481026" w:rsidRDefault="00887EC0" w:rsidP="00D624B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9</w:t>
      </w:r>
      <w:r w:rsidR="00A97B78"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. Sammenfattende skema</w:t>
      </w:r>
    </w:p>
    <w:p w14:paraId="02B6D01B" w14:textId="77777777" w:rsidR="00A97B78" w:rsidRPr="00481026" w:rsidRDefault="00A97B78" w:rsidP="005B6AD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</w:p>
    <w:tbl>
      <w:tblPr>
        <w:tblStyle w:val="Tabel-Gitter"/>
        <w:tblpPr w:leftFromText="141" w:rightFromText="141" w:vertAnchor="text" w:horzAnchor="margin" w:tblpY="411"/>
        <w:tblW w:w="9780" w:type="dxa"/>
        <w:tblLook w:val="04A0" w:firstRow="1" w:lastRow="0" w:firstColumn="1" w:lastColumn="0" w:noHBand="0" w:noVBand="1"/>
      </w:tblPr>
      <w:tblGrid>
        <w:gridCol w:w="2547"/>
        <w:gridCol w:w="3544"/>
        <w:gridCol w:w="3689"/>
      </w:tblGrid>
      <w:tr w:rsidR="00A97B78" w:rsidRPr="00481026" w14:paraId="6B0DA57C" w14:textId="77777777" w:rsidTr="005B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3A5A592D" w14:textId="77777777" w:rsidR="00A97B78" w:rsidRPr="00481026" w:rsidRDefault="00A97B78" w:rsidP="00B52C95">
            <w:pPr>
              <w:spacing w:before="100" w:beforeAutospacing="1" w:after="119" w:line="240" w:lineRule="auto"/>
              <w:ind w:firstLine="17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371BE420" w14:textId="77777777" w:rsidR="00DD3799" w:rsidRPr="005B6ADA" w:rsidRDefault="00A97B78" w:rsidP="00B52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Positive konsekvenser/</w:t>
            </w:r>
            <w:proofErr w:type="spellStart"/>
            <w:r w:rsidRPr="005B6ADA">
              <w:rPr>
                <w:rFonts w:eastAsia="Times New Roman"/>
                <w:sz w:val="18"/>
              </w:rPr>
              <w:t>mindreudgifter</w:t>
            </w:r>
            <w:proofErr w:type="spellEnd"/>
            <w:r w:rsidRPr="005B6ADA">
              <w:rPr>
                <w:rFonts w:eastAsia="Times New Roman"/>
                <w:sz w:val="18"/>
              </w:rPr>
              <w:t xml:space="preserve"> </w:t>
            </w:r>
          </w:p>
          <w:p w14:paraId="440B62C3" w14:textId="77777777" w:rsidR="00A97B78" w:rsidRPr="005B6ADA" w:rsidRDefault="006D44DC" w:rsidP="005B6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br/>
            </w:r>
            <w:r w:rsidRPr="005B6ADA">
              <w:rPr>
                <w:rFonts w:eastAsia="Times New Roman"/>
                <w:sz w:val="18"/>
              </w:rPr>
              <w:t>(hvis ja, angiv omfang/Hvis nej, anfør »Ingen«)</w:t>
            </w:r>
          </w:p>
        </w:tc>
        <w:tc>
          <w:tcPr>
            <w:tcW w:w="3689" w:type="dxa"/>
            <w:hideMark/>
          </w:tcPr>
          <w:p w14:paraId="03D8A318" w14:textId="77777777" w:rsidR="00DD3799" w:rsidRPr="005B6ADA" w:rsidRDefault="00A97B78" w:rsidP="005B6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lastRenderedPageBreak/>
              <w:t>Negative konsekvenser/merudgifter</w:t>
            </w:r>
            <w:r w:rsidR="006D44DC">
              <w:rPr>
                <w:rFonts w:eastAsia="Times New Roman"/>
                <w:sz w:val="18"/>
              </w:rPr>
              <w:br/>
            </w:r>
          </w:p>
          <w:p w14:paraId="28F57170" w14:textId="77777777" w:rsidR="00A97B78" w:rsidRPr="005B6ADA" w:rsidRDefault="006D44DC" w:rsidP="005B6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</w:rPr>
            </w:pPr>
            <w:r w:rsidRPr="005B6ADA">
              <w:rPr>
                <w:rFonts w:eastAsia="Times New Roman"/>
                <w:sz w:val="18"/>
              </w:rPr>
              <w:lastRenderedPageBreak/>
              <w:t>(hvis ja, angiv omfang/Hvis nej, anfør »Ingen«)</w:t>
            </w:r>
          </w:p>
        </w:tc>
      </w:tr>
      <w:tr w:rsidR="00A97B78" w:rsidRPr="00481026" w14:paraId="6C4F3177" w14:textId="77777777" w:rsidTr="005B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0592710C" w14:textId="77777777" w:rsidR="00A97B78" w:rsidRPr="005B6ADA" w:rsidRDefault="00A97B78" w:rsidP="00B52C95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lastRenderedPageBreak/>
              <w:t>Økonomiske konsekvenser for stat, kommuner og regioner</w:t>
            </w:r>
          </w:p>
        </w:tc>
        <w:tc>
          <w:tcPr>
            <w:tcW w:w="3544" w:type="dxa"/>
            <w:vAlign w:val="center"/>
            <w:hideMark/>
          </w:tcPr>
          <w:p w14:paraId="5E079B85" w14:textId="77777777" w:rsidR="00A97B78" w:rsidRPr="00481026" w:rsidRDefault="00887EC0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  <w:tc>
          <w:tcPr>
            <w:tcW w:w="3689" w:type="dxa"/>
            <w:vAlign w:val="center"/>
            <w:hideMark/>
          </w:tcPr>
          <w:p w14:paraId="64E62610" w14:textId="77777777" w:rsidR="00A97B78" w:rsidRPr="00481026" w:rsidRDefault="00887EC0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</w:tr>
      <w:tr w:rsidR="00A97B78" w:rsidRPr="00481026" w14:paraId="6C0EC76A" w14:textId="77777777" w:rsidTr="005B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299386" w14:textId="77777777" w:rsidR="00A97B78" w:rsidRPr="005B6ADA" w:rsidRDefault="00A97B78" w:rsidP="00B52C95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Administrative konsekvenser for stat, kommuner og regioner</w:t>
            </w:r>
          </w:p>
        </w:tc>
        <w:tc>
          <w:tcPr>
            <w:tcW w:w="3544" w:type="dxa"/>
            <w:vAlign w:val="center"/>
          </w:tcPr>
          <w:p w14:paraId="170D47BC" w14:textId="77777777" w:rsidR="00A97B78" w:rsidRPr="00481026" w:rsidRDefault="00887EC0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Ingen</w:t>
            </w:r>
          </w:p>
        </w:tc>
        <w:tc>
          <w:tcPr>
            <w:tcW w:w="3689" w:type="dxa"/>
            <w:vAlign w:val="center"/>
          </w:tcPr>
          <w:p w14:paraId="7385B8C8" w14:textId="77777777" w:rsidR="00A97B78" w:rsidRPr="00481026" w:rsidRDefault="00887EC0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</w:tr>
      <w:tr w:rsidR="00A97B78" w:rsidRPr="00481026" w14:paraId="265E0FE9" w14:textId="77777777" w:rsidTr="005B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0E0529F8" w14:textId="77777777" w:rsidR="00A97B78" w:rsidRPr="005B6ADA" w:rsidRDefault="00A97B78" w:rsidP="00B52C95">
            <w:pPr>
              <w:rPr>
                <w:rFonts w:eastAsia="Times New Roman"/>
                <w:color w:val="auto"/>
                <w:sz w:val="18"/>
              </w:rPr>
            </w:pPr>
            <w:r w:rsidRPr="005B6ADA">
              <w:rPr>
                <w:rFonts w:eastAsia="Times New Roman"/>
                <w:sz w:val="18"/>
              </w:rPr>
              <w:t>Økonomiske konsekvenser for erhvervslivet</w:t>
            </w:r>
          </w:p>
        </w:tc>
        <w:tc>
          <w:tcPr>
            <w:tcW w:w="3544" w:type="dxa"/>
            <w:vAlign w:val="center"/>
            <w:hideMark/>
          </w:tcPr>
          <w:p w14:paraId="7727B754" w14:textId="77777777" w:rsidR="00B72C84" w:rsidRPr="00481026" w:rsidRDefault="008F27F2" w:rsidP="00165D39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  <w:tc>
          <w:tcPr>
            <w:tcW w:w="3689" w:type="dxa"/>
            <w:vAlign w:val="center"/>
            <w:hideMark/>
          </w:tcPr>
          <w:p w14:paraId="49B1001C" w14:textId="77777777" w:rsidR="00B72C84" w:rsidRPr="00481026" w:rsidRDefault="008F27F2" w:rsidP="00165D39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</w:tr>
      <w:tr w:rsidR="00A97B78" w:rsidRPr="00481026" w14:paraId="6C7D1CCC" w14:textId="77777777" w:rsidTr="005B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951A0A" w14:textId="77777777" w:rsidR="00A97B78" w:rsidRPr="005B6ADA" w:rsidRDefault="00A97B78" w:rsidP="00B52C95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Administrative konsekvenser for erhvervslivet</w:t>
            </w:r>
          </w:p>
        </w:tc>
        <w:tc>
          <w:tcPr>
            <w:tcW w:w="3544" w:type="dxa"/>
            <w:vAlign w:val="center"/>
          </w:tcPr>
          <w:p w14:paraId="5014B48B" w14:textId="77777777" w:rsidR="00A97B78" w:rsidRPr="00481026" w:rsidRDefault="00B72C84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  <w:tc>
          <w:tcPr>
            <w:tcW w:w="3689" w:type="dxa"/>
            <w:vAlign w:val="center"/>
          </w:tcPr>
          <w:p w14:paraId="455F1A34" w14:textId="77777777" w:rsidR="00A97B78" w:rsidRPr="00481026" w:rsidRDefault="00B72C84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</w:tr>
      <w:tr w:rsidR="00A97B78" w:rsidRPr="00481026" w14:paraId="4AA3A925" w14:textId="77777777" w:rsidTr="005B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C6AB22" w14:textId="77777777" w:rsidR="00C367C5" w:rsidRPr="005B6ADA" w:rsidRDefault="00C367C5" w:rsidP="00B52C95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Administrative konsekvenser for borgerne</w:t>
            </w:r>
          </w:p>
        </w:tc>
        <w:tc>
          <w:tcPr>
            <w:tcW w:w="3544" w:type="dxa"/>
            <w:vAlign w:val="center"/>
          </w:tcPr>
          <w:p w14:paraId="5E9FF5EA" w14:textId="77777777" w:rsidR="00A97B78" w:rsidRPr="00481026" w:rsidRDefault="008F27F2" w:rsidP="00D46A69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  <w:tc>
          <w:tcPr>
            <w:tcW w:w="3689" w:type="dxa"/>
            <w:vAlign w:val="center"/>
          </w:tcPr>
          <w:p w14:paraId="39AA058C" w14:textId="77777777" w:rsidR="00A97B78" w:rsidRPr="00481026" w:rsidRDefault="00D46A69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</w:tr>
      <w:tr w:rsidR="00A97B78" w:rsidRPr="00481026" w14:paraId="70604DCE" w14:textId="77777777" w:rsidTr="005B6AD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12" w:space="0" w:color="auto"/>
            </w:tcBorders>
          </w:tcPr>
          <w:p w14:paraId="039CCFC1" w14:textId="77777777" w:rsidR="00C367C5" w:rsidRPr="005B6ADA" w:rsidRDefault="00C367C5" w:rsidP="00C367C5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Miljømæssige konsekvenser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1DAD463" w14:textId="77777777" w:rsidR="00A97B78" w:rsidRPr="00481026" w:rsidRDefault="00B72C84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  <w:tc>
          <w:tcPr>
            <w:tcW w:w="3689" w:type="dxa"/>
            <w:tcBorders>
              <w:bottom w:val="single" w:sz="12" w:space="0" w:color="auto"/>
            </w:tcBorders>
            <w:vAlign w:val="center"/>
          </w:tcPr>
          <w:p w14:paraId="3312B96D" w14:textId="77777777" w:rsidR="00A97B78" w:rsidRPr="00481026" w:rsidRDefault="00B72C84" w:rsidP="00887EC0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Ingen</w:t>
            </w:r>
          </w:p>
        </w:tc>
      </w:tr>
      <w:tr w:rsidR="00A97B78" w:rsidRPr="00481026" w14:paraId="7AD0148D" w14:textId="77777777" w:rsidTr="005B6AD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14:paraId="3995D56B" w14:textId="77777777" w:rsidR="00A97B78" w:rsidRPr="005B6ADA" w:rsidRDefault="00A97B78" w:rsidP="00B52C95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Forholdet til EU-retten</w:t>
            </w:r>
          </w:p>
        </w:tc>
        <w:tc>
          <w:tcPr>
            <w:tcW w:w="7233" w:type="dxa"/>
            <w:gridSpan w:val="2"/>
            <w:tcBorders>
              <w:top w:val="single" w:sz="12" w:space="0" w:color="auto"/>
            </w:tcBorders>
          </w:tcPr>
          <w:p w14:paraId="44292DD5" w14:textId="77777777" w:rsidR="00A97B78" w:rsidRPr="00481026" w:rsidRDefault="00DD3799" w:rsidP="005B6ADA">
            <w:pPr>
              <w:spacing w:before="100" w:beforeAutospacing="1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Der er ingen relevante EU-retlige aspekter forbundet med lovforslaget.</w:t>
            </w:r>
          </w:p>
        </w:tc>
      </w:tr>
      <w:tr w:rsidR="002F2B86" w:rsidRPr="00481026" w14:paraId="16F77F29" w14:textId="77777777" w:rsidTr="005B6AD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</w:tcPr>
          <w:p w14:paraId="1BB14CB4" w14:textId="77777777" w:rsidR="002F2B86" w:rsidRPr="005B6ADA" w:rsidRDefault="002F2B86" w:rsidP="002F2B86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[Er i strid med de fem principper for implementering</w:t>
            </w:r>
          </w:p>
          <w:p w14:paraId="7BD84305" w14:textId="77777777" w:rsidR="002F2B86" w:rsidRPr="005B6ADA" w:rsidRDefault="002F2B86" w:rsidP="002F2B86">
            <w:pPr>
              <w:rPr>
                <w:rFonts w:eastAsia="Times New Roman"/>
                <w:sz w:val="18"/>
              </w:rPr>
            </w:pPr>
            <w:r w:rsidRPr="005B6ADA">
              <w:rPr>
                <w:rFonts w:eastAsia="Times New Roman"/>
                <w:sz w:val="18"/>
              </w:rPr>
              <w:t>af erhvervsrettet EU- regulering]/[Går videre end minimumskrav i EU-regulering] (sæt X)</w:t>
            </w:r>
          </w:p>
        </w:tc>
        <w:tc>
          <w:tcPr>
            <w:tcW w:w="3544" w:type="dxa"/>
            <w:tcBorders>
              <w:right w:val="nil"/>
            </w:tcBorders>
          </w:tcPr>
          <w:p w14:paraId="32900869" w14:textId="77777777" w:rsidR="002F2B86" w:rsidRPr="00481026" w:rsidRDefault="002F2B86" w:rsidP="002F2B86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</w:t>
            </w:r>
          </w:p>
        </w:tc>
        <w:tc>
          <w:tcPr>
            <w:tcW w:w="3689" w:type="dxa"/>
            <w:tcBorders>
              <w:left w:val="nil"/>
            </w:tcBorders>
          </w:tcPr>
          <w:p w14:paraId="5A9F65B5" w14:textId="77777777" w:rsidR="002F2B86" w:rsidRPr="00481026" w:rsidRDefault="002F2B86" w:rsidP="002F2B86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NEJ</w:t>
            </w:r>
          </w:p>
          <w:p w14:paraId="300DA81F" w14:textId="77777777" w:rsidR="009B76B5" w:rsidRPr="00481026" w:rsidRDefault="009B76B5" w:rsidP="002F2B86">
            <w:pPr>
              <w:spacing w:before="100" w:beforeAutospacing="1" w:after="119" w:line="240" w:lineRule="auto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</w:tr>
    </w:tbl>
    <w:p w14:paraId="2FD60FD4" w14:textId="77777777" w:rsidR="00A97B78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</w:p>
    <w:p w14:paraId="4229F9E1" w14:textId="77777777" w:rsidR="00255C0E" w:rsidRPr="00481026" w:rsidRDefault="00255C0E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</w:p>
    <w:p w14:paraId="5F63F99D" w14:textId="77777777" w:rsidR="00A97B78" w:rsidRPr="00481026" w:rsidRDefault="00A97B78" w:rsidP="00255C0E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Bemærkninger til lovforslagets enkelte bestemmelser</w:t>
      </w:r>
    </w:p>
    <w:p w14:paraId="196BE3D0" w14:textId="77777777" w:rsidR="00A97B78" w:rsidRPr="00481026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Til § 1</w:t>
      </w:r>
    </w:p>
    <w:p w14:paraId="5B0F6BFE" w14:textId="77777777" w:rsidR="00BE1696" w:rsidRPr="00481026" w:rsidRDefault="00A97B78" w:rsidP="00741B43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 nr. 1 </w:t>
      </w:r>
    </w:p>
    <w:p w14:paraId="79AEC969" w14:textId="77777777" w:rsidR="009C0788" w:rsidRPr="00481026" w:rsidRDefault="00A97B78" w:rsidP="009C0788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9C0788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findes ikke i lovgivningen hjemmel til, at </w:t>
      </w:r>
      <w:r w:rsidR="008F27F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huslejenævnet kan undlade at opkræve betaling ved indbringelse af sager. </w:t>
      </w:r>
    </w:p>
    <w:p w14:paraId="4171AEB1" w14:textId="77777777" w:rsidR="009C0788" w:rsidRPr="00481026" w:rsidRDefault="009C0788" w:rsidP="009C0788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4147855B" w14:textId="77777777" w:rsidR="008F27F2" w:rsidRDefault="008F27F2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foreslås som en ny bestemmelse i § 39, stk. 2, at </w:t>
      </w:r>
      <w:r w:rsid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="000F5718" w:rsidRP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ndenrigs- og boligministeren kan fastsætte nærmere regler om forsøg, hvorefter huslejenævnet kan undlade at opkræve de i stk. 1, 2. og 3. pkt.</w:t>
      </w:r>
      <w:r w:rsid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  <w:r w:rsidR="000F5718" w:rsidRP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nævnte beløb for indbringelse af sager for huslejenævnet</w:t>
      </w:r>
    </w:p>
    <w:p w14:paraId="6FD3D1B7" w14:textId="77777777" w:rsidR="008F27F2" w:rsidRDefault="008F27F2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C215BA2" w14:textId="77777777" w:rsidR="008F27F2" w:rsidRDefault="008F27F2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Bestemmelsen giver indenrigs- og boligministeren beføjelser til i en bekendtgørelse at fastsætte nærmere regler for et forsøg, hvorefter kommunerne kan få tilladelse til </w:t>
      </w:r>
      <w:r w:rsid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som forsøg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undlade at opkræve </w:t>
      </w:r>
      <w:r w:rsid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beløb ved indbringelse af sager for huslejenævnet.</w:t>
      </w:r>
    </w:p>
    <w:p w14:paraId="16C51CF6" w14:textId="77777777" w:rsidR="000F5718" w:rsidRDefault="000F5718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2F4CB4E" w14:textId="77777777" w:rsidR="000F5718" w:rsidRDefault="000F5718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</w:t>
      </w:r>
      <w:r w:rsidR="004B31D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1,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pkt., omhandler beløbet, som generelt skal betales ved indbringelse af sager for huslejenævnet, og udgør kr. 315 (2021-niveau).</w:t>
      </w:r>
    </w:p>
    <w:p w14:paraId="2428432F" w14:textId="77777777" w:rsidR="000F5718" w:rsidRDefault="000F5718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7A61F5E" w14:textId="77777777" w:rsidR="000F5718" w:rsidRDefault="004B31D2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Stk. 1, 3</w:t>
      </w:r>
      <w:r w:rsid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pkt., omhandler beløbet, som skal betales ved indbringelse af sager om forhåndsgodkendelse</w:t>
      </w:r>
      <w:r w:rsidR="00007E6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af den leje, som en ejer af en ejerbolig eller en andelshaver kan tage, inden de træffer beslutning om at udleje boligen</w:t>
      </w:r>
      <w:r w:rsidR="000F571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jf. lejelovens § </w:t>
      </w:r>
      <w:r w:rsidR="00007E6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59 a, stk. 4, og udgør kr.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526 (2021-niveau).</w:t>
      </w:r>
    </w:p>
    <w:p w14:paraId="7B0E22F3" w14:textId="77777777" w:rsidR="000F5718" w:rsidRDefault="000F5718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85FC141" w14:textId="690316C9" w:rsidR="00C27705" w:rsidRDefault="004B31D2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hensigten, at der i bekendtgørelsen gøres muligt, at give tilladelse til kommuner i en periode på op til </w:t>
      </w:r>
      <w:r w:rsidR="00D04BD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år kan undlade at opkræve betaling i henhold til stk. 1, 2. og 3. pkt., for indbringelse af sager </w:t>
      </w:r>
      <w:r w:rsidR="00C2770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 huslejenævnet.</w:t>
      </w:r>
    </w:p>
    <w:p w14:paraId="3C85D9EB" w14:textId="77777777" w:rsidR="00C27705" w:rsidRDefault="00C27705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tillige hensigten, at der i bekendtgørelsen stilles krav om at kommunen sandsynliggør, at der er sat tilstrække</w:t>
      </w:r>
      <w:r w:rsidR="00F6490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lige midler af til forsøget til 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at sagsbehandlingstiden ikke forøges som følge af forsøget.</w:t>
      </w:r>
    </w:p>
    <w:p w14:paraId="7605D726" w14:textId="77777777" w:rsidR="00C27705" w:rsidRDefault="00C27705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91BB148" w14:textId="77777777" w:rsidR="00C27705" w:rsidRDefault="00C27705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Dette indebærer bl.a., at der er taget højde for tabt indtjening som følge af den manglende indbetaling generelt samt at der tages højde for en forventet stigning i antallet af sager indbragt for huslejenævnet, og de medfølgende udgifter hertil.</w:t>
      </w:r>
    </w:p>
    <w:p w14:paraId="166D0754" w14:textId="77777777" w:rsidR="00C27705" w:rsidRDefault="00C27705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FBED1C4" w14:textId="77777777" w:rsidR="000F5718" w:rsidRDefault="004C4E48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bemærkes, at selvom en kommune har fået tilladelse efter nærværende bestemmelse er huslejenævnet stadig forpligtet til at opkræve betaling i henhold stk. 1, 4. pkt., som er betaling for huslejenævnets besigtigelse inden der foretages gennemgribende moderniseringer. </w:t>
      </w:r>
    </w:p>
    <w:p w14:paraId="06824B83" w14:textId="77777777" w:rsidR="000F5718" w:rsidRDefault="000F5718" w:rsidP="008F27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4F978514" w14:textId="77777777" w:rsidR="004C4E48" w:rsidRDefault="004C4E48" w:rsidP="00F51D01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F60F2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Stk. 2 og 3 bliver herefter stk. 3 og 4.</w:t>
      </w:r>
    </w:p>
    <w:p w14:paraId="02D93BB8" w14:textId="77777777" w:rsidR="000E2EA3" w:rsidRPr="00481026" w:rsidRDefault="000E2EA3" w:rsidP="00F51D0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2D4A116" w14:textId="77777777" w:rsidR="000E2EA3" w:rsidRDefault="000E2EA3" w:rsidP="00EB67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henvises i øvrigt til de almindelige bemærkninger under afsnit 2.</w:t>
      </w:r>
      <w:r w:rsidR="00F231F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234BF62" w14:textId="77777777" w:rsidR="004C4E48" w:rsidRDefault="004C4E48" w:rsidP="00EB67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C9EDCC9" w14:textId="77777777" w:rsidR="004C4E48" w:rsidRDefault="004C4E48" w:rsidP="00EB67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nr. 2</w:t>
      </w:r>
    </w:p>
    <w:p w14:paraId="4588B7C0" w14:textId="77777777" w:rsidR="004C4E48" w:rsidRDefault="004C4E48" w:rsidP="00EB67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8FE2B73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 den gældende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boligreguleringslovs 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§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stk.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1. pkt., at </w:t>
      </w:r>
      <w:r w:rsidR="002C23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afkræves k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lageren et beløb på 106 kr. for hver lejlighed eller lokale, hvorom afgørelse indbringes for ankenævnet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lov om leje (lejeloven) gælder det, at er lejens størrelse ikke aftalt, anses den for at udgøre det beløb, der er rimeligt under hensyn til det lejedes værdi, jf. § 47, stk. 2, eller § 47 a.</w:t>
      </w:r>
    </w:p>
    <w:p w14:paraId="39D5A76E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484F9D5" w14:textId="77777777" w:rsidR="004C4E48" w:rsidRPr="004C4E48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foreslås at ændre boligreguleringslovens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§ 44, stk. 4, 1. pkt.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ved at det tilføjes, at stk. 5 indeholder en undtagelse hertil.</w:t>
      </w:r>
    </w:p>
    <w:p w14:paraId="0C71362D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E380EFF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Ændringen er en konsekvens af den i lovforslagets § 1, nr. 3, fores</w:t>
      </w:r>
      <w:r w:rsidR="00F6490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låede bestemmelse, der vedrører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2C23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indenrigs- og boligministerens hjemmel til at fastsætte regler, hvorefter der kan gives tilladelse til kommuner til at undlade at opkræve beløb ved indbringelse af sager for ankenævnet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77A444BE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3EE33D1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Ændringen gælder for både eksisterende og nye lejeforhold.</w:t>
      </w:r>
    </w:p>
    <w:p w14:paraId="1446D070" w14:textId="77777777" w:rsidR="004C4E48" w:rsidRP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BB727BC" w14:textId="77777777" w:rsidR="004C4E48" w:rsidRDefault="004C4E48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henvises </w:t>
      </w:r>
      <w:r w:rsidR="002C23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øvrigt 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de alm</w:t>
      </w:r>
      <w:r w:rsidR="002C23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indelige bemærkninger under afsnit 2.1.</w:t>
      </w:r>
    </w:p>
    <w:p w14:paraId="3C7C4957" w14:textId="77777777" w:rsidR="002C2355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71653C5" w14:textId="77777777" w:rsidR="002C2355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nr. 3</w:t>
      </w:r>
    </w:p>
    <w:p w14:paraId="7E9852C7" w14:textId="77777777" w:rsidR="002C2355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4AC8E8F" w14:textId="77777777" w:rsidR="002C2355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findes ikke i lovgivningen hjemmel til,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ankenævnet kan undlade at opkræve betaling ved indbringelse af sager.</w:t>
      </w:r>
    </w:p>
    <w:p w14:paraId="5AE5DDF0" w14:textId="77777777" w:rsidR="002C2355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F801FCC" w14:textId="77777777" w:rsidR="002C2355" w:rsidRDefault="002C2355" w:rsidP="00F51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Det foreslås som en ny bestemmelse i</w:t>
      </w:r>
      <w:r w:rsidRPr="005C34F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 w:rsidRPr="00617D6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§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4</w:t>
      </w:r>
      <w:r w:rsidRPr="00617D6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4,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s</w:t>
      </w:r>
      <w:r w:rsidRPr="0032431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tk.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5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, at i</w:t>
      </w:r>
      <w:r>
        <w:rPr>
          <w:rFonts w:ascii="Times New Roman" w:hAnsi="Times New Roman" w:cs="Times New Roman"/>
          <w:sz w:val="24"/>
          <w:szCs w:val="24"/>
        </w:rPr>
        <w:t>ndenrigs- og b</w:t>
      </w:r>
      <w:r w:rsidRPr="003118DF">
        <w:rPr>
          <w:rFonts w:ascii="Times New Roman" w:hAnsi="Times New Roman" w:cs="Times New Roman"/>
          <w:sz w:val="24"/>
          <w:szCs w:val="24"/>
        </w:rPr>
        <w:t xml:space="preserve">oligministeren kan fastsætte nærmere regler om </w:t>
      </w:r>
      <w:r>
        <w:rPr>
          <w:rFonts w:ascii="Times New Roman" w:hAnsi="Times New Roman" w:cs="Times New Roman"/>
          <w:sz w:val="24"/>
          <w:szCs w:val="24"/>
        </w:rPr>
        <w:t>forsøg, hvorefter ankenævnet kan</w:t>
      </w:r>
      <w:r w:rsidRPr="003118DF">
        <w:rPr>
          <w:rFonts w:ascii="Times New Roman" w:hAnsi="Times New Roman" w:cs="Times New Roman"/>
          <w:sz w:val="24"/>
          <w:szCs w:val="24"/>
        </w:rPr>
        <w:t xml:space="preserve"> undlade at opkræve beløb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02">
        <w:rPr>
          <w:rFonts w:ascii="Times New Roman" w:hAnsi="Times New Roman" w:cs="Times New Roman"/>
          <w:sz w:val="24"/>
          <w:szCs w:val="24"/>
        </w:rPr>
        <w:t>efter</w:t>
      </w:r>
      <w:r>
        <w:rPr>
          <w:rFonts w:ascii="Times New Roman" w:hAnsi="Times New Roman" w:cs="Times New Roman"/>
          <w:sz w:val="24"/>
          <w:szCs w:val="24"/>
        </w:rPr>
        <w:t xml:space="preserve"> stk. 4</w:t>
      </w:r>
      <w:r w:rsidRPr="003118DF">
        <w:rPr>
          <w:rFonts w:ascii="Times New Roman" w:hAnsi="Times New Roman" w:cs="Times New Roman"/>
          <w:sz w:val="24"/>
          <w:szCs w:val="24"/>
        </w:rPr>
        <w:t xml:space="preserve"> for indbringelse af sager for </w:t>
      </w:r>
      <w:r>
        <w:rPr>
          <w:rFonts w:ascii="Times New Roman" w:hAnsi="Times New Roman" w:cs="Times New Roman"/>
          <w:sz w:val="24"/>
          <w:szCs w:val="24"/>
        </w:rPr>
        <w:t>ankenævnet.</w:t>
      </w:r>
    </w:p>
    <w:p w14:paraId="3150A642" w14:textId="77777777" w:rsidR="002C2355" w:rsidRDefault="002C2355" w:rsidP="00F51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700F3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Bestemmelsen giver indenrigs- og boligministeren beføjelser til i en bekendtgørelse at fastsætte nærmere regler for et forsøg, hvorefter kommunerne kan få tilladelse til som forsøg at undlade at opkræve beløb ved indbringelse af sager for ankenævnet.</w:t>
      </w:r>
    </w:p>
    <w:p w14:paraId="6DBC5559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D2326E6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4 omhandler beløbet, som generelt skal betales ved indbringelse af sager for huslejenævnsafgørelser for ankenævnet, og udgør kr. 166 </w:t>
      </w:r>
      <w:r w:rsidR="00C6563C" w:rsidRPr="00C6563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for hver lejlighed eller lokale, hvorom afgørelse indbringes for ankenævnet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(2021-niveau).</w:t>
      </w:r>
    </w:p>
    <w:p w14:paraId="78983139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1A558AA" w14:textId="4820D156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hensigten, at der i bekendtgørelsen gøres muligt, at give tilladelse til kommuner i en periode på op til </w:t>
      </w:r>
      <w:r w:rsidR="00D04BD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år kan undlade at opkræve betaling i henhold til stk. 1, 2. og 3. pkt., for indbringelse af sager for </w:t>
      </w:r>
      <w:r w:rsidR="00C6563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nævnet.</w:t>
      </w:r>
    </w:p>
    <w:p w14:paraId="3F471619" w14:textId="77777777" w:rsidR="00C6563C" w:rsidRDefault="00C6563C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5279A98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tillige hensigten, at der i bekendtgørelsen stilles krav om at kommunen sandsynliggør, at der er sat tilstrækkelige midler af til forsøget til, at sagsbehandlingstiden ikke forøges som følge af forsøget.</w:t>
      </w:r>
    </w:p>
    <w:p w14:paraId="7B629288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F9C5908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Dette indebærer bl.a., at der er taget højde for tabt indtjening som følge af den manglende indbetaling generelt samt at der tages højde for en forventet stigning i antallet af sager indbragt for </w:t>
      </w:r>
      <w:r w:rsidR="00FA09D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ankenævnet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og de medfølgende udgifter hertil.</w:t>
      </w:r>
    </w:p>
    <w:p w14:paraId="7C10317D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14478159" w14:textId="77777777" w:rsidR="002C2355" w:rsidRDefault="00C6563C" w:rsidP="002C2355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3118DF">
        <w:rPr>
          <w:rFonts w:ascii="Times New Roman" w:hAnsi="Times New Roman" w:cs="Times New Roman"/>
          <w:sz w:val="24"/>
          <w:szCs w:val="24"/>
        </w:rPr>
        <w:t>Stk. 5 og 6 bliver herefter stk. 6 og 7.</w:t>
      </w:r>
    </w:p>
    <w:p w14:paraId="1639ED68" w14:textId="77777777" w:rsidR="002C2355" w:rsidRPr="00481026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4755597E" w14:textId="77777777" w:rsidR="002C2355" w:rsidRDefault="002C2355" w:rsidP="002C23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henvises i øvrigt til de almindelige bemærkninger under afsnit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3056FEC8" w14:textId="77777777" w:rsidR="002C2355" w:rsidRPr="003118DF" w:rsidRDefault="002C2355" w:rsidP="00F51D01">
      <w:pPr>
        <w:spacing w:line="240" w:lineRule="auto"/>
        <w:rPr>
          <w:rFonts w:ascii="Times New Roman" w:hAnsi="Times New Roman" w:cs="Times New Roman"/>
        </w:rPr>
      </w:pPr>
      <w:r w:rsidRPr="003118DF">
        <w:rPr>
          <w:rFonts w:ascii="Times New Roman" w:hAnsi="Times New Roman" w:cs="Times New Roman"/>
          <w:sz w:val="24"/>
          <w:szCs w:val="24"/>
        </w:rPr>
        <w:br/>
      </w:r>
    </w:p>
    <w:p w14:paraId="1479077D" w14:textId="77777777" w:rsidR="002C2355" w:rsidRPr="00481026" w:rsidRDefault="002C2355" w:rsidP="004C4E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2210F2B" w14:textId="77777777" w:rsidR="000E2EA3" w:rsidRPr="00481026" w:rsidRDefault="000E2EA3" w:rsidP="000E2EA3">
      <w:pPr>
        <w:spacing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494FA668" w14:textId="77777777" w:rsidR="00504ECC" w:rsidRPr="00481026" w:rsidRDefault="00504ECC" w:rsidP="00504ECC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Til § </w:t>
      </w:r>
      <w:r w:rsidR="00F23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2</w:t>
      </w:r>
    </w:p>
    <w:p w14:paraId="0FAFD00F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nr. 1</w:t>
      </w:r>
    </w:p>
    <w:p w14:paraId="66CD859F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58C0B1C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 den gældende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almenlejelovs § 102, stk. 1, gælder, at i</w:t>
      </w:r>
      <w:r w:rsidRPr="00C6563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ndbringelse af sager for beboerklagenævnet skal ske skriftligt. Den nødvendige dokumentation skal vedlægges.  Ved indbringelse af sager skal betales et beløb på 100 kr. for hver sag. Beløbet er fastsat i 1998-niveau og reguleres en gang årligt efter udviklingen i Danmarks Statistiks nettoprisindeks i en 12-måneders-periode sluttende i juni måned året før det finansår, reguleringen vedrører. Beløbet afrundes til nærmeste hele kronebeløb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</w:p>
    <w:p w14:paraId="18933606" w14:textId="77777777" w:rsidR="00C6563C" w:rsidRPr="004C4E48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28C399A" w14:textId="77777777" w:rsidR="00C6563C" w:rsidRPr="004C4E48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foreslås at ændre boligreguleringslovens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§ 102, stk. 1, 2. pkt.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ved at det tilføjes, at stk. 2 indeholder en undtagelse hertil.</w:t>
      </w:r>
    </w:p>
    <w:p w14:paraId="388AB657" w14:textId="77777777" w:rsidR="00C6563C" w:rsidRPr="004C4E48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4883673" w14:textId="54B2EC74" w:rsidR="00C6563C" w:rsidRPr="004C4E48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Ændringen er en konsekvens af den i lovforslagets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foresl</w:t>
      </w:r>
      <w:r w:rsidR="00C8265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åede bestemmelse, der vedrører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indenrigs- og boligministerens hjemmel til at fastsætte regler, hvorefter der kan gives tilladelse til kommuner til at undlade at opkræve beløb ved indbringelse af sager for beboerklagenævnet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689DA71A" w14:textId="77777777" w:rsidR="00C6563C" w:rsidRPr="004C4E48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3207BAC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henvises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øvrigt </w:t>
      </w:r>
      <w:r w:rsidRPr="004C4E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de alm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indelige bemærkninger under afsnit 2.1.</w:t>
      </w:r>
    </w:p>
    <w:p w14:paraId="10352631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206DBD3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 nr. 3</w:t>
      </w:r>
    </w:p>
    <w:p w14:paraId="3C2C1D12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3641934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Der findes ikke i lovgivningen hjemmel til,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beboerklagenævnet kan undlade at opkræve betaling ved indbringelse af sager.</w:t>
      </w:r>
    </w:p>
    <w:p w14:paraId="32279551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3980B75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Det foreslås som en ny bestemmelse i</w:t>
      </w:r>
      <w:r w:rsidRPr="005C34F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 w:rsidRPr="00617D6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§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102</w:t>
      </w:r>
      <w:r w:rsidRPr="00617D6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s</w:t>
      </w:r>
      <w:r w:rsidRPr="0032431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 xml:space="preserve">tk.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, at i</w:t>
      </w:r>
      <w:r w:rsidRPr="00C6563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ndenrigs- og boligministeren kan fastsætte nærmere regler om forsøg, hvorefter beboerklagenævnet kan undlade at opkræve beløb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efter stk. 1,</w:t>
      </w:r>
      <w:r w:rsidRPr="00C6563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for indbringelse a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f sager for beboerklagenævnet. </w:t>
      </w:r>
    </w:p>
    <w:p w14:paraId="6AFC68D5" w14:textId="77777777" w:rsidR="00C6563C" w:rsidRDefault="00C6563C" w:rsidP="00C65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EB1B5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Bestemmelsen giver indenrigs- og boligministeren beføjelser til i en bekendtgørelse at fastsætte nærmere regler for et forsøg, hvorefter kommunerne kan få tilladelse til som forsøg at undlade at opkræve beløb ved indbringelse af sager for beboerklagenævnet.</w:t>
      </w:r>
    </w:p>
    <w:p w14:paraId="16045030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E84F66A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1 omhandler beløbet, som generelt skal betales ved indbringelse af sager for beboerklagenævnet, og udgør kr. 147 (2021-niveau).</w:t>
      </w:r>
    </w:p>
    <w:p w14:paraId="0DEE0419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F1FE069" w14:textId="531C92CB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hensigten, at der i bekendtgørelsen gøres muligt, at give tilladelse til kommuner i en periode på op til </w:t>
      </w:r>
      <w:r w:rsidR="00D04BD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år kan undlade at opkræve betaling i henhold til stk. 1, 2. og 3. pkt., for indbringelse af sager for </w:t>
      </w:r>
      <w:r w:rsidR="00FA09D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beboerklagenævnet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04F1183B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303B3B1E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tillige hensigten, at der i bekendtgørelsen stilles krav om at kommunen sandsynliggør, at der er sat tilstrækkelige midler af til forsøget til, at sagsbehandlingstiden ikke forøges som følge af forsøget.</w:t>
      </w:r>
    </w:p>
    <w:p w14:paraId="6B57C3C4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0FE1630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Dette indebærer bl.a., at der er taget højde for tabt indtjening som følge af den manglende indbetaling generelt samt at der tages højde for en forventet stigning i antallet af sager indbragt for </w:t>
      </w:r>
      <w:r w:rsidR="00FA09D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beboerklagenævnet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og de medfølgende udgifter hertil.</w:t>
      </w:r>
    </w:p>
    <w:p w14:paraId="4EA5FD23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0ED0F6A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C6563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Stk. 2 bliver herefter stk. 3.</w:t>
      </w:r>
    </w:p>
    <w:p w14:paraId="31753E55" w14:textId="77777777" w:rsidR="00C6563C" w:rsidRPr="00481026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79E52123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henvises i øvrigt til de almindelige bemærkninger under afsnit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</w:t>
      </w: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663528E2" w14:textId="77777777" w:rsidR="00C6563C" w:rsidRDefault="00C6563C" w:rsidP="00C656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06E58F8" w14:textId="77777777" w:rsidR="009B0FD2" w:rsidRPr="00481026" w:rsidRDefault="009B0FD2" w:rsidP="009B0FD2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Til § </w:t>
      </w:r>
      <w:r w:rsidR="00F23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3</w:t>
      </w:r>
    </w:p>
    <w:p w14:paraId="4457E707" w14:textId="77777777" w:rsidR="009B0FD2" w:rsidRDefault="00504ECC" w:rsidP="00AB0C68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foreslås, at loven tr</w:t>
      </w:r>
      <w:r w:rsidR="00B52C95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æder i kraft den 1. </w:t>
      </w:r>
      <w:r w:rsidR="005D5E71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januar </w:t>
      </w:r>
      <w:r w:rsidR="00FA09D4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202</w:t>
      </w:r>
      <w:r w:rsidR="00FA09D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B52C95" w:rsidRPr="0048102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7B46D593" w14:textId="77777777" w:rsidR="00F231F6" w:rsidRPr="00481026" w:rsidRDefault="007D1CFD" w:rsidP="00732962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Ændringsl</w:t>
      </w:r>
      <w:r w:rsidR="00732962" w:rsidRP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oven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vil ikke </w:t>
      </w:r>
      <w:r w:rsidR="00732962" w:rsidRP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gælde for Færøerne og Grønland,</w:t>
      </w:r>
      <w:r w:rsid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da hverken </w:t>
      </w:r>
      <w:r w:rsidR="00FA09D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boligreguleringsloven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eller almenlejeloven </w:t>
      </w:r>
      <w:r w:rsidR="00732962" w:rsidRP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gælder for Færøerne og</w:t>
      </w:r>
      <w:r w:rsid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732962" w:rsidRP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Grønland</w:t>
      </w:r>
      <w:r w:rsidR="0073296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677C6707" w14:textId="77777777" w:rsidR="0026537B" w:rsidRDefault="0026537B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  <w:br w:type="page"/>
      </w:r>
    </w:p>
    <w:p w14:paraId="2A8976D9" w14:textId="77777777" w:rsidR="00500494" w:rsidRDefault="00500494" w:rsidP="00500494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</w:pPr>
      <w:r w:rsidRPr="005004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  <w:lastRenderedPageBreak/>
        <w:t>Bilag 1</w:t>
      </w:r>
      <w:r w:rsidR="005D066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da-DK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500494" w:rsidRPr="00500494" w14:paraId="205F9E27" w14:textId="77777777" w:rsidTr="009F3A49">
        <w:trPr>
          <w:trHeight w:val="574"/>
        </w:trPr>
        <w:tc>
          <w:tcPr>
            <w:tcW w:w="9628" w:type="dxa"/>
            <w:gridSpan w:val="2"/>
          </w:tcPr>
          <w:p w14:paraId="76A12D9C" w14:textId="77777777" w:rsidR="00500494" w:rsidRPr="00500494" w:rsidRDefault="00500494" w:rsidP="0050049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Lovforslaget sammenholdt med gældende ret</w:t>
            </w:r>
          </w:p>
        </w:tc>
      </w:tr>
      <w:tr w:rsidR="00500494" w:rsidRPr="00500494" w14:paraId="1EDD5BD8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0F4307FA" w14:textId="77777777" w:rsidR="00500494" w:rsidRPr="00500494" w:rsidRDefault="00500494" w:rsidP="0050049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Gældende formulering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1995B214" w14:textId="77777777" w:rsidR="00500494" w:rsidRPr="00500494" w:rsidRDefault="00500494" w:rsidP="0050049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Lovforslaget</w:t>
            </w:r>
          </w:p>
        </w:tc>
      </w:tr>
      <w:tr w:rsidR="00500494" w:rsidRPr="00500494" w14:paraId="11FAB8E2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2D193840" w14:textId="77777777" w:rsidR="00500494" w:rsidRPr="00500494" w:rsidRDefault="00500494" w:rsidP="00500494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3B8FAD5E" w14:textId="77777777" w:rsidR="00500494" w:rsidRPr="00CE60CE" w:rsidRDefault="00CE60CE" w:rsidP="00CE60C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</w:t>
            </w:r>
          </w:p>
        </w:tc>
      </w:tr>
      <w:tr w:rsidR="00861D58" w:rsidRPr="00500494" w14:paraId="5C8874F2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5A935F63" w14:textId="77777777" w:rsidR="00861D58" w:rsidRPr="00500494" w:rsidRDefault="00861D58" w:rsidP="00500494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62BF3606" w14:textId="77777777" w:rsidR="00861D58" w:rsidRPr="002E17A6" w:rsidRDefault="00C12C2E" w:rsidP="002F6E6B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2C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 lov om midlertidig regulering af boligforholdene, jf. lovbekendtgørelse nr. 929 af 4. september 2019, som ændret senest ved § 2 i lov nr. 2077 af 21. december 2020 foretages følgende ændringer:</w:t>
            </w:r>
            <w:r w:rsidR="00861D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</w:tc>
      </w:tr>
      <w:tr w:rsidR="00861D58" w:rsidRPr="00500494" w14:paraId="3A024D1D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79FB4FE9" w14:textId="77777777" w:rsidR="00C12C2E" w:rsidRPr="00F51D01" w:rsidRDefault="00C12C2E" w:rsidP="00F51D01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01">
              <w:rPr>
                <w:rFonts w:ascii="Times New Roman" w:hAnsi="Times New Roman" w:cs="Times New Roman"/>
                <w:b/>
                <w:sz w:val="24"/>
                <w:szCs w:val="24"/>
              </w:rPr>
              <w:t>§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…</w:t>
            </w:r>
          </w:p>
          <w:p w14:paraId="3935A258" w14:textId="77777777" w:rsidR="00861D58" w:rsidRDefault="00C12C2E" w:rsidP="00C12C2E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01">
              <w:rPr>
                <w:rFonts w:ascii="Times New Roman" w:hAnsi="Times New Roman" w:cs="Times New Roman"/>
                <w:i/>
                <w:sz w:val="24"/>
                <w:szCs w:val="24"/>
              </w:rPr>
              <w:t>Stk. 2.</w:t>
            </w:r>
            <w:r w:rsidRPr="00C12C2E">
              <w:rPr>
                <w:rFonts w:ascii="Times New Roman" w:hAnsi="Times New Roman" w:cs="Times New Roman"/>
                <w:sz w:val="24"/>
                <w:szCs w:val="24"/>
              </w:rPr>
              <w:t xml:space="preserve">  Udlejeren skal betale et beløb på 6.000 kr. til huslejenævnet, når lejeren får fuldt medhold i nævnet. Beløbet er fastsat i 2020-niveau og reguleres én gang årligt efter udviklingen i Danmarks Statistiks nettoprisindeks i en 12-månedersperiode sluttende i juni måned året før det finansår, reguleringen vedrører. Beløbet afrundes til nærmeste hele kronebeløb</w:t>
            </w:r>
          </w:p>
          <w:p w14:paraId="59A1D7D1" w14:textId="77777777" w:rsidR="00C12C2E" w:rsidRDefault="00C12C2E" w:rsidP="00C12C2E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01">
              <w:rPr>
                <w:rFonts w:ascii="Times New Roman" w:hAnsi="Times New Roman" w:cs="Times New Roman"/>
                <w:i/>
                <w:sz w:val="24"/>
                <w:szCs w:val="24"/>
              </w:rPr>
              <w:t>Stk.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 </w:t>
            </w:r>
          </w:p>
          <w:p w14:paraId="30E16290" w14:textId="77777777" w:rsidR="00C12C2E" w:rsidRDefault="00C12C2E" w:rsidP="00C12C2E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0EE5" w14:textId="77777777" w:rsidR="00C12C2E" w:rsidRDefault="00C12C2E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01">
              <w:rPr>
                <w:rFonts w:ascii="Times New Roman" w:hAnsi="Times New Roman" w:cs="Times New Roman"/>
                <w:b/>
                <w:sz w:val="24"/>
                <w:szCs w:val="24"/>
              </w:rPr>
              <w:t>§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D01">
              <w:rPr>
                <w:rFonts w:ascii="Times New Roman" w:hAnsi="Times New Roman" w:cs="Times New Roman"/>
                <w:i/>
                <w:sz w:val="24"/>
                <w:szCs w:val="24"/>
              </w:rPr>
              <w:t>Stk. 2-3.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14:paraId="783B4633" w14:textId="77777777" w:rsidR="00C12C2E" w:rsidRDefault="00C12C2E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1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tk.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11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2E">
              <w:rPr>
                <w:rFonts w:ascii="Times New Roman" w:hAnsi="Times New Roman" w:cs="Times New Roman"/>
                <w:sz w:val="24"/>
                <w:szCs w:val="24"/>
              </w:rPr>
              <w:t>Klageren afkræves et beløb på 106 kr. for hver lejlighed eller lokale, hvorom afgørelse indbringes for ankenævnet. Beløbet tilfalder kommunen. Beløbet er opgjort i 1994-niveau og reguleres én gang årligt med 2,0 pct. tillagt en tilpasningsprocent for det pågældende finansår, jf. lov om en satsreguleringsprocent. For 1998 og fremover reguleres beløbet efter 1. pkt. i stedet efter udviklingen i Danmarks Statistiks nettoprisindeks i en 12-måneders-periode sluttende i juni måned året før det finansår, reguleringen vedrører. Beløbet afrundes til nærmeste hele kronebeløb</w:t>
            </w:r>
          </w:p>
          <w:p w14:paraId="1500F8A8" w14:textId="77777777" w:rsidR="00C12C2E" w:rsidRPr="00500494" w:rsidRDefault="00C12C2E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Stk. 5-6…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61500EAF" w14:textId="77777777" w:rsidR="00C12C2E" w:rsidRPr="00C12C2E" w:rsidRDefault="00861D58" w:rsidP="00F51D01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1. </w:t>
            </w:r>
            <w:r w:rsidR="00C12C2E" w:rsidRPr="00C12C2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I </w:t>
            </w:r>
            <w:r w:rsidR="00C12C2E"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§ 39</w:t>
            </w:r>
            <w:r w:rsidR="00C12C2E" w:rsidRPr="00C12C2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indsættes efter stk. 1 som nyt stykke:</w:t>
            </w:r>
          </w:p>
          <w:p w14:paraId="57503E9E" w14:textId="77777777" w:rsidR="00C12C2E" w:rsidRPr="00C12C2E" w:rsidRDefault="00C12C2E" w:rsidP="00F51D01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12C2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  <w:r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Stk. 2.</w:t>
            </w:r>
            <w:r w:rsidRPr="00C12C2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Indenrigs- og boligministeren kan fastsætte nærmere regler om forsøg, hvorefter huslejenævnet kan undlade at opkræve de i stk. 1, 2. og 3. pkt. nævnte beløb for indbringelse af sager for huslejenævnet.«</w:t>
            </w:r>
          </w:p>
          <w:p w14:paraId="3C7F1495" w14:textId="77777777" w:rsidR="00C12C2E" w:rsidRDefault="00C12C2E" w:rsidP="002E17A6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12C2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Stk. 2 og 3 bliver herefter stk. 3 og 4.</w:t>
            </w:r>
          </w:p>
          <w:p w14:paraId="72456228" w14:textId="77777777" w:rsidR="00C12C2E" w:rsidRDefault="00C12C2E" w:rsidP="002E17A6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6AD3840D" w14:textId="77777777" w:rsidR="00C12C2E" w:rsidRDefault="00C12C2E" w:rsidP="002E17A6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4F7DD9BD" w14:textId="77777777" w:rsidR="00C12C2E" w:rsidRDefault="00C12C2E" w:rsidP="002E17A6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2A16FA9C" w14:textId="77777777" w:rsidR="00C12C2E" w:rsidRDefault="00C12C2E" w:rsidP="002E17A6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4E98E912" w14:textId="77777777" w:rsidR="00C12C2E" w:rsidRDefault="00C12C2E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2. 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I </w:t>
            </w:r>
            <w:r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§ 44, stk. 4, 1. pkt.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, indsættes efter »ankenævnet«: », jf. dog stk. 5«.</w:t>
            </w:r>
          </w:p>
          <w:p w14:paraId="5B322C6E" w14:textId="77777777" w:rsidR="00C12C2E" w:rsidRPr="00F51D01" w:rsidRDefault="00C12C2E" w:rsidP="00F51D01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51D0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I </w:t>
            </w:r>
            <w:r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§ 44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indsættes efter stk. 4 som et nyt stykke:</w:t>
            </w:r>
          </w:p>
          <w:p w14:paraId="2EDF7072" w14:textId="77777777" w:rsidR="00C12C2E" w:rsidRPr="00F51D01" w:rsidRDefault="00C12C2E" w:rsidP="00F51D01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  <w:r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Stk. 5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Indenrigs- og boligministeren kan fastsætte nærmere regler om forsøg, hvorefter ankenævnet kan undlade at opkræve beløb i </w:t>
            </w:r>
            <w:r w:rsidR="0025330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efter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stk. 4 for indbringelse af sager for ankenævnet.«</w:t>
            </w:r>
          </w:p>
          <w:p w14:paraId="4CE9A240" w14:textId="77777777" w:rsidR="00861D58" w:rsidRPr="002C06D6" w:rsidRDefault="00C12C2E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Stk. 5 og 6 bliver herefter stk. 6 og 7.</w:t>
            </w:r>
            <w:r w:rsidR="00861D58" w:rsidRPr="00F51D0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br/>
            </w:r>
          </w:p>
        </w:tc>
      </w:tr>
      <w:tr w:rsidR="00861D58" w:rsidRPr="00500494" w14:paraId="13E42087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05551F8A" w14:textId="77777777" w:rsidR="00861D58" w:rsidRPr="00500494" w:rsidRDefault="00861D58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2DA7A7FB" w14:textId="77777777" w:rsidR="00861D58" w:rsidRPr="00500494" w:rsidRDefault="00861D58" w:rsidP="0091186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§ 2</w:t>
            </w:r>
          </w:p>
        </w:tc>
      </w:tr>
      <w:tr w:rsidR="00861D58" w:rsidRPr="00500494" w14:paraId="053251AA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31C09470" w14:textId="77777777" w:rsidR="00861D58" w:rsidRPr="00500494" w:rsidRDefault="00861D58" w:rsidP="00500494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40B6BC6" w14:textId="77777777" w:rsidR="00861D58" w:rsidRPr="00AB450F" w:rsidRDefault="00861D58" w:rsidP="00AB450F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I lov om leje af almene boliger, jf. lovbekendtgørelse nr. 928 af 4. september 2019, </w:t>
            </w:r>
            <w:r w:rsidR="00253302" w:rsidRPr="00F60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som</w:t>
            </w:r>
            <w:r w:rsidR="002533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senest ændret</w:t>
            </w:r>
            <w:r w:rsidR="00253302" w:rsidRPr="00F60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ved § 2 i lov nr. 529 </w:t>
            </w:r>
            <w:r w:rsidR="00253302" w:rsidRPr="00F60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af 27. marts 2021 foretages følgende ændringer</w:t>
            </w:r>
            <w:r w:rsidRPr="004810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</w:tc>
      </w:tr>
      <w:tr w:rsidR="00861D58" w:rsidRPr="00500494" w14:paraId="62E52893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7673AC37" w14:textId="77777777" w:rsidR="00861D58" w:rsidRPr="00500494" w:rsidRDefault="00861D58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</w:t>
            </w:r>
            <w:r w:rsidR="0025330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3302" w:rsidRPr="00F51D01">
              <w:rPr>
                <w:rFonts w:ascii="Times New Roman" w:hAnsi="Times New Roman" w:cs="Times New Roman"/>
                <w:sz w:val="24"/>
                <w:szCs w:val="24"/>
              </w:rPr>
              <w:t>Indbringelse af sager for beboerklagenævnet skal ske skriftligt. Den nødvendige dokumentation skal vedlægges.  Ved indbringelse af sager skal betales et beløb på 100 kr. for hver sag. Beløbet er fastsat i 1998-niveau og reguleres en gang årligt efter udviklingen i Danmarks Statistiks nettoprisindeks i en 12-måneders-periode sluttende i juni måned året før det finansår, reguleringen vedrører. Beløbet afrundes til nærmeste hele kronebeløb</w:t>
            </w:r>
            <w:r w:rsidR="00253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17A6">
              <w:rPr>
                <w:rFonts w:ascii="Times New Roman" w:hAnsi="Times New Roman" w:cs="Times New Roman"/>
                <w:i/>
                <w:sz w:val="24"/>
                <w:szCs w:val="24"/>
              </w:rPr>
              <w:t>Stk. 2</w:t>
            </w:r>
            <w:r w:rsidR="00253302"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EA2A26E" w14:textId="77777777" w:rsidR="00253302" w:rsidRDefault="00861D58" w:rsidP="00CB1289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1. </w:t>
            </w:r>
            <w:r w:rsidR="00253302" w:rsidRPr="00253302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I § 102, stk. 1, 2. pkt. </w:t>
            </w:r>
            <w:r w:rsidR="00253302"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indsættes efter »sag«: », jf. dog stk. 2«</w:t>
            </w:r>
          </w:p>
          <w:p w14:paraId="503E37E4" w14:textId="77777777" w:rsidR="00253302" w:rsidRPr="00F51D01" w:rsidRDefault="00253302" w:rsidP="00F51D01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51D0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I </w:t>
            </w:r>
            <w:r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§ 102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indsættes efter stk. 1 som et nyt stykke:</w:t>
            </w:r>
          </w:p>
          <w:p w14:paraId="7DF30F2D" w14:textId="77777777" w:rsidR="00253302" w:rsidRPr="00F51D01" w:rsidRDefault="00253302" w:rsidP="00F51D01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  <w:r w:rsidRPr="00F51D0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Stk. 2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. Indenrigs- og boligministeren kan fastsætte nærmere regler om forsøg, hvorefter beboerklagenævnet kan undlade at opkræve beløb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efter stk. 1</w:t>
            </w: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for indbringelse af sager for beboerklagenævnet. «</w:t>
            </w:r>
          </w:p>
          <w:p w14:paraId="709A1A05" w14:textId="77777777" w:rsidR="00861D58" w:rsidRPr="00253302" w:rsidRDefault="00253302" w:rsidP="00253302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0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Stk. 2 bliver herefter stk. 3.</w:t>
            </w:r>
            <w:r w:rsidR="00861D58" w:rsidRPr="00F51D0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br/>
            </w:r>
          </w:p>
        </w:tc>
      </w:tr>
      <w:tr w:rsidR="00861D58" w:rsidRPr="00500494" w14:paraId="18910E0B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0C528BDD" w14:textId="77777777" w:rsidR="00861D58" w:rsidRPr="00500494" w:rsidRDefault="00861D58" w:rsidP="00500494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55CC4572" w14:textId="77777777" w:rsidR="00861D58" w:rsidRPr="00A84A6C" w:rsidRDefault="00861D58" w:rsidP="00294CA9">
            <w:pPr>
              <w:pStyle w:val="Listeafsnit"/>
              <w:ind w:left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58" w:rsidRPr="00500494" w14:paraId="39A1AA2E" w14:textId="77777777" w:rsidTr="009F3A49">
        <w:tc>
          <w:tcPr>
            <w:tcW w:w="4814" w:type="dxa"/>
            <w:tcBorders>
              <w:right w:val="single" w:sz="4" w:space="0" w:color="auto"/>
            </w:tcBorders>
          </w:tcPr>
          <w:p w14:paraId="0FD4777E" w14:textId="77777777" w:rsidR="00861D58" w:rsidRPr="00500494" w:rsidRDefault="00861D58" w:rsidP="00AB450F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64F8D8CA" w14:textId="77777777" w:rsidR="00861D58" w:rsidRPr="00AB450F" w:rsidRDefault="00861D58" w:rsidP="00AB450F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A76AA" w14:textId="77777777" w:rsidR="00616D97" w:rsidRPr="000E2EA3" w:rsidRDefault="00616D97" w:rsidP="00500494">
      <w:pPr>
        <w:spacing w:before="100" w:beforeAutospacing="1" w:line="240" w:lineRule="auto"/>
        <w:ind w:firstLine="170"/>
        <w:jc w:val="center"/>
        <w:rPr>
          <w:sz w:val="22"/>
          <w:szCs w:val="10"/>
        </w:rPr>
      </w:pPr>
    </w:p>
    <w:sectPr w:rsidR="00616D97" w:rsidRPr="000E2EA3" w:rsidSect="007C2848">
      <w:headerReference w:type="default" r:id="rId8"/>
      <w:footerReference w:type="default" r:id="rId9"/>
      <w:pgSz w:w="11906" w:h="16838"/>
      <w:pgMar w:top="1701" w:right="1134" w:bottom="1276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062D" w14:textId="77777777" w:rsidR="008359A1" w:rsidRDefault="008359A1">
      <w:pPr>
        <w:spacing w:line="240" w:lineRule="auto"/>
      </w:pPr>
      <w:r>
        <w:separator/>
      </w:r>
    </w:p>
  </w:endnote>
  <w:endnote w:type="continuationSeparator" w:id="0">
    <w:p w14:paraId="7314DB36" w14:textId="77777777" w:rsidR="008359A1" w:rsidRDefault="008359A1">
      <w:pPr>
        <w:spacing w:line="240" w:lineRule="auto"/>
      </w:pPr>
      <w:r>
        <w:continuationSeparator/>
      </w:r>
    </w:p>
  </w:endnote>
  <w:endnote w:type="continuationNotice" w:id="1">
    <w:p w14:paraId="36AB165A" w14:textId="77777777" w:rsidR="008359A1" w:rsidRDefault="008359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977836496"/>
      <w:docPartObj>
        <w:docPartGallery w:val="Page Numbers (Bottom of Page)"/>
        <w:docPartUnique/>
      </w:docPartObj>
    </w:sdtPr>
    <w:sdtEndPr/>
    <w:sdtContent>
      <w:p w14:paraId="526A6BC4" w14:textId="77777777" w:rsidR="00E12D02" w:rsidRDefault="00E12D02" w:rsidP="007C2848">
        <w:pPr>
          <w:pStyle w:val="Sidefod"/>
          <w:pBdr>
            <w:bottom w:val="single" w:sz="4" w:space="1" w:color="auto"/>
          </w:pBdr>
          <w:ind w:right="-1"/>
          <w:jc w:val="center"/>
          <w:rPr>
            <w:rFonts w:ascii="Times New Roman" w:hAnsi="Times New Roman" w:cs="Times New Roman"/>
            <w:sz w:val="20"/>
          </w:rPr>
        </w:pPr>
      </w:p>
      <w:p w14:paraId="57B5163E" w14:textId="77777777" w:rsidR="00E12D02" w:rsidRDefault="00E12D02" w:rsidP="00890579">
        <w:pPr>
          <w:pStyle w:val="Sidefod"/>
          <w:ind w:right="-1"/>
          <w:jc w:val="center"/>
          <w:rPr>
            <w:rFonts w:ascii="Times New Roman" w:hAnsi="Times New Roman" w:cs="Times New Roman"/>
            <w:sz w:val="20"/>
          </w:rPr>
        </w:pPr>
      </w:p>
      <w:p w14:paraId="592332C5" w14:textId="38463B0F" w:rsidR="00E12D02" w:rsidRPr="007C2848" w:rsidRDefault="00E12D02" w:rsidP="00890579">
        <w:pPr>
          <w:pStyle w:val="Sidefod"/>
          <w:ind w:right="-1"/>
          <w:jc w:val="center"/>
          <w:rPr>
            <w:rFonts w:ascii="Times New Roman" w:hAnsi="Times New Roman" w:cs="Times New Roman"/>
            <w:sz w:val="20"/>
          </w:rPr>
        </w:pPr>
        <w:r w:rsidRPr="007C2848">
          <w:rPr>
            <w:rFonts w:ascii="Times New Roman" w:hAnsi="Times New Roman" w:cs="Times New Roman"/>
            <w:sz w:val="20"/>
          </w:rPr>
          <w:fldChar w:fldCharType="begin"/>
        </w:r>
        <w:r w:rsidRPr="007C2848">
          <w:rPr>
            <w:rFonts w:ascii="Times New Roman" w:hAnsi="Times New Roman" w:cs="Times New Roman"/>
            <w:sz w:val="20"/>
          </w:rPr>
          <w:instrText>PAGE   \* MERGEFORMAT</w:instrText>
        </w:r>
        <w:r w:rsidRPr="007C2848">
          <w:rPr>
            <w:rFonts w:ascii="Times New Roman" w:hAnsi="Times New Roman" w:cs="Times New Roman"/>
            <w:sz w:val="20"/>
          </w:rPr>
          <w:fldChar w:fldCharType="separate"/>
        </w:r>
        <w:r w:rsidR="00045A0B">
          <w:rPr>
            <w:rFonts w:ascii="Times New Roman" w:hAnsi="Times New Roman" w:cs="Times New Roman"/>
            <w:noProof/>
            <w:sz w:val="20"/>
          </w:rPr>
          <w:t>10</w:t>
        </w:r>
        <w:r w:rsidRPr="007C2848">
          <w:rPr>
            <w:rFonts w:ascii="Times New Roman" w:hAnsi="Times New Roman" w:cs="Times New Roman"/>
            <w:sz w:val="20"/>
          </w:rPr>
          <w:fldChar w:fldCharType="end"/>
        </w:r>
        <w:r w:rsidR="007039B8">
          <w:rPr>
            <w:rFonts w:ascii="Times New Roman" w:hAnsi="Times New Roman" w:cs="Times New Roman"/>
            <w:sz w:val="20"/>
          </w:rPr>
          <w:t xml:space="preserve"> af 10</w:t>
        </w:r>
      </w:p>
    </w:sdtContent>
  </w:sdt>
  <w:p w14:paraId="365F9F23" w14:textId="77777777" w:rsidR="00E12D02" w:rsidRDefault="00E12D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E8B1" w14:textId="77777777" w:rsidR="008359A1" w:rsidRDefault="008359A1">
      <w:pPr>
        <w:spacing w:line="240" w:lineRule="auto"/>
      </w:pPr>
      <w:r>
        <w:separator/>
      </w:r>
    </w:p>
  </w:footnote>
  <w:footnote w:type="continuationSeparator" w:id="0">
    <w:p w14:paraId="605FF30D" w14:textId="77777777" w:rsidR="008359A1" w:rsidRDefault="008359A1">
      <w:pPr>
        <w:spacing w:line="240" w:lineRule="auto"/>
      </w:pPr>
      <w:r>
        <w:continuationSeparator/>
      </w:r>
    </w:p>
  </w:footnote>
  <w:footnote w:type="continuationNotice" w:id="1">
    <w:p w14:paraId="756F7477" w14:textId="77777777" w:rsidR="008359A1" w:rsidRDefault="008359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CAAB" w14:textId="463CD2E5" w:rsidR="00E12D02" w:rsidRPr="00EA679D" w:rsidRDefault="00E12D02" w:rsidP="00EA679D">
    <w:pPr>
      <w:pStyle w:val="Sidefod"/>
      <w:tabs>
        <w:tab w:val="left" w:pos="7526"/>
        <w:tab w:val="right" w:pos="11906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Pr="00EA679D">
      <w:rPr>
        <w:rFonts w:ascii="Times New Roman" w:hAnsi="Times New Roman" w:cs="Times New Roman"/>
        <w:sz w:val="20"/>
      </w:rPr>
      <w:t xml:space="preserve">Side </w:t>
    </w:r>
    <w:sdt>
      <w:sdtPr>
        <w:rPr>
          <w:rFonts w:ascii="Times New Roman" w:hAnsi="Times New Roman" w:cs="Times New Roman"/>
          <w:sz w:val="20"/>
        </w:rPr>
        <w:id w:val="-1976373886"/>
        <w:docPartObj>
          <w:docPartGallery w:val="Page Numbers (Bottom of Page)"/>
          <w:docPartUnique/>
        </w:docPartObj>
      </w:sdtPr>
      <w:sdtEndPr/>
      <w:sdtContent>
        <w:r w:rsidRPr="00EA679D">
          <w:rPr>
            <w:rFonts w:ascii="Times New Roman" w:hAnsi="Times New Roman" w:cs="Times New Roman"/>
            <w:sz w:val="20"/>
          </w:rPr>
          <w:fldChar w:fldCharType="begin"/>
        </w:r>
        <w:r w:rsidRPr="00EA679D">
          <w:rPr>
            <w:rFonts w:ascii="Times New Roman" w:hAnsi="Times New Roman" w:cs="Times New Roman"/>
            <w:sz w:val="20"/>
          </w:rPr>
          <w:instrText>PAGE   \* MERGEFORMAT</w:instrText>
        </w:r>
        <w:r w:rsidRPr="00EA679D">
          <w:rPr>
            <w:rFonts w:ascii="Times New Roman" w:hAnsi="Times New Roman" w:cs="Times New Roman"/>
            <w:sz w:val="20"/>
          </w:rPr>
          <w:fldChar w:fldCharType="separate"/>
        </w:r>
        <w:r w:rsidR="00045A0B">
          <w:rPr>
            <w:rFonts w:ascii="Times New Roman" w:hAnsi="Times New Roman" w:cs="Times New Roman"/>
            <w:noProof/>
            <w:sz w:val="20"/>
          </w:rPr>
          <w:t>10</w:t>
        </w:r>
        <w:r w:rsidRPr="00EA679D">
          <w:rPr>
            <w:rFonts w:ascii="Times New Roman" w:hAnsi="Times New Roman" w:cs="Times New Roman"/>
            <w:sz w:val="20"/>
          </w:rPr>
          <w:fldChar w:fldCharType="end"/>
        </w:r>
        <w:r w:rsidRPr="00EA679D">
          <w:rPr>
            <w:rFonts w:ascii="Times New Roman" w:hAnsi="Times New Roman" w:cs="Times New Roman"/>
            <w:sz w:val="20"/>
          </w:rPr>
          <w:t xml:space="preserve"> af 24</w:t>
        </w:r>
      </w:sdtContent>
    </w:sdt>
  </w:p>
  <w:p w14:paraId="6669ED44" w14:textId="77777777" w:rsidR="00E12D02" w:rsidRPr="00EA679D" w:rsidRDefault="00E12D02" w:rsidP="00EA679D">
    <w:pPr>
      <w:pStyle w:val="Sidehoved"/>
      <w:jc w:val="right"/>
      <w:rPr>
        <w:rFonts w:asciiTheme="minorHAnsi" w:hAnsiTheme="minorHAnsi" w:cstheme="min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6"/>
    <w:multiLevelType w:val="multilevel"/>
    <w:tmpl w:val="609A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i/>
      </w:rPr>
    </w:lvl>
  </w:abstractNum>
  <w:abstractNum w:abstractNumId="1" w15:restartNumberingAfterBreak="0">
    <w:nsid w:val="0C6D6E6B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D117179"/>
    <w:multiLevelType w:val="hybridMultilevel"/>
    <w:tmpl w:val="97E48AFC"/>
    <w:lvl w:ilvl="0" w:tplc="0BB479F2">
      <w:start w:val="6"/>
      <w:numFmt w:val="bullet"/>
      <w:lvlText w:val="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33D4480"/>
    <w:multiLevelType w:val="multilevel"/>
    <w:tmpl w:val="54FC98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5C976C7"/>
    <w:multiLevelType w:val="multilevel"/>
    <w:tmpl w:val="1806EE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A66738C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DEE7158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10A3E08"/>
    <w:multiLevelType w:val="multilevel"/>
    <w:tmpl w:val="0406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405082"/>
    <w:multiLevelType w:val="hybridMultilevel"/>
    <w:tmpl w:val="403EDC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72A5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AEB3781"/>
    <w:multiLevelType w:val="hybridMultilevel"/>
    <w:tmpl w:val="DFAC5CEA"/>
    <w:lvl w:ilvl="0" w:tplc="EEE0BC5A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CFC06F0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14C714B"/>
    <w:multiLevelType w:val="multilevel"/>
    <w:tmpl w:val="609A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i/>
      </w:rPr>
    </w:lvl>
  </w:abstractNum>
  <w:abstractNum w:abstractNumId="13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05F"/>
    <w:multiLevelType w:val="multilevel"/>
    <w:tmpl w:val="01EA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2BB7EE5"/>
    <w:multiLevelType w:val="hybridMultilevel"/>
    <w:tmpl w:val="DFAC5CEA"/>
    <w:lvl w:ilvl="0" w:tplc="EEE0BC5A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3870180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67154CED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2E71C5"/>
    <w:multiLevelType w:val="hybridMultilevel"/>
    <w:tmpl w:val="0FA4737A"/>
    <w:lvl w:ilvl="0" w:tplc="6CB6F942">
      <w:start w:val="1"/>
      <w:numFmt w:val="decimal"/>
      <w:lvlText w:val="%1."/>
      <w:lvlJc w:val="left"/>
      <w:pPr>
        <w:ind w:left="53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AC3000E"/>
    <w:multiLevelType w:val="hybridMultilevel"/>
    <w:tmpl w:val="8F202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3D77"/>
    <w:multiLevelType w:val="hybridMultilevel"/>
    <w:tmpl w:val="A2AAF0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36DD8"/>
    <w:multiLevelType w:val="hybridMultilevel"/>
    <w:tmpl w:val="99F4B5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8"/>
  </w:num>
  <w:num w:numId="5">
    <w:abstractNumId w:val="20"/>
  </w:num>
  <w:num w:numId="6">
    <w:abstractNumId w:val="11"/>
  </w:num>
  <w:num w:numId="7">
    <w:abstractNumId w:val="1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7"/>
  </w:num>
  <w:num w:numId="16">
    <w:abstractNumId w:val="5"/>
  </w:num>
  <w:num w:numId="17">
    <w:abstractNumId w:val="1"/>
  </w:num>
  <w:num w:numId="18">
    <w:abstractNumId w:val="19"/>
  </w:num>
  <w:num w:numId="19">
    <w:abstractNumId w:val="6"/>
  </w:num>
  <w:num w:numId="20">
    <w:abstractNumId w:val="12"/>
  </w:num>
  <w:num w:numId="21">
    <w:abstractNumId w:val="2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8"/>
    <w:rsid w:val="0000481D"/>
    <w:rsid w:val="00007519"/>
    <w:rsid w:val="00007E65"/>
    <w:rsid w:val="000119E9"/>
    <w:rsid w:val="00024727"/>
    <w:rsid w:val="00041AC4"/>
    <w:rsid w:val="00045A0B"/>
    <w:rsid w:val="00050E64"/>
    <w:rsid w:val="000524A5"/>
    <w:rsid w:val="00053170"/>
    <w:rsid w:val="0007012F"/>
    <w:rsid w:val="00072CFA"/>
    <w:rsid w:val="000838D4"/>
    <w:rsid w:val="000850D0"/>
    <w:rsid w:val="000866E8"/>
    <w:rsid w:val="000908EC"/>
    <w:rsid w:val="000960A8"/>
    <w:rsid w:val="000B3CC6"/>
    <w:rsid w:val="000B66C7"/>
    <w:rsid w:val="000C5210"/>
    <w:rsid w:val="000D31BF"/>
    <w:rsid w:val="000D781A"/>
    <w:rsid w:val="000E234A"/>
    <w:rsid w:val="000E2EA3"/>
    <w:rsid w:val="000E453A"/>
    <w:rsid w:val="000F50F7"/>
    <w:rsid w:val="000F5718"/>
    <w:rsid w:val="000F5C66"/>
    <w:rsid w:val="000F68F0"/>
    <w:rsid w:val="00107D19"/>
    <w:rsid w:val="0011487E"/>
    <w:rsid w:val="00115F46"/>
    <w:rsid w:val="001201F9"/>
    <w:rsid w:val="0012602C"/>
    <w:rsid w:val="00131F8B"/>
    <w:rsid w:val="0013221A"/>
    <w:rsid w:val="0013708C"/>
    <w:rsid w:val="00151C50"/>
    <w:rsid w:val="00165D39"/>
    <w:rsid w:val="00166C59"/>
    <w:rsid w:val="00170B9B"/>
    <w:rsid w:val="00173924"/>
    <w:rsid w:val="00181D2E"/>
    <w:rsid w:val="0019118F"/>
    <w:rsid w:val="00197253"/>
    <w:rsid w:val="00197447"/>
    <w:rsid w:val="001B4D8F"/>
    <w:rsid w:val="001B4DD8"/>
    <w:rsid w:val="001B5D3F"/>
    <w:rsid w:val="001B767E"/>
    <w:rsid w:val="001C212C"/>
    <w:rsid w:val="001C5BCD"/>
    <w:rsid w:val="001D2D04"/>
    <w:rsid w:val="001D7C8F"/>
    <w:rsid w:val="001E2F39"/>
    <w:rsid w:val="001F07D3"/>
    <w:rsid w:val="001F14FA"/>
    <w:rsid w:val="001F463C"/>
    <w:rsid w:val="0020050A"/>
    <w:rsid w:val="0021319D"/>
    <w:rsid w:val="00215AB7"/>
    <w:rsid w:val="002206D5"/>
    <w:rsid w:val="00222B60"/>
    <w:rsid w:val="00231E66"/>
    <w:rsid w:val="00243A23"/>
    <w:rsid w:val="00247B2F"/>
    <w:rsid w:val="00253302"/>
    <w:rsid w:val="0025402C"/>
    <w:rsid w:val="00254344"/>
    <w:rsid w:val="00255B46"/>
    <w:rsid w:val="00255C0E"/>
    <w:rsid w:val="002565EE"/>
    <w:rsid w:val="00264E8C"/>
    <w:rsid w:val="0026537B"/>
    <w:rsid w:val="00274C1A"/>
    <w:rsid w:val="00294CA9"/>
    <w:rsid w:val="00296CB5"/>
    <w:rsid w:val="002A2631"/>
    <w:rsid w:val="002B2725"/>
    <w:rsid w:val="002B41DA"/>
    <w:rsid w:val="002C06D6"/>
    <w:rsid w:val="002C18FE"/>
    <w:rsid w:val="002C2355"/>
    <w:rsid w:val="002C5032"/>
    <w:rsid w:val="002D38E8"/>
    <w:rsid w:val="002D42CB"/>
    <w:rsid w:val="002D5AE3"/>
    <w:rsid w:val="002E17A6"/>
    <w:rsid w:val="002E5C30"/>
    <w:rsid w:val="002F055B"/>
    <w:rsid w:val="002F279C"/>
    <w:rsid w:val="002F2B86"/>
    <w:rsid w:val="002F59CF"/>
    <w:rsid w:val="002F6E6B"/>
    <w:rsid w:val="00323A9E"/>
    <w:rsid w:val="00326DA4"/>
    <w:rsid w:val="003336B3"/>
    <w:rsid w:val="00334A4D"/>
    <w:rsid w:val="00350809"/>
    <w:rsid w:val="00366CE1"/>
    <w:rsid w:val="003724C2"/>
    <w:rsid w:val="003747EC"/>
    <w:rsid w:val="00381529"/>
    <w:rsid w:val="003854DC"/>
    <w:rsid w:val="003930BA"/>
    <w:rsid w:val="00395748"/>
    <w:rsid w:val="003A3F82"/>
    <w:rsid w:val="003B17D0"/>
    <w:rsid w:val="003C08EB"/>
    <w:rsid w:val="003C1441"/>
    <w:rsid w:val="003C30C9"/>
    <w:rsid w:val="003C65AB"/>
    <w:rsid w:val="003D33A9"/>
    <w:rsid w:val="004043F3"/>
    <w:rsid w:val="00411057"/>
    <w:rsid w:val="00413083"/>
    <w:rsid w:val="0041510B"/>
    <w:rsid w:val="004269EF"/>
    <w:rsid w:val="00427D9F"/>
    <w:rsid w:val="00432E32"/>
    <w:rsid w:val="00435BF8"/>
    <w:rsid w:val="004416E4"/>
    <w:rsid w:val="0044520F"/>
    <w:rsid w:val="00452B8B"/>
    <w:rsid w:val="004575A8"/>
    <w:rsid w:val="00467B4A"/>
    <w:rsid w:val="00473AE1"/>
    <w:rsid w:val="00481026"/>
    <w:rsid w:val="00485BA2"/>
    <w:rsid w:val="00486817"/>
    <w:rsid w:val="00486AFF"/>
    <w:rsid w:val="004924FC"/>
    <w:rsid w:val="00493EF1"/>
    <w:rsid w:val="004A07B0"/>
    <w:rsid w:val="004A2C6F"/>
    <w:rsid w:val="004B04EF"/>
    <w:rsid w:val="004B31D2"/>
    <w:rsid w:val="004C16E0"/>
    <w:rsid w:val="004C1C73"/>
    <w:rsid w:val="004C3B5D"/>
    <w:rsid w:val="004C4E48"/>
    <w:rsid w:val="004C6804"/>
    <w:rsid w:val="004D25FB"/>
    <w:rsid w:val="004D42DC"/>
    <w:rsid w:val="004D5A85"/>
    <w:rsid w:val="004E3B35"/>
    <w:rsid w:val="004E3ED0"/>
    <w:rsid w:val="004E5503"/>
    <w:rsid w:val="004E5F7B"/>
    <w:rsid w:val="004F09AF"/>
    <w:rsid w:val="004F1CB8"/>
    <w:rsid w:val="004F24DA"/>
    <w:rsid w:val="004F57C0"/>
    <w:rsid w:val="00500494"/>
    <w:rsid w:val="00504ECC"/>
    <w:rsid w:val="00505BCB"/>
    <w:rsid w:val="005153A4"/>
    <w:rsid w:val="00516A08"/>
    <w:rsid w:val="00521FAD"/>
    <w:rsid w:val="00527699"/>
    <w:rsid w:val="00527EE1"/>
    <w:rsid w:val="005310A8"/>
    <w:rsid w:val="00544FAF"/>
    <w:rsid w:val="005533A3"/>
    <w:rsid w:val="00557620"/>
    <w:rsid w:val="0056208A"/>
    <w:rsid w:val="00562603"/>
    <w:rsid w:val="0056427C"/>
    <w:rsid w:val="00565273"/>
    <w:rsid w:val="005660F9"/>
    <w:rsid w:val="0057110C"/>
    <w:rsid w:val="0057355B"/>
    <w:rsid w:val="00574A75"/>
    <w:rsid w:val="00593A1D"/>
    <w:rsid w:val="005963D6"/>
    <w:rsid w:val="005A2B23"/>
    <w:rsid w:val="005A4894"/>
    <w:rsid w:val="005B688F"/>
    <w:rsid w:val="005B6ADA"/>
    <w:rsid w:val="005C187B"/>
    <w:rsid w:val="005D066F"/>
    <w:rsid w:val="005D15DB"/>
    <w:rsid w:val="005D25B3"/>
    <w:rsid w:val="005D5E71"/>
    <w:rsid w:val="005E4105"/>
    <w:rsid w:val="005E5642"/>
    <w:rsid w:val="005E69CA"/>
    <w:rsid w:val="005E7148"/>
    <w:rsid w:val="005F4C59"/>
    <w:rsid w:val="00606C24"/>
    <w:rsid w:val="006145B4"/>
    <w:rsid w:val="00616D97"/>
    <w:rsid w:val="0062583E"/>
    <w:rsid w:val="00630FD6"/>
    <w:rsid w:val="006313F3"/>
    <w:rsid w:val="00631E45"/>
    <w:rsid w:val="006370CE"/>
    <w:rsid w:val="006409B8"/>
    <w:rsid w:val="00641A1A"/>
    <w:rsid w:val="00645020"/>
    <w:rsid w:val="006512D9"/>
    <w:rsid w:val="00664F6E"/>
    <w:rsid w:val="00665850"/>
    <w:rsid w:val="00671A8A"/>
    <w:rsid w:val="00675660"/>
    <w:rsid w:val="006802C1"/>
    <w:rsid w:val="006832AE"/>
    <w:rsid w:val="006842AE"/>
    <w:rsid w:val="00686E1F"/>
    <w:rsid w:val="006950BC"/>
    <w:rsid w:val="006B4502"/>
    <w:rsid w:val="006B4A9E"/>
    <w:rsid w:val="006C25EC"/>
    <w:rsid w:val="006D0BAC"/>
    <w:rsid w:val="006D1E86"/>
    <w:rsid w:val="006D2A96"/>
    <w:rsid w:val="006D326B"/>
    <w:rsid w:val="006D44DC"/>
    <w:rsid w:val="006D70FB"/>
    <w:rsid w:val="006D74FE"/>
    <w:rsid w:val="006E2504"/>
    <w:rsid w:val="006E28F0"/>
    <w:rsid w:val="006E3457"/>
    <w:rsid w:val="006F04F0"/>
    <w:rsid w:val="006F3D27"/>
    <w:rsid w:val="007039B8"/>
    <w:rsid w:val="00726602"/>
    <w:rsid w:val="0073169B"/>
    <w:rsid w:val="00732962"/>
    <w:rsid w:val="007335F4"/>
    <w:rsid w:val="007357AC"/>
    <w:rsid w:val="00741B43"/>
    <w:rsid w:val="00741F4A"/>
    <w:rsid w:val="00742666"/>
    <w:rsid w:val="0074507E"/>
    <w:rsid w:val="00750F6E"/>
    <w:rsid w:val="00753501"/>
    <w:rsid w:val="007605D3"/>
    <w:rsid w:val="00772331"/>
    <w:rsid w:val="0078356B"/>
    <w:rsid w:val="007860FA"/>
    <w:rsid w:val="007905F4"/>
    <w:rsid w:val="00796B41"/>
    <w:rsid w:val="007A0F38"/>
    <w:rsid w:val="007A4C16"/>
    <w:rsid w:val="007A59E1"/>
    <w:rsid w:val="007B5620"/>
    <w:rsid w:val="007C0DA8"/>
    <w:rsid w:val="007C2848"/>
    <w:rsid w:val="007D1CFD"/>
    <w:rsid w:val="007E24D2"/>
    <w:rsid w:val="007F3F17"/>
    <w:rsid w:val="00800387"/>
    <w:rsid w:val="00800D9B"/>
    <w:rsid w:val="00800F2E"/>
    <w:rsid w:val="00804D58"/>
    <w:rsid w:val="008121CF"/>
    <w:rsid w:val="0083074B"/>
    <w:rsid w:val="008315CC"/>
    <w:rsid w:val="008320F0"/>
    <w:rsid w:val="008359A1"/>
    <w:rsid w:val="0084333F"/>
    <w:rsid w:val="00843891"/>
    <w:rsid w:val="00857170"/>
    <w:rsid w:val="00861D58"/>
    <w:rsid w:val="008715D7"/>
    <w:rsid w:val="00876E64"/>
    <w:rsid w:val="00885586"/>
    <w:rsid w:val="00887EC0"/>
    <w:rsid w:val="00890579"/>
    <w:rsid w:val="00893A73"/>
    <w:rsid w:val="008A3250"/>
    <w:rsid w:val="008C2162"/>
    <w:rsid w:val="008C413C"/>
    <w:rsid w:val="008C7681"/>
    <w:rsid w:val="008D2B52"/>
    <w:rsid w:val="008D3DFA"/>
    <w:rsid w:val="008E20CA"/>
    <w:rsid w:val="008E7D7A"/>
    <w:rsid w:val="008F27F2"/>
    <w:rsid w:val="00900333"/>
    <w:rsid w:val="00901C0C"/>
    <w:rsid w:val="009032E7"/>
    <w:rsid w:val="009035F8"/>
    <w:rsid w:val="0090472D"/>
    <w:rsid w:val="00906479"/>
    <w:rsid w:val="009113FE"/>
    <w:rsid w:val="00911860"/>
    <w:rsid w:val="00917FA7"/>
    <w:rsid w:val="00920FD3"/>
    <w:rsid w:val="0092226A"/>
    <w:rsid w:val="009302F9"/>
    <w:rsid w:val="00937B7C"/>
    <w:rsid w:val="0094493B"/>
    <w:rsid w:val="00951EAC"/>
    <w:rsid w:val="0095502A"/>
    <w:rsid w:val="009566D6"/>
    <w:rsid w:val="00957680"/>
    <w:rsid w:val="00967E04"/>
    <w:rsid w:val="00970E41"/>
    <w:rsid w:val="00982038"/>
    <w:rsid w:val="00990BFF"/>
    <w:rsid w:val="00990F4D"/>
    <w:rsid w:val="00993E3D"/>
    <w:rsid w:val="009971D5"/>
    <w:rsid w:val="009A189C"/>
    <w:rsid w:val="009B0FD2"/>
    <w:rsid w:val="009B721E"/>
    <w:rsid w:val="009B76B5"/>
    <w:rsid w:val="009C0788"/>
    <w:rsid w:val="009D087B"/>
    <w:rsid w:val="009E7AAC"/>
    <w:rsid w:val="009F3A49"/>
    <w:rsid w:val="009F582E"/>
    <w:rsid w:val="00A06CE5"/>
    <w:rsid w:val="00A16AB1"/>
    <w:rsid w:val="00A20E63"/>
    <w:rsid w:val="00A31A85"/>
    <w:rsid w:val="00A43CB1"/>
    <w:rsid w:val="00A50B54"/>
    <w:rsid w:val="00A57168"/>
    <w:rsid w:val="00A652B5"/>
    <w:rsid w:val="00A8164D"/>
    <w:rsid w:val="00A84A6C"/>
    <w:rsid w:val="00A853D6"/>
    <w:rsid w:val="00A956DD"/>
    <w:rsid w:val="00A96686"/>
    <w:rsid w:val="00A97B78"/>
    <w:rsid w:val="00AB0C68"/>
    <w:rsid w:val="00AB450F"/>
    <w:rsid w:val="00AC5C01"/>
    <w:rsid w:val="00AC6305"/>
    <w:rsid w:val="00AC6E23"/>
    <w:rsid w:val="00AE224E"/>
    <w:rsid w:val="00AF1056"/>
    <w:rsid w:val="00AF44E0"/>
    <w:rsid w:val="00B01CF6"/>
    <w:rsid w:val="00B10525"/>
    <w:rsid w:val="00B112BE"/>
    <w:rsid w:val="00B14423"/>
    <w:rsid w:val="00B26419"/>
    <w:rsid w:val="00B301CC"/>
    <w:rsid w:val="00B510A9"/>
    <w:rsid w:val="00B5271C"/>
    <w:rsid w:val="00B52C95"/>
    <w:rsid w:val="00B66B92"/>
    <w:rsid w:val="00B72C84"/>
    <w:rsid w:val="00B72D8E"/>
    <w:rsid w:val="00B92987"/>
    <w:rsid w:val="00B93077"/>
    <w:rsid w:val="00B9584B"/>
    <w:rsid w:val="00BA27F7"/>
    <w:rsid w:val="00BA52E2"/>
    <w:rsid w:val="00BA7DE2"/>
    <w:rsid w:val="00BB3887"/>
    <w:rsid w:val="00BB45AB"/>
    <w:rsid w:val="00BC19C0"/>
    <w:rsid w:val="00BC6306"/>
    <w:rsid w:val="00BD5B13"/>
    <w:rsid w:val="00BE0726"/>
    <w:rsid w:val="00BE1696"/>
    <w:rsid w:val="00BF7EB8"/>
    <w:rsid w:val="00C0022F"/>
    <w:rsid w:val="00C05C39"/>
    <w:rsid w:val="00C0725F"/>
    <w:rsid w:val="00C12C2E"/>
    <w:rsid w:val="00C16539"/>
    <w:rsid w:val="00C23E85"/>
    <w:rsid w:val="00C27705"/>
    <w:rsid w:val="00C367C5"/>
    <w:rsid w:val="00C517D0"/>
    <w:rsid w:val="00C60735"/>
    <w:rsid w:val="00C6563C"/>
    <w:rsid w:val="00C74AB9"/>
    <w:rsid w:val="00C74CBE"/>
    <w:rsid w:val="00C7713B"/>
    <w:rsid w:val="00C8265C"/>
    <w:rsid w:val="00C913F6"/>
    <w:rsid w:val="00C96E5A"/>
    <w:rsid w:val="00CA1A0D"/>
    <w:rsid w:val="00CA1FA7"/>
    <w:rsid w:val="00CB1289"/>
    <w:rsid w:val="00CB72EA"/>
    <w:rsid w:val="00CD1D1D"/>
    <w:rsid w:val="00CD6A3F"/>
    <w:rsid w:val="00CD719A"/>
    <w:rsid w:val="00CE45B8"/>
    <w:rsid w:val="00CE60CE"/>
    <w:rsid w:val="00D02B99"/>
    <w:rsid w:val="00D04BDC"/>
    <w:rsid w:val="00D07BC6"/>
    <w:rsid w:val="00D12BEF"/>
    <w:rsid w:val="00D14DB6"/>
    <w:rsid w:val="00D373AE"/>
    <w:rsid w:val="00D409B8"/>
    <w:rsid w:val="00D4671D"/>
    <w:rsid w:val="00D46A69"/>
    <w:rsid w:val="00D5423D"/>
    <w:rsid w:val="00D5622F"/>
    <w:rsid w:val="00D57D92"/>
    <w:rsid w:val="00D624B2"/>
    <w:rsid w:val="00D65A22"/>
    <w:rsid w:val="00D7075D"/>
    <w:rsid w:val="00D80BFF"/>
    <w:rsid w:val="00D8348D"/>
    <w:rsid w:val="00D855CF"/>
    <w:rsid w:val="00D90BDE"/>
    <w:rsid w:val="00D91B25"/>
    <w:rsid w:val="00DA4828"/>
    <w:rsid w:val="00DA5322"/>
    <w:rsid w:val="00DB627A"/>
    <w:rsid w:val="00DB77F4"/>
    <w:rsid w:val="00DD3799"/>
    <w:rsid w:val="00DD4665"/>
    <w:rsid w:val="00DD6BBE"/>
    <w:rsid w:val="00DF537E"/>
    <w:rsid w:val="00E12D02"/>
    <w:rsid w:val="00E147E0"/>
    <w:rsid w:val="00E33568"/>
    <w:rsid w:val="00E40BD6"/>
    <w:rsid w:val="00E56981"/>
    <w:rsid w:val="00E66C1E"/>
    <w:rsid w:val="00E756F8"/>
    <w:rsid w:val="00E77C74"/>
    <w:rsid w:val="00E8242C"/>
    <w:rsid w:val="00E830DA"/>
    <w:rsid w:val="00E94EC7"/>
    <w:rsid w:val="00E95603"/>
    <w:rsid w:val="00E95BC4"/>
    <w:rsid w:val="00E964BF"/>
    <w:rsid w:val="00EA2DFA"/>
    <w:rsid w:val="00EA3A73"/>
    <w:rsid w:val="00EA5D4A"/>
    <w:rsid w:val="00EA60B5"/>
    <w:rsid w:val="00EA679D"/>
    <w:rsid w:val="00EA6DF7"/>
    <w:rsid w:val="00EB4030"/>
    <w:rsid w:val="00EB6730"/>
    <w:rsid w:val="00EB6756"/>
    <w:rsid w:val="00EC23E2"/>
    <w:rsid w:val="00ED2A28"/>
    <w:rsid w:val="00EF56F4"/>
    <w:rsid w:val="00EF5A33"/>
    <w:rsid w:val="00EF7999"/>
    <w:rsid w:val="00F06216"/>
    <w:rsid w:val="00F15BC0"/>
    <w:rsid w:val="00F231F6"/>
    <w:rsid w:val="00F256FB"/>
    <w:rsid w:val="00F27442"/>
    <w:rsid w:val="00F46322"/>
    <w:rsid w:val="00F51D01"/>
    <w:rsid w:val="00F52466"/>
    <w:rsid w:val="00F536CC"/>
    <w:rsid w:val="00F56148"/>
    <w:rsid w:val="00F60F25"/>
    <w:rsid w:val="00F6293E"/>
    <w:rsid w:val="00F63391"/>
    <w:rsid w:val="00F64901"/>
    <w:rsid w:val="00F6686C"/>
    <w:rsid w:val="00F71417"/>
    <w:rsid w:val="00F74662"/>
    <w:rsid w:val="00F8001E"/>
    <w:rsid w:val="00F807AA"/>
    <w:rsid w:val="00FA08AE"/>
    <w:rsid w:val="00FA09D4"/>
    <w:rsid w:val="00FB07AE"/>
    <w:rsid w:val="00FB7F5E"/>
    <w:rsid w:val="00FD623B"/>
    <w:rsid w:val="00FE6C9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A032"/>
  <w15:docId w15:val="{2081DB64-A14F-431B-AAA4-6CCF93A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7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uiPriority w:val="99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uiPriority w:val="99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C30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C30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C30C9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30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30C9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styleId="Korrektur">
    <w:name w:val="Revision"/>
    <w:hidden/>
    <w:uiPriority w:val="99"/>
    <w:semiHidden/>
    <w:rsid w:val="000B3CC6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9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DCA4-5281-48EE-BC4A-EF614244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2803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Transportministeriet</Company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Bjørg Boye Gudbrand</dc:creator>
  <cp:lastModifiedBy>Jacob Lichtenstein</cp:lastModifiedBy>
  <cp:revision>3</cp:revision>
  <cp:lastPrinted>2020-09-29T09:03:00Z</cp:lastPrinted>
  <dcterms:created xsi:type="dcterms:W3CDTF">2021-05-28T14:25:00Z</dcterms:created>
  <dcterms:modified xsi:type="dcterms:W3CDTF">2021-05-28T14:25:00Z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