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7F" w:rsidRPr="006C227F" w:rsidRDefault="00BF507F" w:rsidP="00BF507F">
      <w:pPr>
        <w:autoSpaceDE w:val="0"/>
        <w:autoSpaceDN w:val="0"/>
        <w:adjustRightInd w:val="0"/>
        <w:spacing w:after="0" w:line="240" w:lineRule="auto"/>
        <w:rPr>
          <w:rFonts w:ascii="Helvetica" w:hAnsi="Helvetica" w:cs="Helvetica"/>
          <w:color w:val="00707D"/>
          <w:sz w:val="32"/>
          <w:szCs w:val="32"/>
        </w:rPr>
      </w:pPr>
      <w:proofErr w:type="spellStart"/>
      <w:r w:rsidRPr="006C227F">
        <w:rPr>
          <w:rFonts w:ascii="Helvetica" w:hAnsi="Helvetica" w:cs="Helvetica"/>
          <w:color w:val="00707D"/>
          <w:sz w:val="32"/>
          <w:szCs w:val="32"/>
        </w:rPr>
        <w:t>Annex</w:t>
      </w:r>
      <w:proofErr w:type="spellEnd"/>
      <w:r w:rsidRPr="006C227F">
        <w:rPr>
          <w:rFonts w:ascii="Helvetica" w:hAnsi="Helvetica" w:cs="Helvetica"/>
          <w:color w:val="00707D"/>
          <w:sz w:val="32"/>
          <w:szCs w:val="32"/>
        </w:rPr>
        <w:t xml:space="preserve"> </w:t>
      </w:r>
      <w:r w:rsidR="006C227F">
        <w:rPr>
          <w:rFonts w:ascii="Helvetica" w:hAnsi="Helvetica" w:cs="Helvetica"/>
          <w:color w:val="00707D"/>
          <w:sz w:val="32"/>
          <w:szCs w:val="32"/>
        </w:rPr>
        <w:t>10</w:t>
      </w:r>
      <w:r w:rsidRPr="006C227F">
        <w:rPr>
          <w:rFonts w:ascii="Helvetica" w:hAnsi="Helvetica" w:cs="Helvetica"/>
          <w:color w:val="00707D"/>
          <w:sz w:val="32"/>
          <w:szCs w:val="32"/>
        </w:rPr>
        <w:t xml:space="preserve">. </w:t>
      </w:r>
      <w:r w:rsidR="006C227F" w:rsidRPr="006C227F">
        <w:rPr>
          <w:rFonts w:ascii="Helvetica" w:hAnsi="Helvetica" w:cs="Helvetica"/>
          <w:color w:val="00707D"/>
          <w:sz w:val="32"/>
          <w:szCs w:val="32"/>
        </w:rPr>
        <w:t>Ækvivalensrapport ifølge EPBD-artikel 15</w:t>
      </w:r>
      <w:r w:rsidR="006C227F">
        <w:rPr>
          <w:rFonts w:ascii="Helvetica" w:hAnsi="Helvetica" w:cs="Helvetica"/>
          <w:color w:val="00707D"/>
          <w:sz w:val="32"/>
          <w:szCs w:val="32"/>
        </w:rPr>
        <w:t>,</w:t>
      </w:r>
      <w:r w:rsidR="006C227F" w:rsidRPr="006C227F">
        <w:rPr>
          <w:rFonts w:ascii="Helvetica" w:hAnsi="Helvetica" w:cs="Helvetica"/>
          <w:color w:val="00707D"/>
          <w:sz w:val="32"/>
          <w:szCs w:val="32"/>
        </w:rPr>
        <w:t xml:space="preserve"> stk. 3</w:t>
      </w:r>
    </w:p>
    <w:p w:rsidR="0012038D" w:rsidRDefault="000707B6" w:rsidP="00BF507F"/>
    <w:p w:rsidR="006C227F" w:rsidRPr="00BC0095" w:rsidRDefault="006C227F" w:rsidP="006C227F">
      <w:pPr>
        <w:spacing w:after="120"/>
        <w:rPr>
          <w:rFonts w:cs="Arial"/>
          <w:bCs/>
          <w:iCs/>
          <w:szCs w:val="20"/>
        </w:rPr>
      </w:pPr>
      <w:r w:rsidRPr="00BC0095">
        <w:rPr>
          <w:rFonts w:cs="Arial"/>
          <w:bCs/>
          <w:iCs/>
          <w:szCs w:val="20"/>
        </w:rPr>
        <w:t>Artikel 1</w:t>
      </w:r>
      <w:r>
        <w:rPr>
          <w:rFonts w:cs="Arial"/>
          <w:bCs/>
          <w:iCs/>
          <w:szCs w:val="20"/>
        </w:rPr>
        <w:t>5</w:t>
      </w:r>
      <w:r w:rsidRPr="00BC0095">
        <w:rPr>
          <w:rFonts w:cs="Arial"/>
          <w:bCs/>
          <w:iCs/>
          <w:szCs w:val="20"/>
        </w:rPr>
        <w:t xml:space="preserve"> i </w:t>
      </w:r>
      <w:r>
        <w:rPr>
          <w:rFonts w:cs="Arial"/>
          <w:bCs/>
          <w:iCs/>
          <w:szCs w:val="20"/>
        </w:rPr>
        <w:t>bygningsdirektivet</w:t>
      </w:r>
      <w:r>
        <w:rPr>
          <w:rStyle w:val="Fodnotehenvisning"/>
          <w:rFonts w:cs="Arial"/>
          <w:bCs/>
          <w:iCs/>
          <w:szCs w:val="20"/>
        </w:rPr>
        <w:footnoteReference w:id="1"/>
      </w:r>
      <w:r w:rsidRPr="00BC0095">
        <w:rPr>
          <w:rFonts w:cs="Arial"/>
          <w:bCs/>
          <w:iCs/>
          <w:szCs w:val="20"/>
        </w:rPr>
        <w:t xml:space="preserve"> er i Danmark implementeret ved alternative foranstaltninger, jf. artiklens stk. 3.  </w:t>
      </w:r>
    </w:p>
    <w:p w:rsidR="006C227F" w:rsidRPr="00BC0095" w:rsidRDefault="006C227F" w:rsidP="006C227F">
      <w:pPr>
        <w:spacing w:after="240"/>
        <w:rPr>
          <w:rFonts w:cs="Arial"/>
          <w:bCs/>
          <w:iCs/>
          <w:szCs w:val="20"/>
        </w:rPr>
      </w:pPr>
      <w:r w:rsidRPr="00BC0095">
        <w:rPr>
          <w:rFonts w:cs="Arial"/>
          <w:bCs/>
          <w:iCs/>
          <w:szCs w:val="20"/>
        </w:rPr>
        <w:t>Dette notat sammenligner den forventede effekt af d</w:t>
      </w:r>
      <w:r>
        <w:rPr>
          <w:rFonts w:cs="Arial"/>
          <w:bCs/>
          <w:iCs/>
          <w:szCs w:val="20"/>
        </w:rPr>
        <w:t>e</w:t>
      </w:r>
      <w:r w:rsidRPr="00BC0095">
        <w:rPr>
          <w:rFonts w:cs="Arial"/>
          <w:bCs/>
          <w:iCs/>
          <w:szCs w:val="20"/>
        </w:rPr>
        <w:t xml:space="preserve"> alternative foranstaltninger i perioden 15. marts 2023 til 15. marts 2026 med den forventede effekt </w:t>
      </w:r>
      <w:r>
        <w:rPr>
          <w:rFonts w:cs="Arial"/>
          <w:bCs/>
          <w:iCs/>
          <w:szCs w:val="20"/>
        </w:rPr>
        <w:t xml:space="preserve">i samme periode </w:t>
      </w:r>
      <w:r w:rsidRPr="00BC0095">
        <w:rPr>
          <w:rFonts w:cs="Arial"/>
          <w:bCs/>
          <w:iCs/>
          <w:szCs w:val="20"/>
        </w:rPr>
        <w:t xml:space="preserve">ved implementering af en eftersynsordning </w:t>
      </w:r>
      <w:r>
        <w:rPr>
          <w:rFonts w:cs="Arial"/>
          <w:bCs/>
          <w:iCs/>
          <w:szCs w:val="20"/>
        </w:rPr>
        <w:t xml:space="preserve">ifølge </w:t>
      </w:r>
      <w:r w:rsidRPr="00BC0095">
        <w:rPr>
          <w:rFonts w:cs="Arial"/>
          <w:bCs/>
          <w:iCs/>
          <w:szCs w:val="20"/>
        </w:rPr>
        <w:t>artiklens stk.1</w:t>
      </w:r>
      <w:r>
        <w:rPr>
          <w:rFonts w:cs="Arial"/>
          <w:bCs/>
          <w:iCs/>
          <w:szCs w:val="20"/>
        </w:rPr>
        <w:t>.</w:t>
      </w:r>
      <w:bookmarkStart w:id="0" w:name="_GoBack"/>
      <w:bookmarkEnd w:id="0"/>
    </w:p>
    <w:p w:rsidR="006C227F" w:rsidRDefault="006C227F" w:rsidP="006C227F">
      <w:pPr>
        <w:rPr>
          <w:rFonts w:cs="Arial"/>
          <w:b/>
          <w:iCs/>
          <w:szCs w:val="20"/>
        </w:rPr>
      </w:pPr>
      <w:r>
        <w:rPr>
          <w:rFonts w:cs="Arial"/>
          <w:b/>
          <w:iCs/>
          <w:szCs w:val="20"/>
        </w:rPr>
        <w:t>Sammenfatning</w:t>
      </w:r>
    </w:p>
    <w:p w:rsidR="006C227F" w:rsidRDefault="006C227F" w:rsidP="006C227F">
      <w:pPr>
        <w:spacing w:after="180"/>
        <w:rPr>
          <w:rFonts w:cs="Arial"/>
          <w:bCs/>
          <w:iCs/>
          <w:szCs w:val="20"/>
        </w:rPr>
      </w:pPr>
      <w:r>
        <w:rPr>
          <w:rFonts w:cs="Arial"/>
          <w:bCs/>
          <w:iCs/>
          <w:szCs w:val="20"/>
        </w:rPr>
        <w:t>De forventede effekter fremgår af tabellen herunder.</w:t>
      </w:r>
    </w:p>
    <w:p w:rsidR="006C227F" w:rsidRPr="009A0397" w:rsidRDefault="006C227F" w:rsidP="006C227F">
      <w:pPr>
        <w:rPr>
          <w:rFonts w:cs="Arial"/>
          <w:bCs/>
          <w:i/>
          <w:sz w:val="18"/>
          <w:szCs w:val="18"/>
        </w:rPr>
      </w:pPr>
      <w:bookmarkStart w:id="1" w:name="_Hlk133155957"/>
      <w:r w:rsidRPr="00305B08">
        <w:rPr>
          <w:rFonts w:cs="Arial"/>
          <w:b/>
          <w:iCs/>
          <w:sz w:val="18"/>
          <w:szCs w:val="18"/>
        </w:rPr>
        <w:t>Tabel 1</w:t>
      </w:r>
      <w:r w:rsidRPr="00305B08">
        <w:rPr>
          <w:rFonts w:cs="Arial"/>
          <w:bCs/>
          <w:iCs/>
          <w:sz w:val="18"/>
          <w:szCs w:val="18"/>
        </w:rPr>
        <w:t xml:space="preserve"> </w:t>
      </w:r>
      <w:r w:rsidRPr="009A0397">
        <w:rPr>
          <w:rFonts w:cs="Arial"/>
          <w:bCs/>
          <w:i/>
          <w:sz w:val="18"/>
          <w:szCs w:val="18"/>
        </w:rPr>
        <w:t>Forventet effekt af implementering efter stk.1 hhv. af alternative tiltag</w:t>
      </w:r>
    </w:p>
    <w:tbl>
      <w:tblPr>
        <w:tblW w:w="6463" w:type="dxa"/>
        <w:tblInd w:w="60" w:type="dxa"/>
        <w:tblLayout w:type="fixed"/>
        <w:tblCellMar>
          <w:left w:w="0" w:type="dxa"/>
          <w:right w:w="0" w:type="dxa"/>
        </w:tblCellMar>
        <w:tblLook w:val="04A0" w:firstRow="1" w:lastRow="0" w:firstColumn="1" w:lastColumn="0" w:noHBand="0" w:noVBand="1"/>
      </w:tblPr>
      <w:tblGrid>
        <w:gridCol w:w="3515"/>
        <w:gridCol w:w="624"/>
        <w:gridCol w:w="227"/>
        <w:gridCol w:w="680"/>
        <w:gridCol w:w="1417"/>
      </w:tblGrid>
      <w:tr w:rsidR="006C227F" w:rsidRPr="00BC0095" w:rsidTr="00641FF0">
        <w:trPr>
          <w:trHeight w:val="298"/>
        </w:trPr>
        <w:tc>
          <w:tcPr>
            <w:tcW w:w="4139" w:type="dxa"/>
            <w:gridSpan w:val="2"/>
            <w:tcBorders>
              <w:bottom w:val="single" w:sz="4" w:space="0" w:color="auto"/>
            </w:tcBorders>
            <w:vAlign w:val="bottom"/>
          </w:tcPr>
          <w:bookmarkEnd w:id="1"/>
          <w:p w:rsidR="006C227F" w:rsidRPr="00BC0095" w:rsidRDefault="006C227F" w:rsidP="00641FF0">
            <w:pPr>
              <w:jc w:val="right"/>
              <w:rPr>
                <w:rFonts w:cs="Arial"/>
                <w:b/>
                <w:bCs/>
                <w:iCs/>
                <w:szCs w:val="20"/>
              </w:rPr>
            </w:pPr>
            <w:r w:rsidRPr="00BC0095">
              <w:rPr>
                <w:rFonts w:cs="Arial"/>
                <w:bCs/>
                <w:sz w:val="16"/>
                <w:szCs w:val="16"/>
              </w:rPr>
              <w:t>Pr. år [TJ/år</w:t>
            </w:r>
            <w:r>
              <w:rPr>
                <w:rFonts w:cs="Arial"/>
                <w:bCs/>
                <w:sz w:val="16"/>
                <w:szCs w:val="16"/>
              </w:rPr>
              <w:t>]</w:t>
            </w:r>
          </w:p>
        </w:tc>
        <w:tc>
          <w:tcPr>
            <w:tcW w:w="227" w:type="dxa"/>
            <w:tcBorders>
              <w:bottom w:val="single" w:sz="4" w:space="0" w:color="auto"/>
            </w:tcBorders>
          </w:tcPr>
          <w:p w:rsidR="006C227F" w:rsidRPr="00BC0095" w:rsidRDefault="006C227F" w:rsidP="00641FF0">
            <w:pPr>
              <w:spacing w:after="60"/>
              <w:jc w:val="right"/>
              <w:rPr>
                <w:rFonts w:cs="Arial"/>
                <w:b/>
                <w:bCs/>
                <w:iCs/>
                <w:szCs w:val="20"/>
              </w:rPr>
            </w:pPr>
          </w:p>
        </w:tc>
        <w:tc>
          <w:tcPr>
            <w:tcW w:w="2097" w:type="dxa"/>
            <w:gridSpan w:val="2"/>
            <w:tcBorders>
              <w:bottom w:val="single" w:sz="4" w:space="0" w:color="auto"/>
            </w:tcBorders>
            <w:vAlign w:val="bottom"/>
          </w:tcPr>
          <w:p w:rsidR="006C227F" w:rsidRPr="00BC0095" w:rsidRDefault="006C227F" w:rsidP="00641FF0">
            <w:pPr>
              <w:rPr>
                <w:rFonts w:cs="Arial"/>
                <w:b/>
                <w:bCs/>
                <w:iCs/>
                <w:szCs w:val="20"/>
              </w:rPr>
            </w:pPr>
            <w:r w:rsidRPr="00BC0095">
              <w:rPr>
                <w:rFonts w:cs="Arial"/>
                <w:bCs/>
                <w:sz w:val="16"/>
                <w:szCs w:val="16"/>
              </w:rPr>
              <w:t>Akkumuleret</w:t>
            </w:r>
            <w:r w:rsidRPr="00716233">
              <w:rPr>
                <w:rFonts w:cs="Arial"/>
                <w:bCs/>
                <w:sz w:val="16"/>
                <w:szCs w:val="16"/>
              </w:rPr>
              <w:t xml:space="preserve"> </w:t>
            </w:r>
            <w:r w:rsidRPr="00BC0095">
              <w:rPr>
                <w:rFonts w:cs="Arial"/>
                <w:bCs/>
                <w:sz w:val="16"/>
                <w:szCs w:val="16"/>
              </w:rPr>
              <w:t>2023</w:t>
            </w:r>
            <w:r w:rsidRPr="00716233">
              <w:rPr>
                <w:rFonts w:cs="Arial"/>
                <w:bCs/>
                <w:sz w:val="16"/>
                <w:szCs w:val="16"/>
              </w:rPr>
              <w:t>-</w:t>
            </w:r>
            <w:r w:rsidRPr="00BC0095">
              <w:rPr>
                <w:rFonts w:cs="Arial"/>
                <w:bCs/>
                <w:sz w:val="16"/>
                <w:szCs w:val="16"/>
              </w:rPr>
              <w:t>2026 [TJ</w:t>
            </w:r>
            <w:r>
              <w:rPr>
                <w:rFonts w:cs="Arial"/>
                <w:bCs/>
                <w:sz w:val="16"/>
                <w:szCs w:val="16"/>
              </w:rPr>
              <w:t>]</w:t>
            </w:r>
          </w:p>
        </w:tc>
      </w:tr>
      <w:tr w:rsidR="006C227F" w:rsidRPr="00BC0095" w:rsidTr="00641FF0">
        <w:trPr>
          <w:trHeight w:val="298"/>
        </w:trPr>
        <w:tc>
          <w:tcPr>
            <w:tcW w:w="3515" w:type="dxa"/>
            <w:tcBorders>
              <w:top w:val="single" w:sz="4" w:space="0" w:color="auto"/>
            </w:tcBorders>
            <w:vAlign w:val="bottom"/>
            <w:hideMark/>
          </w:tcPr>
          <w:p w:rsidR="006C227F" w:rsidRPr="00BC0095" w:rsidRDefault="006C227F" w:rsidP="00641FF0">
            <w:pPr>
              <w:spacing w:after="60"/>
              <w:rPr>
                <w:rFonts w:cs="Arial"/>
                <w:bCs/>
                <w:iCs/>
                <w:szCs w:val="20"/>
              </w:rPr>
            </w:pPr>
            <w:r w:rsidRPr="00BC0095">
              <w:rPr>
                <w:rFonts w:cs="Arial"/>
                <w:b/>
                <w:bCs/>
                <w:iCs/>
                <w:szCs w:val="20"/>
              </w:rPr>
              <w:t xml:space="preserve">Effekt af </w:t>
            </w:r>
            <w:r w:rsidRPr="00B05B96">
              <w:rPr>
                <w:rFonts w:cs="Arial"/>
                <w:b/>
                <w:bCs/>
                <w:iCs/>
                <w:szCs w:val="20"/>
              </w:rPr>
              <w:t>eftersyn</w:t>
            </w:r>
            <w:r>
              <w:rPr>
                <w:rFonts w:cs="Arial"/>
                <w:b/>
                <w:bCs/>
                <w:iCs/>
                <w:szCs w:val="20"/>
              </w:rPr>
              <w:t xml:space="preserve"> iflg. stk. 1</w:t>
            </w:r>
          </w:p>
        </w:tc>
        <w:tc>
          <w:tcPr>
            <w:tcW w:w="624" w:type="dxa"/>
            <w:tcBorders>
              <w:top w:val="single" w:sz="4" w:space="0" w:color="auto"/>
            </w:tcBorders>
            <w:vAlign w:val="bottom"/>
            <w:hideMark/>
          </w:tcPr>
          <w:p w:rsidR="006C227F" w:rsidRPr="00BC0095" w:rsidRDefault="006C227F" w:rsidP="00641FF0">
            <w:pPr>
              <w:spacing w:after="60"/>
              <w:jc w:val="right"/>
              <w:rPr>
                <w:rFonts w:cs="Arial"/>
                <w:bCs/>
                <w:iCs/>
                <w:szCs w:val="20"/>
              </w:rPr>
            </w:pPr>
            <w:r>
              <w:rPr>
                <w:rFonts w:cs="Arial"/>
                <w:b/>
                <w:bCs/>
                <w:iCs/>
                <w:szCs w:val="20"/>
              </w:rPr>
              <w:t>1</w:t>
            </w:r>
            <w:r w:rsidRPr="00BC0095">
              <w:rPr>
                <w:rFonts w:cs="Arial"/>
                <w:b/>
                <w:bCs/>
                <w:iCs/>
                <w:szCs w:val="20"/>
              </w:rPr>
              <w:t>,</w:t>
            </w:r>
            <w:r>
              <w:rPr>
                <w:rFonts w:cs="Arial"/>
                <w:b/>
                <w:bCs/>
                <w:iCs/>
                <w:szCs w:val="20"/>
              </w:rPr>
              <w:t>20</w:t>
            </w:r>
            <w:r w:rsidRPr="00BC0095">
              <w:rPr>
                <w:rFonts w:cs="Arial"/>
                <w:b/>
                <w:bCs/>
                <w:iCs/>
                <w:szCs w:val="20"/>
              </w:rPr>
              <w:t xml:space="preserve"> </w:t>
            </w:r>
          </w:p>
        </w:tc>
        <w:tc>
          <w:tcPr>
            <w:tcW w:w="227" w:type="dxa"/>
            <w:tcBorders>
              <w:top w:val="single" w:sz="4" w:space="0" w:color="auto"/>
            </w:tcBorders>
          </w:tcPr>
          <w:p w:rsidR="006C227F" w:rsidRPr="00BC0095" w:rsidRDefault="006C227F" w:rsidP="00641FF0">
            <w:pPr>
              <w:spacing w:after="60"/>
              <w:jc w:val="right"/>
              <w:rPr>
                <w:rFonts w:cs="Arial"/>
                <w:b/>
                <w:bCs/>
                <w:iCs/>
                <w:szCs w:val="20"/>
              </w:rPr>
            </w:pPr>
          </w:p>
        </w:tc>
        <w:tc>
          <w:tcPr>
            <w:tcW w:w="680" w:type="dxa"/>
            <w:tcBorders>
              <w:top w:val="single" w:sz="4" w:space="0" w:color="auto"/>
            </w:tcBorders>
            <w:vAlign w:val="bottom"/>
            <w:hideMark/>
          </w:tcPr>
          <w:p w:rsidR="006C227F" w:rsidRPr="00BC0095" w:rsidRDefault="006C227F" w:rsidP="00641FF0">
            <w:pPr>
              <w:spacing w:after="60"/>
              <w:jc w:val="right"/>
              <w:rPr>
                <w:rFonts w:cs="Arial"/>
                <w:bCs/>
                <w:iCs/>
                <w:szCs w:val="20"/>
              </w:rPr>
            </w:pPr>
            <w:r>
              <w:rPr>
                <w:rFonts w:cs="Arial"/>
                <w:b/>
                <w:bCs/>
                <w:iCs/>
                <w:szCs w:val="20"/>
              </w:rPr>
              <w:t>3,60</w:t>
            </w:r>
          </w:p>
        </w:tc>
        <w:tc>
          <w:tcPr>
            <w:tcW w:w="1417" w:type="dxa"/>
            <w:tcBorders>
              <w:top w:val="single" w:sz="4" w:space="0" w:color="auto"/>
            </w:tcBorders>
          </w:tcPr>
          <w:p w:rsidR="006C227F" w:rsidRPr="00BC0095" w:rsidRDefault="006C227F" w:rsidP="00641FF0">
            <w:pPr>
              <w:spacing w:after="60"/>
              <w:jc w:val="right"/>
              <w:rPr>
                <w:rFonts w:cs="Arial"/>
                <w:b/>
                <w:bCs/>
                <w:iCs/>
                <w:szCs w:val="20"/>
              </w:rPr>
            </w:pPr>
          </w:p>
        </w:tc>
      </w:tr>
      <w:tr w:rsidR="006C227F" w:rsidRPr="00BC0095" w:rsidTr="00641FF0">
        <w:trPr>
          <w:trHeight w:val="227"/>
        </w:trPr>
        <w:tc>
          <w:tcPr>
            <w:tcW w:w="3515" w:type="dxa"/>
            <w:tcBorders>
              <w:bottom w:val="single" w:sz="4" w:space="0" w:color="auto"/>
            </w:tcBorders>
            <w:vAlign w:val="bottom"/>
          </w:tcPr>
          <w:p w:rsidR="006C227F" w:rsidRPr="00BC0095" w:rsidRDefault="006C227F" w:rsidP="00641FF0">
            <w:pPr>
              <w:rPr>
                <w:rFonts w:cs="Arial"/>
                <w:bCs/>
                <w:iCs/>
                <w:sz w:val="16"/>
                <w:szCs w:val="16"/>
              </w:rPr>
            </w:pPr>
            <w:r>
              <w:rPr>
                <w:rFonts w:cs="Arial"/>
                <w:bCs/>
                <w:iCs/>
                <w:sz w:val="16"/>
                <w:szCs w:val="16"/>
              </w:rPr>
              <w:t>Effekter af a</w:t>
            </w:r>
            <w:r w:rsidRPr="00716233">
              <w:rPr>
                <w:rFonts w:cs="Arial"/>
                <w:bCs/>
                <w:iCs/>
                <w:sz w:val="16"/>
                <w:szCs w:val="16"/>
              </w:rPr>
              <w:t>lternative tiltag</w:t>
            </w:r>
          </w:p>
        </w:tc>
        <w:tc>
          <w:tcPr>
            <w:tcW w:w="624" w:type="dxa"/>
            <w:tcBorders>
              <w:bottom w:val="single" w:sz="4" w:space="0" w:color="auto"/>
            </w:tcBorders>
            <w:vAlign w:val="bottom"/>
          </w:tcPr>
          <w:p w:rsidR="006C227F" w:rsidRPr="00BC0095" w:rsidRDefault="006C227F" w:rsidP="00641FF0">
            <w:pPr>
              <w:jc w:val="right"/>
              <w:rPr>
                <w:rFonts w:cs="Arial"/>
                <w:bCs/>
                <w:iCs/>
                <w:szCs w:val="20"/>
              </w:rPr>
            </w:pPr>
          </w:p>
        </w:tc>
        <w:tc>
          <w:tcPr>
            <w:tcW w:w="227" w:type="dxa"/>
            <w:tcBorders>
              <w:bottom w:val="single" w:sz="4" w:space="0" w:color="auto"/>
            </w:tcBorders>
          </w:tcPr>
          <w:p w:rsidR="006C227F" w:rsidRPr="00BC0095" w:rsidRDefault="006C227F" w:rsidP="00641FF0">
            <w:pPr>
              <w:jc w:val="right"/>
              <w:rPr>
                <w:rFonts w:cs="Arial"/>
                <w:bCs/>
                <w:iCs/>
                <w:szCs w:val="20"/>
              </w:rPr>
            </w:pPr>
          </w:p>
        </w:tc>
        <w:tc>
          <w:tcPr>
            <w:tcW w:w="680" w:type="dxa"/>
            <w:tcBorders>
              <w:bottom w:val="single" w:sz="4" w:space="0" w:color="auto"/>
            </w:tcBorders>
            <w:vAlign w:val="bottom"/>
          </w:tcPr>
          <w:p w:rsidR="006C227F" w:rsidRPr="00BC0095" w:rsidRDefault="006C227F" w:rsidP="00641FF0">
            <w:pPr>
              <w:jc w:val="right"/>
              <w:rPr>
                <w:rFonts w:cs="Arial"/>
                <w:bCs/>
                <w:iCs/>
                <w:szCs w:val="20"/>
              </w:rPr>
            </w:pPr>
          </w:p>
        </w:tc>
        <w:tc>
          <w:tcPr>
            <w:tcW w:w="1417" w:type="dxa"/>
            <w:tcBorders>
              <w:bottom w:val="single" w:sz="4" w:space="0" w:color="auto"/>
            </w:tcBorders>
          </w:tcPr>
          <w:p w:rsidR="006C227F" w:rsidRPr="00BC0095" w:rsidRDefault="006C227F" w:rsidP="00641FF0">
            <w:pPr>
              <w:jc w:val="right"/>
              <w:rPr>
                <w:rFonts w:cs="Arial"/>
                <w:bCs/>
                <w:iCs/>
                <w:szCs w:val="20"/>
              </w:rPr>
            </w:pPr>
          </w:p>
        </w:tc>
      </w:tr>
      <w:tr w:rsidR="006C227F" w:rsidRPr="00BC0095" w:rsidTr="00641FF0">
        <w:trPr>
          <w:trHeight w:val="298"/>
        </w:trPr>
        <w:tc>
          <w:tcPr>
            <w:tcW w:w="3515" w:type="dxa"/>
            <w:tcBorders>
              <w:top w:val="single" w:sz="4" w:space="0" w:color="auto"/>
              <w:bottom w:val="single" w:sz="4" w:space="0" w:color="auto"/>
            </w:tcBorders>
          </w:tcPr>
          <w:p w:rsidR="006C227F" w:rsidRPr="00BC0095" w:rsidRDefault="006C227F" w:rsidP="00641FF0">
            <w:pPr>
              <w:rPr>
                <w:rFonts w:cs="Arial"/>
                <w:bCs/>
                <w:i/>
                <w:iCs/>
                <w:szCs w:val="20"/>
              </w:rPr>
            </w:pPr>
            <w:r w:rsidRPr="00BC0095">
              <w:rPr>
                <w:rFonts w:cs="Arial"/>
                <w:bCs/>
                <w:i/>
                <w:iCs/>
                <w:szCs w:val="20"/>
              </w:rPr>
              <w:t xml:space="preserve">Erhvervspuljen  </w:t>
            </w:r>
          </w:p>
        </w:tc>
        <w:tc>
          <w:tcPr>
            <w:tcW w:w="624" w:type="dxa"/>
            <w:tcBorders>
              <w:top w:val="single" w:sz="4" w:space="0" w:color="auto"/>
              <w:bottom w:val="single" w:sz="4" w:space="0" w:color="auto"/>
            </w:tcBorders>
          </w:tcPr>
          <w:p w:rsidR="006C227F" w:rsidRPr="00BC0095" w:rsidRDefault="006C227F" w:rsidP="00641FF0">
            <w:pPr>
              <w:jc w:val="right"/>
              <w:rPr>
                <w:rFonts w:cs="Arial"/>
                <w:bCs/>
                <w:iCs/>
                <w:szCs w:val="20"/>
              </w:rPr>
            </w:pPr>
            <w:r>
              <w:rPr>
                <w:rFonts w:cs="Arial"/>
                <w:bCs/>
                <w:iCs/>
                <w:szCs w:val="20"/>
              </w:rPr>
              <w:t>0</w:t>
            </w:r>
            <w:r w:rsidRPr="00BC0095">
              <w:rPr>
                <w:rFonts w:cs="Arial"/>
                <w:bCs/>
                <w:iCs/>
                <w:szCs w:val="20"/>
              </w:rPr>
              <w:t>,</w:t>
            </w:r>
            <w:r>
              <w:rPr>
                <w:rFonts w:cs="Arial"/>
                <w:bCs/>
                <w:iCs/>
                <w:szCs w:val="20"/>
              </w:rPr>
              <w:t>70</w:t>
            </w:r>
            <w:r w:rsidRPr="00BC0095">
              <w:rPr>
                <w:rFonts w:cs="Arial"/>
                <w:bCs/>
                <w:iCs/>
                <w:szCs w:val="20"/>
              </w:rPr>
              <w:t xml:space="preserve"> </w:t>
            </w:r>
          </w:p>
        </w:tc>
        <w:tc>
          <w:tcPr>
            <w:tcW w:w="227" w:type="dxa"/>
            <w:tcBorders>
              <w:top w:val="single" w:sz="4" w:space="0" w:color="auto"/>
              <w:bottom w:val="single" w:sz="4" w:space="0" w:color="auto"/>
            </w:tcBorders>
          </w:tcPr>
          <w:p w:rsidR="006C227F" w:rsidRPr="00BC0095" w:rsidRDefault="006C227F" w:rsidP="00641FF0">
            <w:pPr>
              <w:jc w:val="right"/>
              <w:rPr>
                <w:rFonts w:cs="Arial"/>
                <w:bCs/>
                <w:iCs/>
                <w:szCs w:val="20"/>
              </w:rPr>
            </w:pPr>
          </w:p>
        </w:tc>
        <w:tc>
          <w:tcPr>
            <w:tcW w:w="680" w:type="dxa"/>
            <w:tcBorders>
              <w:top w:val="single" w:sz="4" w:space="0" w:color="auto"/>
              <w:bottom w:val="single" w:sz="4" w:space="0" w:color="auto"/>
            </w:tcBorders>
          </w:tcPr>
          <w:p w:rsidR="006C227F" w:rsidRPr="00BC0095" w:rsidRDefault="006C227F" w:rsidP="00641FF0">
            <w:pPr>
              <w:jc w:val="right"/>
              <w:rPr>
                <w:rFonts w:cs="Arial"/>
                <w:bCs/>
                <w:iCs/>
                <w:szCs w:val="20"/>
              </w:rPr>
            </w:pPr>
            <w:r>
              <w:rPr>
                <w:rFonts w:cs="Arial"/>
                <w:bCs/>
                <w:iCs/>
                <w:szCs w:val="20"/>
              </w:rPr>
              <w:t>2</w:t>
            </w:r>
            <w:r w:rsidRPr="00BC0095">
              <w:rPr>
                <w:rFonts w:cs="Arial"/>
                <w:bCs/>
                <w:iCs/>
                <w:szCs w:val="20"/>
              </w:rPr>
              <w:t>,</w:t>
            </w:r>
            <w:r>
              <w:rPr>
                <w:rFonts w:cs="Arial"/>
                <w:bCs/>
                <w:iCs/>
                <w:szCs w:val="20"/>
              </w:rPr>
              <w:t>10</w:t>
            </w:r>
          </w:p>
        </w:tc>
        <w:tc>
          <w:tcPr>
            <w:tcW w:w="1417" w:type="dxa"/>
            <w:tcBorders>
              <w:top w:val="single" w:sz="4" w:space="0" w:color="auto"/>
              <w:bottom w:val="single" w:sz="4" w:space="0" w:color="auto"/>
            </w:tcBorders>
          </w:tcPr>
          <w:p w:rsidR="006C227F" w:rsidRPr="00BC0095" w:rsidRDefault="006C227F" w:rsidP="00641FF0">
            <w:pPr>
              <w:jc w:val="right"/>
              <w:rPr>
                <w:rFonts w:cs="Arial"/>
                <w:bCs/>
                <w:iCs/>
                <w:szCs w:val="20"/>
              </w:rPr>
            </w:pPr>
          </w:p>
        </w:tc>
      </w:tr>
      <w:tr w:rsidR="006C227F" w:rsidRPr="00BC0095" w:rsidTr="00641FF0">
        <w:trPr>
          <w:trHeight w:val="298"/>
        </w:trPr>
        <w:tc>
          <w:tcPr>
            <w:tcW w:w="3515" w:type="dxa"/>
            <w:tcBorders>
              <w:top w:val="single" w:sz="4" w:space="0" w:color="auto"/>
              <w:bottom w:val="single" w:sz="4" w:space="0" w:color="auto"/>
            </w:tcBorders>
          </w:tcPr>
          <w:p w:rsidR="006C227F" w:rsidRPr="00BC0095" w:rsidRDefault="006C227F" w:rsidP="00641FF0">
            <w:pPr>
              <w:rPr>
                <w:rFonts w:cs="Arial"/>
                <w:bCs/>
                <w:i/>
                <w:iCs/>
                <w:szCs w:val="20"/>
              </w:rPr>
            </w:pPr>
            <w:r>
              <w:rPr>
                <w:rFonts w:cs="Arial"/>
                <w:bCs/>
                <w:i/>
                <w:iCs/>
                <w:szCs w:val="20"/>
              </w:rPr>
              <w:t>Krav i Bygningsreglementet</w:t>
            </w:r>
          </w:p>
        </w:tc>
        <w:tc>
          <w:tcPr>
            <w:tcW w:w="624" w:type="dxa"/>
            <w:tcBorders>
              <w:top w:val="single" w:sz="4" w:space="0" w:color="auto"/>
              <w:bottom w:val="single" w:sz="4" w:space="0" w:color="auto"/>
            </w:tcBorders>
          </w:tcPr>
          <w:p w:rsidR="006C227F" w:rsidRPr="00BC0095" w:rsidRDefault="006C227F" w:rsidP="00641FF0">
            <w:pPr>
              <w:jc w:val="right"/>
              <w:rPr>
                <w:rFonts w:cs="Arial"/>
                <w:bCs/>
                <w:iCs/>
                <w:szCs w:val="20"/>
              </w:rPr>
            </w:pPr>
            <w:r>
              <w:rPr>
                <w:rFonts w:cs="Arial"/>
                <w:bCs/>
                <w:iCs/>
                <w:szCs w:val="20"/>
              </w:rPr>
              <w:t>0,49</w:t>
            </w:r>
          </w:p>
        </w:tc>
        <w:tc>
          <w:tcPr>
            <w:tcW w:w="227" w:type="dxa"/>
            <w:tcBorders>
              <w:top w:val="single" w:sz="4" w:space="0" w:color="auto"/>
              <w:bottom w:val="single" w:sz="4" w:space="0" w:color="auto"/>
            </w:tcBorders>
          </w:tcPr>
          <w:p w:rsidR="006C227F" w:rsidRPr="00BC0095" w:rsidRDefault="006C227F" w:rsidP="00641FF0">
            <w:pPr>
              <w:jc w:val="right"/>
              <w:rPr>
                <w:rFonts w:cs="Arial"/>
                <w:bCs/>
                <w:iCs/>
                <w:szCs w:val="20"/>
              </w:rPr>
            </w:pPr>
          </w:p>
        </w:tc>
        <w:tc>
          <w:tcPr>
            <w:tcW w:w="680" w:type="dxa"/>
            <w:tcBorders>
              <w:top w:val="single" w:sz="4" w:space="0" w:color="auto"/>
              <w:bottom w:val="single" w:sz="4" w:space="0" w:color="auto"/>
            </w:tcBorders>
          </w:tcPr>
          <w:p w:rsidR="006C227F" w:rsidRPr="00BC0095" w:rsidRDefault="006C227F" w:rsidP="00641FF0">
            <w:pPr>
              <w:jc w:val="right"/>
              <w:rPr>
                <w:rFonts w:cs="Arial"/>
                <w:bCs/>
                <w:iCs/>
                <w:szCs w:val="20"/>
              </w:rPr>
            </w:pPr>
            <w:r>
              <w:rPr>
                <w:rFonts w:cs="Arial"/>
                <w:bCs/>
                <w:iCs/>
                <w:szCs w:val="20"/>
              </w:rPr>
              <w:t>1,46</w:t>
            </w:r>
          </w:p>
        </w:tc>
        <w:tc>
          <w:tcPr>
            <w:tcW w:w="1417" w:type="dxa"/>
            <w:tcBorders>
              <w:top w:val="single" w:sz="4" w:space="0" w:color="auto"/>
              <w:bottom w:val="single" w:sz="4" w:space="0" w:color="auto"/>
            </w:tcBorders>
          </w:tcPr>
          <w:p w:rsidR="006C227F" w:rsidRPr="00BC0095" w:rsidRDefault="006C227F" w:rsidP="00641FF0">
            <w:pPr>
              <w:jc w:val="right"/>
              <w:rPr>
                <w:rFonts w:cs="Arial"/>
                <w:bCs/>
                <w:iCs/>
                <w:szCs w:val="20"/>
              </w:rPr>
            </w:pPr>
          </w:p>
        </w:tc>
      </w:tr>
      <w:tr w:rsidR="006C227F" w:rsidRPr="00BC0095" w:rsidTr="00641FF0">
        <w:trPr>
          <w:trHeight w:val="298"/>
        </w:trPr>
        <w:tc>
          <w:tcPr>
            <w:tcW w:w="3515" w:type="dxa"/>
            <w:tcBorders>
              <w:top w:val="single" w:sz="4" w:space="0" w:color="auto"/>
              <w:bottom w:val="single" w:sz="4" w:space="0" w:color="auto"/>
            </w:tcBorders>
          </w:tcPr>
          <w:p w:rsidR="006C227F" w:rsidRPr="00BC0095" w:rsidRDefault="006C227F" w:rsidP="00641FF0">
            <w:pPr>
              <w:rPr>
                <w:rFonts w:cs="Arial"/>
                <w:bCs/>
                <w:iCs/>
                <w:szCs w:val="20"/>
              </w:rPr>
            </w:pPr>
            <w:r>
              <w:rPr>
                <w:rFonts w:cs="Arial"/>
                <w:bCs/>
                <w:i/>
                <w:iCs/>
                <w:szCs w:val="20"/>
              </w:rPr>
              <w:t>Cirkulære om EE i statens institutioner</w:t>
            </w:r>
          </w:p>
        </w:tc>
        <w:tc>
          <w:tcPr>
            <w:tcW w:w="624" w:type="dxa"/>
            <w:tcBorders>
              <w:top w:val="single" w:sz="4" w:space="0" w:color="auto"/>
              <w:bottom w:val="single" w:sz="4" w:space="0" w:color="auto"/>
            </w:tcBorders>
          </w:tcPr>
          <w:p w:rsidR="006C227F" w:rsidRPr="00BC0095" w:rsidRDefault="006C227F" w:rsidP="00641FF0">
            <w:pPr>
              <w:jc w:val="right"/>
              <w:rPr>
                <w:rFonts w:cs="Arial"/>
                <w:bCs/>
                <w:iCs/>
                <w:szCs w:val="20"/>
              </w:rPr>
            </w:pPr>
            <w:r>
              <w:rPr>
                <w:rFonts w:cs="Arial"/>
                <w:bCs/>
                <w:iCs/>
                <w:szCs w:val="20"/>
              </w:rPr>
              <w:t>0,46</w:t>
            </w:r>
          </w:p>
        </w:tc>
        <w:tc>
          <w:tcPr>
            <w:tcW w:w="227" w:type="dxa"/>
            <w:tcBorders>
              <w:top w:val="single" w:sz="4" w:space="0" w:color="auto"/>
              <w:bottom w:val="single" w:sz="4" w:space="0" w:color="auto"/>
            </w:tcBorders>
          </w:tcPr>
          <w:p w:rsidR="006C227F" w:rsidRPr="00BC0095" w:rsidRDefault="006C227F" w:rsidP="00641FF0">
            <w:pPr>
              <w:jc w:val="right"/>
              <w:rPr>
                <w:rFonts w:cs="Arial"/>
                <w:bCs/>
                <w:iCs/>
                <w:szCs w:val="20"/>
              </w:rPr>
            </w:pPr>
          </w:p>
        </w:tc>
        <w:tc>
          <w:tcPr>
            <w:tcW w:w="680" w:type="dxa"/>
            <w:tcBorders>
              <w:top w:val="single" w:sz="4" w:space="0" w:color="auto"/>
              <w:bottom w:val="single" w:sz="4" w:space="0" w:color="auto"/>
            </w:tcBorders>
          </w:tcPr>
          <w:p w:rsidR="006C227F" w:rsidRPr="00BC0095" w:rsidRDefault="006C227F" w:rsidP="00641FF0">
            <w:pPr>
              <w:jc w:val="right"/>
              <w:rPr>
                <w:rFonts w:cs="Arial"/>
                <w:bCs/>
                <w:iCs/>
                <w:szCs w:val="20"/>
              </w:rPr>
            </w:pPr>
            <w:r w:rsidRPr="00BC0095">
              <w:rPr>
                <w:rFonts w:cs="Arial"/>
                <w:bCs/>
                <w:iCs/>
                <w:szCs w:val="20"/>
              </w:rPr>
              <w:t>1</w:t>
            </w:r>
            <w:r>
              <w:rPr>
                <w:rFonts w:cs="Arial"/>
                <w:bCs/>
                <w:iCs/>
                <w:szCs w:val="20"/>
              </w:rPr>
              <w:t>,38</w:t>
            </w:r>
          </w:p>
        </w:tc>
        <w:tc>
          <w:tcPr>
            <w:tcW w:w="1417" w:type="dxa"/>
            <w:tcBorders>
              <w:top w:val="single" w:sz="4" w:space="0" w:color="auto"/>
              <w:bottom w:val="single" w:sz="4" w:space="0" w:color="auto"/>
            </w:tcBorders>
          </w:tcPr>
          <w:p w:rsidR="006C227F" w:rsidRPr="00BC0095" w:rsidRDefault="006C227F" w:rsidP="00641FF0">
            <w:pPr>
              <w:jc w:val="right"/>
              <w:rPr>
                <w:rFonts w:cs="Arial"/>
                <w:bCs/>
                <w:iCs/>
                <w:szCs w:val="20"/>
              </w:rPr>
            </w:pPr>
          </w:p>
        </w:tc>
      </w:tr>
      <w:tr w:rsidR="006C227F" w:rsidRPr="00BC0095" w:rsidTr="00641FF0">
        <w:trPr>
          <w:trHeight w:val="298"/>
        </w:trPr>
        <w:tc>
          <w:tcPr>
            <w:tcW w:w="3515" w:type="dxa"/>
            <w:tcBorders>
              <w:top w:val="single" w:sz="4" w:space="0" w:color="auto"/>
            </w:tcBorders>
          </w:tcPr>
          <w:p w:rsidR="006C227F" w:rsidRPr="00BC0095" w:rsidRDefault="006C227F" w:rsidP="00641FF0">
            <w:pPr>
              <w:rPr>
                <w:rFonts w:cs="Arial"/>
                <w:bCs/>
                <w:i/>
                <w:iCs/>
                <w:szCs w:val="20"/>
              </w:rPr>
            </w:pPr>
            <w:r>
              <w:rPr>
                <w:rFonts w:cs="Arial"/>
                <w:b/>
                <w:bCs/>
                <w:iCs/>
                <w:szCs w:val="20"/>
              </w:rPr>
              <w:t>Samlet e</w:t>
            </w:r>
            <w:r w:rsidRPr="00BC0095">
              <w:rPr>
                <w:rFonts w:cs="Arial"/>
                <w:b/>
                <w:bCs/>
                <w:iCs/>
                <w:szCs w:val="20"/>
              </w:rPr>
              <w:t xml:space="preserve">ffekt af alternative tiltag </w:t>
            </w:r>
          </w:p>
        </w:tc>
        <w:tc>
          <w:tcPr>
            <w:tcW w:w="624" w:type="dxa"/>
            <w:tcBorders>
              <w:top w:val="single" w:sz="4" w:space="0" w:color="auto"/>
            </w:tcBorders>
          </w:tcPr>
          <w:p w:rsidR="006C227F" w:rsidRPr="00BC0095" w:rsidRDefault="006C227F" w:rsidP="00641FF0">
            <w:pPr>
              <w:jc w:val="right"/>
              <w:rPr>
                <w:rFonts w:cs="Arial"/>
                <w:bCs/>
                <w:iCs/>
                <w:szCs w:val="20"/>
              </w:rPr>
            </w:pPr>
            <w:r>
              <w:rPr>
                <w:rFonts w:cs="Arial"/>
                <w:b/>
                <w:bCs/>
                <w:iCs/>
                <w:szCs w:val="20"/>
              </w:rPr>
              <w:t>1,65</w:t>
            </w:r>
            <w:r w:rsidRPr="00BC0095">
              <w:rPr>
                <w:rFonts w:cs="Arial"/>
                <w:b/>
                <w:bCs/>
                <w:iCs/>
                <w:szCs w:val="20"/>
              </w:rPr>
              <w:t xml:space="preserve"> </w:t>
            </w:r>
          </w:p>
        </w:tc>
        <w:tc>
          <w:tcPr>
            <w:tcW w:w="227" w:type="dxa"/>
            <w:tcBorders>
              <w:top w:val="single" w:sz="4" w:space="0" w:color="auto"/>
            </w:tcBorders>
          </w:tcPr>
          <w:p w:rsidR="006C227F" w:rsidRPr="00BC0095" w:rsidRDefault="006C227F" w:rsidP="00641FF0">
            <w:pPr>
              <w:jc w:val="right"/>
              <w:rPr>
                <w:rFonts w:cs="Arial"/>
                <w:b/>
                <w:bCs/>
                <w:iCs/>
                <w:szCs w:val="20"/>
              </w:rPr>
            </w:pPr>
          </w:p>
        </w:tc>
        <w:tc>
          <w:tcPr>
            <w:tcW w:w="680" w:type="dxa"/>
            <w:tcBorders>
              <w:top w:val="single" w:sz="4" w:space="0" w:color="auto"/>
            </w:tcBorders>
          </w:tcPr>
          <w:p w:rsidR="006C227F" w:rsidRPr="00BC0095" w:rsidRDefault="006C227F" w:rsidP="00641FF0">
            <w:pPr>
              <w:jc w:val="right"/>
              <w:rPr>
                <w:rFonts w:cs="Arial"/>
                <w:bCs/>
                <w:iCs/>
                <w:szCs w:val="20"/>
              </w:rPr>
            </w:pPr>
            <w:r>
              <w:rPr>
                <w:rFonts w:cs="Arial"/>
                <w:b/>
                <w:bCs/>
                <w:iCs/>
                <w:szCs w:val="20"/>
              </w:rPr>
              <w:t>4,94</w:t>
            </w:r>
            <w:r w:rsidRPr="00BC0095">
              <w:rPr>
                <w:rFonts w:cs="Arial"/>
                <w:b/>
                <w:bCs/>
                <w:iCs/>
                <w:szCs w:val="20"/>
              </w:rPr>
              <w:t xml:space="preserve"> </w:t>
            </w:r>
          </w:p>
        </w:tc>
        <w:tc>
          <w:tcPr>
            <w:tcW w:w="1417" w:type="dxa"/>
            <w:tcBorders>
              <w:top w:val="single" w:sz="4" w:space="0" w:color="auto"/>
            </w:tcBorders>
          </w:tcPr>
          <w:p w:rsidR="006C227F" w:rsidRPr="00BC0095" w:rsidRDefault="006C227F" w:rsidP="00641FF0">
            <w:pPr>
              <w:jc w:val="right"/>
              <w:rPr>
                <w:rFonts w:cs="Arial"/>
                <w:b/>
                <w:bCs/>
                <w:iCs/>
                <w:szCs w:val="20"/>
              </w:rPr>
            </w:pPr>
          </w:p>
        </w:tc>
      </w:tr>
    </w:tbl>
    <w:p w:rsidR="006C227F" w:rsidRDefault="006C227F" w:rsidP="006C227F">
      <w:pPr>
        <w:spacing w:before="240" w:after="120"/>
        <w:rPr>
          <w:rFonts w:cs="Arial"/>
          <w:bCs/>
          <w:iCs/>
          <w:szCs w:val="20"/>
        </w:rPr>
      </w:pPr>
      <w:bookmarkStart w:id="2" w:name="_Hlk133147961"/>
      <w:r>
        <w:rPr>
          <w:rFonts w:cs="Arial"/>
          <w:bCs/>
          <w:iCs/>
          <w:szCs w:val="20"/>
        </w:rPr>
        <w:t xml:space="preserve">Forudsætninger og beregningsmåde </w:t>
      </w:r>
      <w:bookmarkEnd w:id="2"/>
      <w:proofErr w:type="spellStart"/>
      <w:r>
        <w:rPr>
          <w:rFonts w:cs="Arial"/>
          <w:bCs/>
          <w:iCs/>
          <w:szCs w:val="20"/>
        </w:rPr>
        <w:t>fsva</w:t>
      </w:r>
      <w:proofErr w:type="spellEnd"/>
      <w:r>
        <w:rPr>
          <w:rFonts w:cs="Arial"/>
          <w:bCs/>
          <w:iCs/>
          <w:szCs w:val="20"/>
        </w:rPr>
        <w:t>. effekt af implementering efter stk.1 fremgår af afsnit 1 nedenfor, mens det tilsvarende vedr. effekt af de alternative tiltag er beskrevet i afsnit 2.</w:t>
      </w:r>
    </w:p>
    <w:p w:rsidR="006C227F" w:rsidRDefault="006C227F" w:rsidP="006C227F">
      <w:pPr>
        <w:spacing w:after="240"/>
        <w:rPr>
          <w:rFonts w:cs="Arial"/>
          <w:bCs/>
          <w:iCs/>
          <w:szCs w:val="20"/>
        </w:rPr>
      </w:pPr>
      <w:r>
        <w:rPr>
          <w:rFonts w:cs="Arial"/>
          <w:bCs/>
          <w:iCs/>
          <w:szCs w:val="20"/>
        </w:rPr>
        <w:t>Foruden de alternative foranstaltninger nævnt i tabel 1 har Danmark en i</w:t>
      </w:r>
      <w:r w:rsidRPr="000C7DEA">
        <w:rPr>
          <w:rFonts w:cs="Arial"/>
          <w:bCs/>
          <w:iCs/>
          <w:szCs w:val="20"/>
        </w:rPr>
        <w:t xml:space="preserve">nformations- og rådgivningsindsats, primært </w:t>
      </w:r>
      <w:r>
        <w:rPr>
          <w:rFonts w:cs="Arial"/>
          <w:bCs/>
          <w:iCs/>
          <w:szCs w:val="20"/>
        </w:rPr>
        <w:t xml:space="preserve">via </w:t>
      </w:r>
      <w:r w:rsidRPr="000C7DEA">
        <w:rPr>
          <w:rFonts w:cs="Arial"/>
          <w:bCs/>
          <w:iCs/>
          <w:szCs w:val="20"/>
        </w:rPr>
        <w:t>SparEnergi.dk og Videncenter for Energibesparelser i Bygninger</w:t>
      </w:r>
      <w:r>
        <w:rPr>
          <w:rFonts w:cs="Arial"/>
          <w:bCs/>
          <w:iCs/>
          <w:szCs w:val="20"/>
        </w:rPr>
        <w:t>, som må forventes at have en effekt, der delvis kan sidestilles med effekten af en tilsynsordning efter stk. 1. Denne effekt er dog ikke forsøgt kvantificeret, henset til at den forventede effekt af de tre øvrige tiltag allerede overstiger den forventede effekt af en tilsynsordning efter stk. 1.</w:t>
      </w:r>
    </w:p>
    <w:p w:rsidR="006C227F" w:rsidRPr="00CD48B3" w:rsidRDefault="006C227F" w:rsidP="006C227F">
      <w:pPr>
        <w:spacing w:after="120"/>
        <w:rPr>
          <w:rFonts w:cs="Arial"/>
          <w:b/>
          <w:iCs/>
          <w:szCs w:val="20"/>
        </w:rPr>
      </w:pPr>
      <w:r>
        <w:rPr>
          <w:rFonts w:cs="Arial"/>
          <w:b/>
          <w:iCs/>
          <w:szCs w:val="20"/>
        </w:rPr>
        <w:t>1)</w:t>
      </w:r>
      <w:r>
        <w:rPr>
          <w:rFonts w:cs="Arial"/>
          <w:b/>
          <w:iCs/>
          <w:szCs w:val="20"/>
        </w:rPr>
        <w:br/>
        <w:t>Effekt af implementering efter stk. 1</w:t>
      </w:r>
    </w:p>
    <w:p w:rsidR="006C227F" w:rsidRPr="00517AB9" w:rsidRDefault="006C227F" w:rsidP="006C227F">
      <w:pPr>
        <w:spacing w:after="60"/>
        <w:rPr>
          <w:i/>
          <w:iCs/>
        </w:rPr>
      </w:pPr>
      <w:r>
        <w:rPr>
          <w:i/>
          <w:iCs/>
        </w:rPr>
        <w:t>1a)</w:t>
      </w:r>
      <w:r>
        <w:rPr>
          <w:i/>
          <w:iCs/>
        </w:rPr>
        <w:br/>
      </w:r>
      <w:r>
        <w:rPr>
          <w:i/>
          <w:iCs/>
          <w:u w:val="single"/>
        </w:rPr>
        <w:t>E</w:t>
      </w:r>
      <w:r w:rsidRPr="007A4F08">
        <w:rPr>
          <w:i/>
          <w:iCs/>
          <w:u w:val="single"/>
        </w:rPr>
        <w:t>nergiforbrug</w:t>
      </w:r>
      <w:r>
        <w:rPr>
          <w:i/>
          <w:iCs/>
          <w:u w:val="single"/>
        </w:rPr>
        <w:t xml:space="preserve"> til rumkøling i de relevante anlæg</w:t>
      </w:r>
    </w:p>
    <w:p w:rsidR="006C227F" w:rsidRDefault="006C227F" w:rsidP="006C227F">
      <w:pPr>
        <w:spacing w:after="120"/>
        <w:rPr>
          <w:iCs/>
        </w:rPr>
      </w:pPr>
      <w:r>
        <w:rPr>
          <w:iCs/>
        </w:rPr>
        <w:t>Reglerne i artikel 15 gælder ”</w:t>
      </w:r>
      <w:r w:rsidRPr="006D7742">
        <w:rPr>
          <w:i/>
        </w:rPr>
        <w:t>klimaanlæg eller kombinerede klima- og ventilationsanlæg med en nominel nytteeffekt på over 70 kW</w:t>
      </w:r>
      <w:r>
        <w:rPr>
          <w:iCs/>
        </w:rPr>
        <w:t xml:space="preserve">”. Kun lokale anlæg til rumkøling i bygninger er omfattet, ikke fjernkøleanlæg eller anlæg til proceskøling i industri, detailhandel mv. </w:t>
      </w:r>
    </w:p>
    <w:p w:rsidR="006C227F" w:rsidRPr="00156899" w:rsidRDefault="006C227F" w:rsidP="006C227F">
      <w:pPr>
        <w:spacing w:after="120"/>
      </w:pPr>
      <w:r>
        <w:t xml:space="preserve">Der findes ikke en central registrering af køleanlæg i Danmark, hverken </w:t>
      </w:r>
      <w:proofErr w:type="spellStart"/>
      <w:r>
        <w:t>fsva</w:t>
      </w:r>
      <w:proofErr w:type="spellEnd"/>
      <w:r>
        <w:t xml:space="preserve">. køleanlæg generelt eller specifikt til rumkøling. Energibehovet </w:t>
      </w:r>
      <w:r w:rsidRPr="00156899">
        <w:t xml:space="preserve">til rumkøling </w:t>
      </w:r>
      <w:r>
        <w:t xml:space="preserve">er dog vurderet </w:t>
      </w:r>
      <w:r w:rsidRPr="00156899">
        <w:t xml:space="preserve">i rapporterne ”Kortlægning af </w:t>
      </w:r>
      <w:r w:rsidRPr="00156899">
        <w:lastRenderedPageBreak/>
        <w:t>energiforbruget i erhvervslivet”</w:t>
      </w:r>
      <w:r>
        <w:rPr>
          <w:rStyle w:val="Fodnotehenvisning"/>
        </w:rPr>
        <w:footnoteReference w:id="2"/>
      </w:r>
      <w:r w:rsidRPr="00156899">
        <w:t xml:space="preserve"> (Energistyrelsen 2015) </w:t>
      </w:r>
      <w:r>
        <w:t>hhv.</w:t>
      </w:r>
      <w:r w:rsidRPr="00156899">
        <w:t xml:space="preserve"> ”Fordeling af energiforbrug på slutanvendelser i handel og service” (Transition 2019)</w:t>
      </w:r>
      <w:r>
        <w:t>.</w:t>
      </w:r>
      <w:r w:rsidRPr="00156899">
        <w:t xml:space="preserve"> </w:t>
      </w:r>
    </w:p>
    <w:p w:rsidR="006C227F" w:rsidRDefault="006C227F" w:rsidP="006C227F">
      <w:pPr>
        <w:spacing w:after="240"/>
      </w:pPr>
      <w:bookmarkStart w:id="3" w:name="_Hlk133187610"/>
      <w:r>
        <w:t>I den seneste ækvivalensrapport vurderede Teknologisk Institut</w:t>
      </w:r>
      <w:bookmarkEnd w:id="3"/>
      <w:r>
        <w:t xml:space="preserve"> med udgangspunkt i de nævnte kilder, at køleanlæg til rumkøling med effekt større end 70 kW havde et elforbrug på ca. 1.323 TJ/år. Det antages, at dette forbrug er vokset med 6,7 % svarende til væksten i BNP i faste priser fra 2019 til 2022, således at det nu er ca. 1.416 TJ/år.  </w:t>
      </w:r>
    </w:p>
    <w:p w:rsidR="006C227F" w:rsidRPr="0069444C" w:rsidRDefault="006C227F" w:rsidP="006C227F">
      <w:pPr>
        <w:spacing w:after="60"/>
        <w:rPr>
          <w:i/>
          <w:iCs/>
        </w:rPr>
      </w:pPr>
      <w:r w:rsidRPr="007A4F08">
        <w:rPr>
          <w:i/>
          <w:iCs/>
        </w:rPr>
        <w:t>1b)</w:t>
      </w:r>
      <w:r w:rsidRPr="007A4F08">
        <w:rPr>
          <w:i/>
          <w:iCs/>
        </w:rPr>
        <w:br/>
      </w:r>
      <w:r w:rsidRPr="007A4F08">
        <w:rPr>
          <w:i/>
          <w:iCs/>
          <w:u w:val="single"/>
        </w:rPr>
        <w:t>Anlæg som er undtaget efter stk. 2</w:t>
      </w:r>
    </w:p>
    <w:p w:rsidR="006C227F" w:rsidRDefault="006C227F" w:rsidP="006C227F">
      <w:pPr>
        <w:spacing w:after="120"/>
        <w:rPr>
          <w:iCs/>
        </w:rPr>
      </w:pPr>
      <w:r>
        <w:rPr>
          <w:iCs/>
        </w:rPr>
        <w:t>Ifølge artiklens stk. 2 er anlæg ”</w:t>
      </w:r>
      <w:r w:rsidRPr="007A4F08">
        <w:rPr>
          <w:i/>
        </w:rPr>
        <w:t xml:space="preserve">der udtrykkeligt er omfattet af et aftalt kriterium for energimæssig ydeevne eller af en kontraktlig ordning om </w:t>
      </w:r>
      <w:r w:rsidRPr="007A4F08">
        <w:rPr>
          <w:iCs/>
        </w:rPr>
        <w:t>et</w:t>
      </w:r>
      <w:r w:rsidRPr="007A4F08">
        <w:rPr>
          <w:i/>
        </w:rPr>
        <w:t xml:space="preserve"> aftalt niveau for forbedring af energi</w:t>
      </w:r>
      <w:r>
        <w:rPr>
          <w:i/>
        </w:rPr>
        <w:t>-</w:t>
      </w:r>
      <w:r w:rsidRPr="007A4F08">
        <w:rPr>
          <w:i/>
        </w:rPr>
        <w:t xml:space="preserve">effektiviteten, f.eks. en kontrakt om energimæssig ydeevne, eller som drives af en driftsansvarlig eller en </w:t>
      </w:r>
      <w:proofErr w:type="spellStart"/>
      <w:r w:rsidRPr="007A4F08">
        <w:rPr>
          <w:i/>
        </w:rPr>
        <w:t>netoperatør</w:t>
      </w:r>
      <w:proofErr w:type="spellEnd"/>
      <w:r>
        <w:rPr>
          <w:iCs/>
        </w:rPr>
        <w:t>” undtaget fra krav om eftersyn i stk. 1.</w:t>
      </w:r>
    </w:p>
    <w:p w:rsidR="006C227F" w:rsidRDefault="006C227F" w:rsidP="006C227F">
      <w:pPr>
        <w:spacing w:after="120"/>
        <w:rPr>
          <w:iCs/>
        </w:rPr>
      </w:pPr>
      <w:r w:rsidRPr="00205EF3">
        <w:rPr>
          <w:iCs/>
        </w:rPr>
        <w:t xml:space="preserve">I den seneste tidligere ækvivalensrapport vurderede Teknologisk Institut, at </w:t>
      </w:r>
      <w:r>
        <w:rPr>
          <w:iCs/>
        </w:rPr>
        <w:t xml:space="preserve">54 % af rumkøleanlæg med effekt større end 70 kW er omfattet af </w:t>
      </w:r>
      <w:r w:rsidRPr="00205EF3">
        <w:rPr>
          <w:iCs/>
        </w:rPr>
        <w:t xml:space="preserve">certificeret energiledelse efter ISO50001 eller </w:t>
      </w:r>
      <w:r>
        <w:rPr>
          <w:iCs/>
        </w:rPr>
        <w:t xml:space="preserve">lovpligtigt </w:t>
      </w:r>
      <w:r w:rsidRPr="00205EF3">
        <w:rPr>
          <w:iCs/>
        </w:rPr>
        <w:t>energisyn</w:t>
      </w:r>
      <w:r>
        <w:rPr>
          <w:iCs/>
        </w:rPr>
        <w:t xml:space="preserve">. </w:t>
      </w:r>
      <w:r w:rsidRPr="00205EF3">
        <w:rPr>
          <w:iCs/>
        </w:rPr>
        <w:t>Begge disse ordninger adresserer mulige energieffektiviseringstiltag</w:t>
      </w:r>
      <w:r>
        <w:rPr>
          <w:iCs/>
        </w:rPr>
        <w:t xml:space="preserve"> i rumkøleanlæg, og </w:t>
      </w:r>
      <w:r w:rsidRPr="00205EF3">
        <w:rPr>
          <w:iCs/>
        </w:rPr>
        <w:t>Energistyrelsens vurder</w:t>
      </w:r>
      <w:r>
        <w:rPr>
          <w:iCs/>
        </w:rPr>
        <w:t>er, at anlæggene derfor også er omfattet af undtagelsen i stk. 2 nævnt ovenfor.</w:t>
      </w:r>
    </w:p>
    <w:p w:rsidR="006C227F" w:rsidRDefault="006C227F" w:rsidP="006C227F">
      <w:pPr>
        <w:spacing w:after="240"/>
        <w:rPr>
          <w:iCs/>
        </w:rPr>
      </w:pPr>
      <w:r>
        <w:rPr>
          <w:iCs/>
        </w:rPr>
        <w:t xml:space="preserve">Hvis det antages, at den nævnte andel ikke er væsentligt ændret, og at andelen af energiforbrug omfattet af undtagelsen svarer til den nævnte andel anlæg, vil energiforbruget i anlæg, som vil skulle efterses i en ordning ifølge stk. 1, udgøre </w:t>
      </w:r>
      <w:r>
        <w:rPr>
          <w:iCs/>
        </w:rPr>
        <w:br/>
        <w:t xml:space="preserve">651 </w:t>
      </w:r>
      <w:r w:rsidRPr="000C5AB3">
        <w:rPr>
          <w:iCs/>
        </w:rPr>
        <w:t>TJ/år.</w:t>
      </w:r>
      <w:r>
        <w:rPr>
          <w:iCs/>
        </w:rPr>
        <w:t xml:space="preserve"> </w:t>
      </w:r>
      <w:r w:rsidRPr="00205EF3">
        <w:rPr>
          <w:iCs/>
        </w:rPr>
        <w:t xml:space="preserve"> </w:t>
      </w:r>
    </w:p>
    <w:p w:rsidR="006C227F" w:rsidRPr="00151880" w:rsidRDefault="006C227F" w:rsidP="006C227F">
      <w:pPr>
        <w:spacing w:after="60"/>
        <w:rPr>
          <w:i/>
          <w:iCs/>
        </w:rPr>
      </w:pPr>
      <w:r w:rsidRPr="00151880">
        <w:rPr>
          <w:i/>
          <w:iCs/>
        </w:rPr>
        <w:t>1</w:t>
      </w:r>
      <w:r>
        <w:rPr>
          <w:i/>
          <w:iCs/>
        </w:rPr>
        <w:t>c</w:t>
      </w:r>
      <w:r w:rsidRPr="00151880">
        <w:rPr>
          <w:i/>
          <w:iCs/>
        </w:rPr>
        <w:t>)</w:t>
      </w:r>
      <w:r w:rsidRPr="00151880">
        <w:rPr>
          <w:i/>
          <w:iCs/>
        </w:rPr>
        <w:br/>
      </w:r>
      <w:r>
        <w:rPr>
          <w:i/>
          <w:iCs/>
          <w:u w:val="single"/>
        </w:rPr>
        <w:t xml:space="preserve">Vurderet effekt af en eftersynsordning ifølge stk. 1 </w:t>
      </w:r>
    </w:p>
    <w:p w:rsidR="006C227F" w:rsidRPr="00171A50" w:rsidRDefault="006C227F" w:rsidP="006C227F">
      <w:pPr>
        <w:spacing w:after="120"/>
      </w:pPr>
      <w:r w:rsidRPr="00171A50">
        <w:t xml:space="preserve">Teknologisk Institut vurderer, at </w:t>
      </w:r>
      <w:r>
        <w:t xml:space="preserve">eftersyn ifølge stk. 1 ville kunne </w:t>
      </w:r>
      <w:r w:rsidRPr="00171A50">
        <w:t>påvise et besparelsespotentiale på 15</w:t>
      </w:r>
      <w:r>
        <w:t xml:space="preserve"> </w:t>
      </w:r>
      <w:r w:rsidRPr="00171A50">
        <w:t xml:space="preserve">% </w:t>
      </w:r>
      <w:r>
        <w:t xml:space="preserve">i de omfattede anlæg. Ifølge Teknologisk Institut realiseres ca. 1/3 af det potentiale, som konstateres i frivillige eftersynsordninger. Hvis det antages, at det også ville gælde i en obligatorisk ordning, at </w:t>
      </w:r>
      <w:r w:rsidRPr="00171A50">
        <w:t>det</w:t>
      </w:r>
      <w:r>
        <w:t xml:space="preserve"> obligatoriske eftersyn finder sted é</w:t>
      </w:r>
      <w:r w:rsidRPr="00171A50">
        <w:t>n gang i køleanlæggets levetid</w:t>
      </w:r>
      <w:r>
        <w:t>,</w:t>
      </w:r>
      <w:r w:rsidRPr="00171A50">
        <w:t xml:space="preserve"> og </w:t>
      </w:r>
      <w:r>
        <w:t xml:space="preserve">at levetiden er </w:t>
      </w:r>
      <w:r w:rsidRPr="00171A50">
        <w:t xml:space="preserve">20 år, </w:t>
      </w:r>
      <w:r>
        <w:t xml:space="preserve">vil det medføre realiserede </w:t>
      </w:r>
      <w:r w:rsidRPr="00171A50">
        <w:t>energibesparelse</w:t>
      </w:r>
      <w:r>
        <w:t>r</w:t>
      </w:r>
      <w:r w:rsidRPr="00171A50">
        <w:t xml:space="preserve"> på 1,</w:t>
      </w:r>
      <w:r>
        <w:t>63</w:t>
      </w:r>
      <w:r w:rsidRPr="00171A50">
        <w:t xml:space="preserve"> TJ/år.   </w:t>
      </w:r>
    </w:p>
    <w:p w:rsidR="006C227F" w:rsidRDefault="006C227F" w:rsidP="006C227F">
      <w:pPr>
        <w:spacing w:after="120"/>
      </w:pPr>
      <w:r>
        <w:t>Det forventes, at krav om obligatorisk eftersyn vil blive efterlevet i udstrakt grad.</w:t>
      </w:r>
      <w:r>
        <w:br/>
      </w:r>
      <w:r w:rsidRPr="00171A50">
        <w:t xml:space="preserve">Teknologisk institut har </w:t>
      </w:r>
      <w:r>
        <w:t>m</w:t>
      </w:r>
      <w:r w:rsidRPr="00171A50">
        <w:t xml:space="preserve">ed en stikprøveundersøgelse </w:t>
      </w:r>
      <w:r>
        <w:t xml:space="preserve">belyst, </w:t>
      </w:r>
      <w:r w:rsidRPr="00171A50">
        <w:t xml:space="preserve">i hvor høj grad det </w:t>
      </w:r>
      <w:r>
        <w:t xml:space="preserve">eksisterende krav om eftersyn knyttet til </w:t>
      </w:r>
      <w:r w:rsidRPr="00171A50">
        <w:t xml:space="preserve">Arbejdstilsynets </w:t>
      </w:r>
      <w:r>
        <w:t xml:space="preserve">regler om trykbærende udstyr efterleves. Undersøgelsen viste næsten 100 % efterlevelse. Det vil formentlig være mest omkostningseffektivt hvis disse eftersyn i givet fald kobles med obligatoriske, energimæssige eftersyn ifølge stk. 1, og den høje grad af efterlevelse vil så formentlig også kunne bevares. </w:t>
      </w:r>
    </w:p>
    <w:p w:rsidR="006C227F" w:rsidRPr="00171A50" w:rsidRDefault="006C227F" w:rsidP="006C227F">
      <w:pPr>
        <w:spacing w:after="120"/>
      </w:pPr>
      <w:r>
        <w:t xml:space="preserve">Den nævnte stikprøveundersøgelse viste også, at </w:t>
      </w:r>
      <w:r w:rsidRPr="00171A50">
        <w:t xml:space="preserve">90% af de køleanlæg, der </w:t>
      </w:r>
      <w:r>
        <w:t xml:space="preserve">underkastes </w:t>
      </w:r>
      <w:r w:rsidRPr="00171A50">
        <w:t>eftersyn efter Arbejdstilsynets regler</w:t>
      </w:r>
      <w:r>
        <w:t>,</w:t>
      </w:r>
      <w:r w:rsidRPr="00171A50">
        <w:t xml:space="preserve"> </w:t>
      </w:r>
      <w:r>
        <w:t>samtidig gennemgår et frivilligt egentligt serviceeftersyn, hvor anlægget renses, får udskiftet sliddele mv.</w:t>
      </w:r>
      <w:r w:rsidRPr="00171A50">
        <w:t xml:space="preserve">  </w:t>
      </w:r>
    </w:p>
    <w:p w:rsidR="006C227F" w:rsidRDefault="006C227F" w:rsidP="006C227F">
      <w:pPr>
        <w:spacing w:after="120"/>
      </w:pPr>
      <w:r w:rsidRPr="00171A50">
        <w:t xml:space="preserve">Samlet set vurderes det konservativt, at </w:t>
      </w:r>
      <w:r>
        <w:t xml:space="preserve">krav om </w:t>
      </w:r>
      <w:r w:rsidRPr="00171A50">
        <w:t xml:space="preserve">obligatorisk eftersyn </w:t>
      </w:r>
      <w:r>
        <w:t xml:space="preserve">ifølge </w:t>
      </w:r>
      <w:r w:rsidRPr="00171A50">
        <w:t xml:space="preserve">stk. 1 vil </w:t>
      </w:r>
      <w:r>
        <w:t xml:space="preserve">opnå en </w:t>
      </w:r>
      <w:r w:rsidRPr="00171A50">
        <w:t xml:space="preserve">efterlevelsesgrad på 75 %. </w:t>
      </w:r>
    </w:p>
    <w:p w:rsidR="006C227F" w:rsidRDefault="006C227F" w:rsidP="006C227F">
      <w:pPr>
        <w:spacing w:after="240"/>
      </w:pPr>
      <w:r w:rsidRPr="00171A50">
        <w:lastRenderedPageBreak/>
        <w:t xml:space="preserve">Med </w:t>
      </w:r>
      <w:r>
        <w:t>ovennævnte forhold mellem potentielle og realiserede energibesparelser og de nævnte antagelser vedr. eftersyns</w:t>
      </w:r>
      <w:r w:rsidRPr="00171A50">
        <w:t xml:space="preserve">frekvens (hvert 20. år) og </w:t>
      </w:r>
      <w:r>
        <w:t xml:space="preserve">efterlevelsesgrad vil de realiserede </w:t>
      </w:r>
      <w:r w:rsidRPr="00171A50">
        <w:t>e</w:t>
      </w:r>
      <w:r>
        <w:t>ne</w:t>
      </w:r>
      <w:r w:rsidRPr="00171A50">
        <w:t>rgibesparelse</w:t>
      </w:r>
      <w:r>
        <w:t>r</w:t>
      </w:r>
      <w:r w:rsidRPr="00171A50">
        <w:t xml:space="preserve"> </w:t>
      </w:r>
      <w:r>
        <w:t xml:space="preserve">udgøre </w:t>
      </w:r>
      <w:r w:rsidRPr="002D539D">
        <w:rPr>
          <w:bCs/>
        </w:rPr>
        <w:t>1,2 TJ/år.</w:t>
      </w:r>
      <w:r w:rsidRPr="00171A50">
        <w:t xml:space="preserve"> </w:t>
      </w:r>
    </w:p>
    <w:p w:rsidR="006C227F" w:rsidRDefault="006C227F" w:rsidP="006C227F">
      <w:pPr>
        <w:spacing w:after="120"/>
        <w:rPr>
          <w:b/>
          <w:iCs/>
        </w:rPr>
      </w:pPr>
      <w:r>
        <w:rPr>
          <w:b/>
          <w:iCs/>
        </w:rPr>
        <w:t>2</w:t>
      </w:r>
      <w:r w:rsidRPr="00D24451">
        <w:rPr>
          <w:b/>
          <w:iCs/>
        </w:rPr>
        <w:t>)</w:t>
      </w:r>
      <w:r w:rsidRPr="00D24451">
        <w:rPr>
          <w:b/>
          <w:iCs/>
        </w:rPr>
        <w:br/>
        <w:t xml:space="preserve">Effekt af </w:t>
      </w:r>
      <w:r>
        <w:rPr>
          <w:b/>
          <w:iCs/>
        </w:rPr>
        <w:t>alternative foranstaltninger</w:t>
      </w:r>
    </w:p>
    <w:p w:rsidR="006C227F" w:rsidRPr="004F14EE" w:rsidRDefault="006C227F" w:rsidP="006C227F">
      <w:pPr>
        <w:rPr>
          <w:bCs/>
          <w:i/>
        </w:rPr>
      </w:pPr>
      <w:r>
        <w:rPr>
          <w:bCs/>
          <w:i/>
        </w:rPr>
        <w:t>Erhvervspuljen</w:t>
      </w:r>
      <w:r w:rsidRPr="004F14EE">
        <w:rPr>
          <w:bCs/>
          <w:i/>
        </w:rPr>
        <w:t xml:space="preserve"> </w:t>
      </w:r>
    </w:p>
    <w:p w:rsidR="006C227F" w:rsidRPr="004F14EE" w:rsidRDefault="006C227F" w:rsidP="006C227F">
      <w:pPr>
        <w:spacing w:after="120"/>
        <w:rPr>
          <w:bCs/>
          <w:iCs/>
        </w:rPr>
      </w:pPr>
      <w:r w:rsidRPr="004F14EE">
        <w:rPr>
          <w:bCs/>
          <w:iCs/>
        </w:rPr>
        <w:t xml:space="preserve">Erhvervspuljen </w:t>
      </w:r>
      <w:r>
        <w:rPr>
          <w:bCs/>
          <w:iCs/>
        </w:rPr>
        <w:t xml:space="preserve">giver danske virksomheder tilskud til projekter, som </w:t>
      </w:r>
      <w:r w:rsidRPr="004F14EE">
        <w:rPr>
          <w:bCs/>
          <w:iCs/>
        </w:rPr>
        <w:t>sparer energi og/eller CO</w:t>
      </w:r>
      <w:r w:rsidRPr="004F14EE">
        <w:rPr>
          <w:bCs/>
          <w:iCs/>
          <w:vertAlign w:val="subscript"/>
        </w:rPr>
        <w:t>2</w:t>
      </w:r>
      <w:r w:rsidRPr="004F14EE">
        <w:rPr>
          <w:bCs/>
          <w:iCs/>
        </w:rPr>
        <w:t xml:space="preserve">-udledning, </w:t>
      </w:r>
      <w:r>
        <w:rPr>
          <w:bCs/>
          <w:iCs/>
        </w:rPr>
        <w:t>der</w:t>
      </w:r>
      <w:r w:rsidRPr="004F14EE">
        <w:rPr>
          <w:bCs/>
          <w:iCs/>
        </w:rPr>
        <w:t xml:space="preserve"> skyldes energiforbrug</w:t>
      </w:r>
      <w:r>
        <w:rPr>
          <w:bCs/>
          <w:iCs/>
        </w:rPr>
        <w:t>, herunder også projekter vedr. anlæg til rumkøling</w:t>
      </w:r>
      <w:r w:rsidRPr="004F14EE">
        <w:rPr>
          <w:bCs/>
          <w:iCs/>
        </w:rPr>
        <w:t xml:space="preserve">. </w:t>
      </w:r>
      <w:r>
        <w:rPr>
          <w:bCs/>
          <w:iCs/>
        </w:rPr>
        <w:t xml:space="preserve">Der er afsat midler til puljen i de kommende år frem til 2029. </w:t>
      </w:r>
      <w:r w:rsidRPr="004F14EE">
        <w:rPr>
          <w:bCs/>
          <w:iCs/>
        </w:rPr>
        <w:t xml:space="preserve"> </w:t>
      </w:r>
    </w:p>
    <w:p w:rsidR="006C227F" w:rsidRDefault="006C227F" w:rsidP="006C227F">
      <w:pPr>
        <w:spacing w:after="240"/>
        <w:rPr>
          <w:bCs/>
          <w:iCs/>
        </w:rPr>
      </w:pPr>
      <w:r w:rsidRPr="004F14EE">
        <w:rPr>
          <w:bCs/>
          <w:iCs/>
        </w:rPr>
        <w:t xml:space="preserve">I 2021 </w:t>
      </w:r>
      <w:r>
        <w:rPr>
          <w:bCs/>
          <w:iCs/>
        </w:rPr>
        <w:t xml:space="preserve">og 2022 blev der givet 2 </w:t>
      </w:r>
      <w:r w:rsidRPr="004F14EE">
        <w:rPr>
          <w:bCs/>
          <w:iCs/>
        </w:rPr>
        <w:t xml:space="preserve">tilsagn vedrørende anlæg til </w:t>
      </w:r>
      <w:r>
        <w:rPr>
          <w:bCs/>
          <w:iCs/>
        </w:rPr>
        <w:t>rumkøling</w:t>
      </w:r>
      <w:r w:rsidRPr="004F14EE">
        <w:rPr>
          <w:bCs/>
          <w:iCs/>
        </w:rPr>
        <w:t xml:space="preserve"> med en effekt på over 70 kW. </w:t>
      </w:r>
      <w:r>
        <w:rPr>
          <w:bCs/>
          <w:iCs/>
        </w:rPr>
        <w:t xml:space="preserve">Ifølge de oplysninger, som de pågældende virksomheder har indberettet, vil de 2 projekter medføre en samlet årlig besparelse på 1,4 TJ. </w:t>
      </w:r>
      <w:r w:rsidRPr="004F14EE">
        <w:rPr>
          <w:bCs/>
          <w:iCs/>
        </w:rPr>
        <w:t xml:space="preserve">Det forventes, at ordningen i hvert </w:t>
      </w:r>
      <w:r>
        <w:rPr>
          <w:bCs/>
          <w:iCs/>
        </w:rPr>
        <w:t xml:space="preserve">år af rapportperioden </w:t>
      </w:r>
      <w:r w:rsidRPr="004F14EE">
        <w:rPr>
          <w:bCs/>
          <w:iCs/>
        </w:rPr>
        <w:t xml:space="preserve">vil medføre yderligere besparelser </w:t>
      </w:r>
      <w:r>
        <w:rPr>
          <w:bCs/>
          <w:iCs/>
        </w:rPr>
        <w:t>svarende til gennemsnittet af, hvad der blev opnået i 2021 og 2022, dvs. 0,7 TJ.</w:t>
      </w:r>
    </w:p>
    <w:p w:rsidR="006C227F" w:rsidRDefault="006C227F" w:rsidP="006C227F">
      <w:pPr>
        <w:spacing w:after="120"/>
        <w:rPr>
          <w:bCs/>
          <w:iCs/>
        </w:rPr>
      </w:pPr>
      <w:bookmarkStart w:id="4" w:name="_Toc130802238"/>
      <w:r w:rsidRPr="007A27C3">
        <w:rPr>
          <w:bCs/>
          <w:i/>
        </w:rPr>
        <w:t xml:space="preserve">Krav i </w:t>
      </w:r>
      <w:r>
        <w:rPr>
          <w:bCs/>
          <w:i/>
        </w:rPr>
        <w:t>B</w:t>
      </w:r>
      <w:r w:rsidRPr="007A27C3">
        <w:rPr>
          <w:bCs/>
          <w:i/>
        </w:rPr>
        <w:t>ygningsreglementet til nye rumkøleanlæg</w:t>
      </w:r>
      <w:bookmarkEnd w:id="4"/>
      <w:r>
        <w:rPr>
          <w:bCs/>
          <w:i/>
        </w:rPr>
        <w:t xml:space="preserve"> større end 290 kW</w:t>
      </w:r>
      <w:r>
        <w:rPr>
          <w:bCs/>
          <w:i/>
        </w:rPr>
        <w:br/>
      </w:r>
      <w:r>
        <w:rPr>
          <w:bCs/>
          <w:iCs/>
        </w:rPr>
        <w:t>B</w:t>
      </w:r>
      <w:r w:rsidRPr="007A27C3">
        <w:rPr>
          <w:bCs/>
          <w:iCs/>
        </w:rPr>
        <w:t>ygningsreglementet</w:t>
      </w:r>
      <w:r>
        <w:rPr>
          <w:bCs/>
          <w:iCs/>
        </w:rPr>
        <w:t xml:space="preserve">s § 295 har </w:t>
      </w:r>
      <w:r w:rsidRPr="007A27C3">
        <w:rPr>
          <w:bCs/>
          <w:iCs/>
        </w:rPr>
        <w:t>krav</w:t>
      </w:r>
      <w:r>
        <w:rPr>
          <w:bCs/>
          <w:iCs/>
        </w:rPr>
        <w:t xml:space="preserve"> vedr. bygningsautomatik, som blandt andet omfatter nye rumkøleanlæg større end 290 kW. </w:t>
      </w:r>
      <w:r w:rsidRPr="007A27C3">
        <w:rPr>
          <w:bCs/>
          <w:iCs/>
        </w:rPr>
        <w:t xml:space="preserve">Kravene </w:t>
      </w:r>
      <w:r>
        <w:rPr>
          <w:bCs/>
          <w:iCs/>
        </w:rPr>
        <w:t xml:space="preserve">er nationale og skyldes </w:t>
      </w:r>
      <w:r w:rsidRPr="007A27C3">
        <w:rPr>
          <w:bCs/>
          <w:iCs/>
        </w:rPr>
        <w:t>ikke et EU</w:t>
      </w:r>
      <w:r>
        <w:rPr>
          <w:bCs/>
          <w:iCs/>
        </w:rPr>
        <w:t>-</w:t>
      </w:r>
      <w:r w:rsidRPr="007A27C3">
        <w:rPr>
          <w:bCs/>
          <w:iCs/>
        </w:rPr>
        <w:t>direktiv</w:t>
      </w:r>
      <w:r>
        <w:rPr>
          <w:bCs/>
          <w:iCs/>
        </w:rPr>
        <w:t>.</w:t>
      </w:r>
    </w:p>
    <w:p w:rsidR="006C227F" w:rsidRDefault="006C227F" w:rsidP="006C227F">
      <w:pPr>
        <w:rPr>
          <w:bCs/>
          <w:iCs/>
        </w:rPr>
      </w:pPr>
      <w:r>
        <w:rPr>
          <w:bCs/>
          <w:iCs/>
        </w:rPr>
        <w:t xml:space="preserve">Kravene indebærer, at automatikken skal være i stand til </w:t>
      </w:r>
    </w:p>
    <w:p w:rsidR="006C227F" w:rsidRDefault="006C227F" w:rsidP="006C227F">
      <w:pPr>
        <w:pStyle w:val="Listeafsnit"/>
        <w:numPr>
          <w:ilvl w:val="0"/>
          <w:numId w:val="1"/>
        </w:numPr>
        <w:ind w:left="341" w:hanging="284"/>
      </w:pPr>
      <w:r>
        <w:t>løbende at overvåge og analysere energiforbruget,</w:t>
      </w:r>
    </w:p>
    <w:p w:rsidR="006C227F" w:rsidRDefault="006C227F" w:rsidP="006C227F">
      <w:pPr>
        <w:pStyle w:val="Listeafsnit"/>
        <w:numPr>
          <w:ilvl w:val="0"/>
          <w:numId w:val="1"/>
        </w:numPr>
        <w:ind w:left="341" w:hanging="284"/>
      </w:pPr>
      <w:r>
        <w:t>at kommunikere med de tekniske anlæg og regulere disse anlæg energieffektivt efter behovet i bygningen,</w:t>
      </w:r>
    </w:p>
    <w:p w:rsidR="006C227F" w:rsidRDefault="006C227F" w:rsidP="006C227F">
      <w:pPr>
        <w:pStyle w:val="Listeafsnit"/>
        <w:numPr>
          <w:ilvl w:val="0"/>
          <w:numId w:val="1"/>
        </w:numPr>
        <w:ind w:left="341" w:hanging="284"/>
      </w:pPr>
      <w:r>
        <w:t>at kunne udtrykke den energimæssige effektivitet af bygningen og dens tekniske anlæg</w:t>
      </w:r>
    </w:p>
    <w:p w:rsidR="006C227F" w:rsidRDefault="006C227F" w:rsidP="006C227F">
      <w:pPr>
        <w:pStyle w:val="Listeafsnit"/>
        <w:numPr>
          <w:ilvl w:val="0"/>
          <w:numId w:val="1"/>
        </w:numPr>
        <w:spacing w:after="240"/>
        <w:ind w:left="341" w:hanging="284"/>
      </w:pPr>
      <w:r>
        <w:t>at kunne detektere fejl i anlægget og underrette driftspersonalet om fejlene.</w:t>
      </w:r>
    </w:p>
    <w:p w:rsidR="006C227F" w:rsidRPr="00444A34" w:rsidRDefault="006C227F" w:rsidP="006C227F">
      <w:pPr>
        <w:spacing w:after="120"/>
        <w:rPr>
          <w:bCs/>
          <w:iCs/>
        </w:rPr>
      </w:pPr>
      <w:r>
        <w:rPr>
          <w:bCs/>
          <w:iCs/>
        </w:rPr>
        <w:t>Det vurderes at disse krav tilsammen</w:t>
      </w:r>
      <w:r w:rsidRPr="00444A34">
        <w:rPr>
          <w:bCs/>
          <w:iCs/>
        </w:rPr>
        <w:t xml:space="preserve"> </w:t>
      </w:r>
      <w:r>
        <w:rPr>
          <w:bCs/>
          <w:iCs/>
        </w:rPr>
        <w:t xml:space="preserve">medfører </w:t>
      </w:r>
      <w:r w:rsidRPr="00444A34">
        <w:rPr>
          <w:bCs/>
          <w:iCs/>
        </w:rPr>
        <w:t>en energibesparelse på</w:t>
      </w:r>
      <w:r>
        <w:rPr>
          <w:bCs/>
          <w:iCs/>
        </w:rPr>
        <w:t xml:space="preserve"> </w:t>
      </w:r>
      <w:r w:rsidRPr="00444A34">
        <w:rPr>
          <w:bCs/>
          <w:iCs/>
        </w:rPr>
        <w:t>5</w:t>
      </w:r>
      <w:r>
        <w:rPr>
          <w:bCs/>
          <w:iCs/>
        </w:rPr>
        <w:t xml:space="preserve"> </w:t>
      </w:r>
      <w:r w:rsidRPr="00444A34">
        <w:rPr>
          <w:bCs/>
          <w:iCs/>
        </w:rPr>
        <w:t>% i forhold til en situation</w:t>
      </w:r>
      <w:r>
        <w:rPr>
          <w:bCs/>
          <w:iCs/>
        </w:rPr>
        <w:t xml:space="preserve"> uden sådanne krav</w:t>
      </w:r>
      <w:r w:rsidRPr="00444A34">
        <w:rPr>
          <w:bCs/>
          <w:iCs/>
        </w:rPr>
        <w:t xml:space="preserve">.  </w:t>
      </w:r>
    </w:p>
    <w:p w:rsidR="006C227F" w:rsidRPr="00444A34" w:rsidRDefault="006C227F" w:rsidP="006C227F">
      <w:pPr>
        <w:spacing w:after="120"/>
        <w:rPr>
          <w:bCs/>
          <w:iCs/>
        </w:rPr>
      </w:pPr>
      <w:r>
        <w:rPr>
          <w:bCs/>
          <w:iCs/>
        </w:rPr>
        <w:t xml:space="preserve">Ifølge </w:t>
      </w:r>
      <w:r w:rsidRPr="00444A34">
        <w:rPr>
          <w:bCs/>
          <w:iCs/>
        </w:rPr>
        <w:t xml:space="preserve">Danmarks Statistik </w:t>
      </w:r>
      <w:r>
        <w:rPr>
          <w:bCs/>
          <w:iCs/>
        </w:rPr>
        <w:t xml:space="preserve">udgjorde tilvæksten i etageareal til </w:t>
      </w:r>
      <w:r w:rsidRPr="00444A34">
        <w:rPr>
          <w:bCs/>
          <w:iCs/>
        </w:rPr>
        <w:t>kontorer, hoteller, restauration, handel, undervisning og lign</w:t>
      </w:r>
      <w:r>
        <w:rPr>
          <w:bCs/>
          <w:iCs/>
        </w:rPr>
        <w:t xml:space="preserve">ende, hvor der i et vist omfang kan forventes rumkøling, </w:t>
      </w:r>
      <w:r w:rsidRPr="00444A34">
        <w:rPr>
          <w:bCs/>
          <w:iCs/>
        </w:rPr>
        <w:t>900.000 m</w:t>
      </w:r>
      <w:r w:rsidRPr="00444A34">
        <w:rPr>
          <w:bCs/>
          <w:iCs/>
          <w:vertAlign w:val="superscript"/>
        </w:rPr>
        <w:t>2</w:t>
      </w:r>
      <w:r w:rsidRPr="00444A34">
        <w:rPr>
          <w:bCs/>
          <w:iCs/>
        </w:rPr>
        <w:t>/år</w:t>
      </w:r>
      <w:r>
        <w:rPr>
          <w:bCs/>
          <w:iCs/>
        </w:rPr>
        <w:t xml:space="preserve"> i perioden </w:t>
      </w:r>
      <w:r w:rsidRPr="00444A34">
        <w:rPr>
          <w:bCs/>
          <w:iCs/>
        </w:rPr>
        <w:t>fra 2015 til 2019</w:t>
      </w:r>
      <w:r>
        <w:rPr>
          <w:bCs/>
          <w:iCs/>
        </w:rPr>
        <w:t xml:space="preserve">. </w:t>
      </w:r>
      <w:r w:rsidRPr="00444A34">
        <w:rPr>
          <w:bCs/>
          <w:iCs/>
        </w:rPr>
        <w:t xml:space="preserve"> </w:t>
      </w:r>
    </w:p>
    <w:p w:rsidR="006C227F" w:rsidRDefault="006C227F" w:rsidP="006C227F">
      <w:pPr>
        <w:spacing w:after="120"/>
        <w:rPr>
          <w:b/>
          <w:bCs/>
          <w:iCs/>
        </w:rPr>
      </w:pPr>
      <w:r>
        <w:rPr>
          <w:bCs/>
          <w:iCs/>
        </w:rPr>
        <w:t xml:space="preserve">Det antages, at den årlige tilvækst i rapportperioden fortsat vil være på dette niveau, og at der </w:t>
      </w:r>
      <w:r w:rsidRPr="00444A34">
        <w:rPr>
          <w:bCs/>
          <w:iCs/>
        </w:rPr>
        <w:t xml:space="preserve">vil blive etableret aktiv </w:t>
      </w:r>
      <w:r>
        <w:rPr>
          <w:bCs/>
          <w:iCs/>
        </w:rPr>
        <w:t>rum</w:t>
      </w:r>
      <w:r w:rsidRPr="00444A34">
        <w:rPr>
          <w:bCs/>
          <w:iCs/>
        </w:rPr>
        <w:t xml:space="preserve">køling </w:t>
      </w:r>
      <w:r>
        <w:rPr>
          <w:bCs/>
          <w:iCs/>
        </w:rPr>
        <w:t xml:space="preserve">med anlæg større end 290 kW </w:t>
      </w:r>
      <w:r w:rsidRPr="00444A34">
        <w:rPr>
          <w:bCs/>
          <w:iCs/>
        </w:rPr>
        <w:t>i 20% af areal</w:t>
      </w:r>
      <w:r>
        <w:rPr>
          <w:bCs/>
          <w:iCs/>
        </w:rPr>
        <w:t xml:space="preserve">et. Ifølge Teknologisk Institut kan det desuden antages, at det gennemsnitlige </w:t>
      </w:r>
      <w:r w:rsidRPr="00444A34">
        <w:rPr>
          <w:bCs/>
          <w:iCs/>
        </w:rPr>
        <w:t xml:space="preserve">elforbrug til køling </w:t>
      </w:r>
      <w:r>
        <w:rPr>
          <w:bCs/>
          <w:iCs/>
        </w:rPr>
        <w:t xml:space="preserve">udgør </w:t>
      </w:r>
      <w:r w:rsidRPr="00444A34">
        <w:rPr>
          <w:bCs/>
          <w:iCs/>
        </w:rPr>
        <w:t>15 kWh/m</w:t>
      </w:r>
      <w:r w:rsidRPr="00444A34">
        <w:rPr>
          <w:bCs/>
          <w:iCs/>
          <w:vertAlign w:val="superscript"/>
        </w:rPr>
        <w:t>2</w:t>
      </w:r>
      <w:r w:rsidRPr="00444A34">
        <w:rPr>
          <w:bCs/>
          <w:iCs/>
        </w:rPr>
        <w:t>år</w:t>
      </w:r>
      <w:r>
        <w:rPr>
          <w:bCs/>
          <w:iCs/>
        </w:rPr>
        <w:t>. Dermed vil en e</w:t>
      </w:r>
      <w:r w:rsidRPr="00444A34">
        <w:rPr>
          <w:bCs/>
          <w:iCs/>
        </w:rPr>
        <w:t>nergibesparelse</w:t>
      </w:r>
      <w:r>
        <w:rPr>
          <w:bCs/>
          <w:iCs/>
        </w:rPr>
        <w:t xml:space="preserve"> på 5 %</w:t>
      </w:r>
      <w:r w:rsidRPr="00444A34">
        <w:rPr>
          <w:bCs/>
          <w:iCs/>
        </w:rPr>
        <w:t xml:space="preserve">, som nævnt ovenfor, </w:t>
      </w:r>
      <w:r>
        <w:rPr>
          <w:bCs/>
          <w:iCs/>
        </w:rPr>
        <w:t xml:space="preserve">hvert år udgøre 135.000 kWh svarende til </w:t>
      </w:r>
      <w:r w:rsidRPr="002277A9">
        <w:rPr>
          <w:bCs/>
          <w:iCs/>
        </w:rPr>
        <w:t>0,486 TJ.</w:t>
      </w:r>
      <w:r>
        <w:rPr>
          <w:b/>
          <w:bCs/>
          <w:iCs/>
        </w:rPr>
        <w:t xml:space="preserve"> </w:t>
      </w:r>
    </w:p>
    <w:p w:rsidR="006C227F" w:rsidRDefault="006C227F" w:rsidP="006C227F">
      <w:pPr>
        <w:spacing w:after="240"/>
        <w:rPr>
          <w:bCs/>
          <w:iCs/>
        </w:rPr>
      </w:pPr>
      <w:r w:rsidRPr="002277A9">
        <w:rPr>
          <w:bCs/>
          <w:iCs/>
        </w:rPr>
        <w:t xml:space="preserve">Projekter gennemført i det første år vil derfor give </w:t>
      </w:r>
      <w:r>
        <w:rPr>
          <w:bCs/>
          <w:iCs/>
        </w:rPr>
        <w:t xml:space="preserve">den nævnte </w:t>
      </w:r>
      <w:r w:rsidRPr="002277A9">
        <w:rPr>
          <w:bCs/>
          <w:iCs/>
        </w:rPr>
        <w:t xml:space="preserve">besparelse i løbet af det andet år af perioden, og projekter gennemført i de to første år en besparelse på </w:t>
      </w:r>
      <w:r>
        <w:rPr>
          <w:bCs/>
          <w:iCs/>
        </w:rPr>
        <w:t xml:space="preserve">0,972 TJ </w:t>
      </w:r>
      <w:r w:rsidRPr="002277A9">
        <w:rPr>
          <w:bCs/>
          <w:iCs/>
        </w:rPr>
        <w:t xml:space="preserve">i løbet af det tredje år af perioden. Sammenlagt vil der dermed være tale om en besparelse på </w:t>
      </w:r>
      <w:r>
        <w:rPr>
          <w:bCs/>
          <w:iCs/>
        </w:rPr>
        <w:t xml:space="preserve">1,46 </w:t>
      </w:r>
      <w:r w:rsidRPr="002277A9">
        <w:rPr>
          <w:bCs/>
          <w:iCs/>
        </w:rPr>
        <w:t>TJ i rapportperioden.</w:t>
      </w:r>
      <w:r w:rsidRPr="00444A34">
        <w:rPr>
          <w:bCs/>
          <w:iCs/>
        </w:rPr>
        <w:t xml:space="preserve"> </w:t>
      </w:r>
      <w:r w:rsidRPr="007A27C3">
        <w:rPr>
          <w:bCs/>
          <w:iCs/>
        </w:rPr>
        <w:t xml:space="preserve"> </w:t>
      </w:r>
    </w:p>
    <w:p w:rsidR="006C227F" w:rsidRPr="00371E00" w:rsidRDefault="006C227F" w:rsidP="006C227F">
      <w:pPr>
        <w:spacing w:after="120"/>
        <w:rPr>
          <w:bCs/>
          <w:iCs/>
        </w:rPr>
      </w:pPr>
      <w:r w:rsidRPr="00371E00">
        <w:rPr>
          <w:bCs/>
          <w:i/>
        </w:rPr>
        <w:t>Cirkulære om energieffektivisering i statens institutioner</w:t>
      </w:r>
      <w:r w:rsidRPr="004F14EE">
        <w:rPr>
          <w:bCs/>
          <w:i/>
        </w:rPr>
        <w:t xml:space="preserve"> </w:t>
      </w:r>
      <w:r>
        <w:rPr>
          <w:bCs/>
          <w:i/>
        </w:rPr>
        <w:br/>
      </w:r>
      <w:r>
        <w:rPr>
          <w:bCs/>
          <w:iCs/>
        </w:rPr>
        <w:t>Ifølge c</w:t>
      </w:r>
      <w:r w:rsidRPr="00371E00">
        <w:rPr>
          <w:bCs/>
          <w:iCs/>
        </w:rPr>
        <w:t>irkulæret forpligtes ministerierne til</w:t>
      </w:r>
      <w:r>
        <w:rPr>
          <w:bCs/>
          <w:iCs/>
        </w:rPr>
        <w:t xml:space="preserve"> i perioden fra 2021 til 2030</w:t>
      </w:r>
      <w:r w:rsidRPr="00371E00">
        <w:rPr>
          <w:bCs/>
          <w:iCs/>
        </w:rPr>
        <w:t xml:space="preserve"> at reducere energiforbruget 42.480 MWh (153 TJ) i bygninger, som er ejet og benyttet af den statslige forvaltning</w:t>
      </w:r>
      <w:r>
        <w:rPr>
          <w:bCs/>
          <w:iCs/>
        </w:rPr>
        <w:t xml:space="preserve">. </w:t>
      </w:r>
      <w:r w:rsidRPr="00371E00">
        <w:rPr>
          <w:bCs/>
          <w:iCs/>
        </w:rPr>
        <w:t xml:space="preserve">Derudover skal energiforbruget i alle øvrige bygninger, som statslige institutioner benytter, </w:t>
      </w:r>
      <w:r>
        <w:rPr>
          <w:bCs/>
          <w:iCs/>
        </w:rPr>
        <w:t>være nedbragt m</w:t>
      </w:r>
      <w:r w:rsidRPr="00371E00">
        <w:rPr>
          <w:bCs/>
          <w:iCs/>
        </w:rPr>
        <w:t xml:space="preserve">ed 10 pct. </w:t>
      </w:r>
      <w:r>
        <w:rPr>
          <w:bCs/>
          <w:iCs/>
        </w:rPr>
        <w:t xml:space="preserve">i </w:t>
      </w:r>
      <w:r w:rsidRPr="00371E00">
        <w:rPr>
          <w:bCs/>
          <w:iCs/>
        </w:rPr>
        <w:t>2030.</w:t>
      </w:r>
    </w:p>
    <w:p w:rsidR="006C227F" w:rsidRPr="00371E00" w:rsidRDefault="006C227F" w:rsidP="006C227F">
      <w:pPr>
        <w:spacing w:after="120"/>
        <w:rPr>
          <w:bCs/>
          <w:iCs/>
        </w:rPr>
      </w:pPr>
      <w:r w:rsidRPr="00371E00">
        <w:rPr>
          <w:bCs/>
          <w:iCs/>
        </w:rPr>
        <w:lastRenderedPageBreak/>
        <w:t xml:space="preserve">EU's energieffektiviseringsdirektiv </w:t>
      </w:r>
      <w:r>
        <w:rPr>
          <w:bCs/>
          <w:iCs/>
        </w:rPr>
        <w:t>stiller krav om reduktion af energiforbruget i mindst</w:t>
      </w:r>
      <w:r w:rsidRPr="00371E00">
        <w:rPr>
          <w:bCs/>
          <w:iCs/>
        </w:rPr>
        <w:t xml:space="preserve"> 30% af </w:t>
      </w:r>
      <w:r>
        <w:rPr>
          <w:bCs/>
          <w:iCs/>
        </w:rPr>
        <w:t xml:space="preserve">etagearealet i </w:t>
      </w:r>
      <w:r w:rsidRPr="00371E00">
        <w:rPr>
          <w:bCs/>
          <w:iCs/>
        </w:rPr>
        <w:t xml:space="preserve">statens </w:t>
      </w:r>
      <w:r>
        <w:rPr>
          <w:bCs/>
          <w:iCs/>
        </w:rPr>
        <w:t>bygninger</w:t>
      </w:r>
      <w:r w:rsidRPr="00371E00">
        <w:rPr>
          <w:bCs/>
          <w:iCs/>
        </w:rPr>
        <w:t xml:space="preserve">. </w:t>
      </w:r>
      <w:r>
        <w:rPr>
          <w:bCs/>
          <w:iCs/>
        </w:rPr>
        <w:t xml:space="preserve">Reglerne i det danske cirkulære medfører sådanne krav til alt etageareal, der benyttes af staten. </w:t>
      </w:r>
      <w:r w:rsidRPr="00371E00">
        <w:rPr>
          <w:bCs/>
          <w:iCs/>
        </w:rPr>
        <w:t xml:space="preserve">Danmark </w:t>
      </w:r>
      <w:r>
        <w:rPr>
          <w:bCs/>
          <w:iCs/>
        </w:rPr>
        <w:t xml:space="preserve">overimplementerer altså for så vidt angår </w:t>
      </w:r>
      <w:r w:rsidRPr="00371E00">
        <w:rPr>
          <w:bCs/>
          <w:iCs/>
        </w:rPr>
        <w:t xml:space="preserve">70% af </w:t>
      </w:r>
      <w:r>
        <w:rPr>
          <w:bCs/>
          <w:iCs/>
        </w:rPr>
        <w:t xml:space="preserve">etagearealet i de nævnte bygninger. Det antages, at det kan regnes som en alternativ foranstaltning ifølge artikel 15 stk. 3.  </w:t>
      </w:r>
      <w:r w:rsidRPr="00371E00">
        <w:rPr>
          <w:bCs/>
          <w:iCs/>
        </w:rPr>
        <w:t xml:space="preserve"> </w:t>
      </w:r>
    </w:p>
    <w:p w:rsidR="006C227F" w:rsidRPr="00371E00" w:rsidRDefault="006C227F" w:rsidP="006C227F">
      <w:pPr>
        <w:spacing w:after="120"/>
        <w:rPr>
          <w:bCs/>
          <w:iCs/>
        </w:rPr>
      </w:pPr>
      <w:r w:rsidRPr="00371E00">
        <w:rPr>
          <w:bCs/>
          <w:iCs/>
        </w:rPr>
        <w:t xml:space="preserve">På basis af </w:t>
      </w:r>
      <w:r>
        <w:rPr>
          <w:bCs/>
          <w:iCs/>
        </w:rPr>
        <w:t xml:space="preserve">en opgørelse af </w:t>
      </w:r>
      <w:r w:rsidRPr="00371E00">
        <w:rPr>
          <w:bCs/>
          <w:iCs/>
        </w:rPr>
        <w:t>energiforbruget i offentlige bygninger</w:t>
      </w:r>
      <w:r>
        <w:rPr>
          <w:bCs/>
          <w:iCs/>
        </w:rPr>
        <w:t xml:space="preserve"> udført af konsulentfirmaet Transition,</w:t>
      </w:r>
      <w:r w:rsidRPr="00371E00">
        <w:rPr>
          <w:bCs/>
          <w:iCs/>
        </w:rPr>
        <w:t xml:space="preserve"> vurderes det</w:t>
      </w:r>
      <w:r>
        <w:rPr>
          <w:bCs/>
          <w:iCs/>
        </w:rPr>
        <w:t>,</w:t>
      </w:r>
      <w:r w:rsidRPr="00371E00">
        <w:rPr>
          <w:bCs/>
          <w:iCs/>
        </w:rPr>
        <w:t xml:space="preserve"> at 2</w:t>
      </w:r>
      <w:r>
        <w:rPr>
          <w:bCs/>
          <w:iCs/>
        </w:rPr>
        <w:t xml:space="preserve"> </w:t>
      </w:r>
      <w:r w:rsidRPr="00371E00">
        <w:rPr>
          <w:bCs/>
          <w:iCs/>
        </w:rPr>
        <w:t>% går til rumkøling</w:t>
      </w:r>
      <w:r>
        <w:rPr>
          <w:bCs/>
          <w:iCs/>
        </w:rPr>
        <w:t>,</w:t>
      </w:r>
      <w:r w:rsidRPr="00371E00">
        <w:rPr>
          <w:bCs/>
          <w:iCs/>
        </w:rPr>
        <w:t xml:space="preserve"> og at 66</w:t>
      </w:r>
      <w:r>
        <w:rPr>
          <w:bCs/>
          <w:iCs/>
        </w:rPr>
        <w:t xml:space="preserve"> </w:t>
      </w:r>
      <w:r w:rsidRPr="00371E00">
        <w:rPr>
          <w:bCs/>
          <w:iCs/>
        </w:rPr>
        <w:t xml:space="preserve">% af kølebehovet </w:t>
      </w:r>
      <w:r>
        <w:rPr>
          <w:bCs/>
          <w:iCs/>
        </w:rPr>
        <w:t xml:space="preserve">dækkes af </w:t>
      </w:r>
      <w:r w:rsidRPr="00371E00">
        <w:rPr>
          <w:bCs/>
          <w:iCs/>
        </w:rPr>
        <w:t xml:space="preserve">anlæg </w:t>
      </w:r>
      <w:r>
        <w:rPr>
          <w:bCs/>
          <w:iCs/>
        </w:rPr>
        <w:t xml:space="preserve">større end </w:t>
      </w:r>
      <w:r w:rsidRPr="00371E00">
        <w:rPr>
          <w:bCs/>
          <w:iCs/>
        </w:rPr>
        <w:t xml:space="preserve">70 kW. </w:t>
      </w:r>
      <w:r>
        <w:rPr>
          <w:bCs/>
          <w:iCs/>
        </w:rPr>
        <w:t xml:space="preserve">Hvis det antages, at den andel af de cirkulærebestemte samlede energibesparelser, der vedrører rumkøling med anlæg større end 70 kW, svarer til disse anlægs andel af det samlede energiforbrug i offentlige bygninger, vil det medføre besparelser i disse anlæg </w:t>
      </w:r>
      <w:r w:rsidRPr="00371E00">
        <w:rPr>
          <w:bCs/>
          <w:iCs/>
        </w:rPr>
        <w:t xml:space="preserve">på </w:t>
      </w:r>
      <w:r>
        <w:rPr>
          <w:bCs/>
          <w:iCs/>
        </w:rPr>
        <w:t xml:space="preserve">i alt </w:t>
      </w:r>
      <w:r w:rsidRPr="00371E00">
        <w:rPr>
          <w:bCs/>
          <w:iCs/>
        </w:rPr>
        <w:t>392 MWh i 2030 i forhold til 2020</w:t>
      </w:r>
      <w:r>
        <w:rPr>
          <w:bCs/>
          <w:iCs/>
        </w:rPr>
        <w:t>. Hvis det yderligere antages</w:t>
      </w:r>
      <w:r w:rsidRPr="00371E00">
        <w:rPr>
          <w:bCs/>
          <w:iCs/>
        </w:rPr>
        <w:t xml:space="preserve">, </w:t>
      </w:r>
      <w:r>
        <w:rPr>
          <w:bCs/>
          <w:iCs/>
        </w:rPr>
        <w:t>at der i 2022 høstes x besparelser fra projekter gennemført i 2021, i 2023 2x besparelser fra projekter gennemført i 2021 og 2022, i 2024 3x besparelser fra projekter gennemført i 2021, 2022 og 2023 og så videre, vil besparelserne i 2023, 2024 og 2025 i alt udgøre</w:t>
      </w:r>
      <w:r>
        <w:rPr>
          <w:bCs/>
          <w:iCs/>
        </w:rPr>
        <w:br/>
        <w:t>98 MW, hvilket er det samme som 0,35 TJ</w:t>
      </w:r>
      <w:r w:rsidRPr="00371E00">
        <w:rPr>
          <w:b/>
          <w:bCs/>
          <w:iCs/>
        </w:rPr>
        <w:t>.</w:t>
      </w:r>
    </w:p>
    <w:p w:rsidR="006C227F" w:rsidRDefault="006C227F" w:rsidP="006C227F">
      <w:pPr>
        <w:spacing w:after="480"/>
        <w:rPr>
          <w:bCs/>
          <w:iCs/>
        </w:rPr>
      </w:pPr>
      <w:r>
        <w:rPr>
          <w:bCs/>
          <w:iCs/>
        </w:rPr>
        <w:t>I kalenderåret 2020 var e</w:t>
      </w:r>
      <w:r w:rsidRPr="00371E00">
        <w:rPr>
          <w:bCs/>
          <w:iCs/>
        </w:rPr>
        <w:t xml:space="preserve">nergiforbruget i </w:t>
      </w:r>
      <w:r>
        <w:rPr>
          <w:bCs/>
          <w:iCs/>
        </w:rPr>
        <w:t xml:space="preserve">bygninger, som staten benyttede, men ikke ejede, 123,9 </w:t>
      </w:r>
      <w:proofErr w:type="spellStart"/>
      <w:r>
        <w:rPr>
          <w:bCs/>
          <w:iCs/>
        </w:rPr>
        <w:t>GWh</w:t>
      </w:r>
      <w:proofErr w:type="spellEnd"/>
      <w:r>
        <w:rPr>
          <w:bCs/>
          <w:iCs/>
        </w:rPr>
        <w:t xml:space="preserve">. Også </w:t>
      </w:r>
      <w:proofErr w:type="spellStart"/>
      <w:r>
        <w:rPr>
          <w:bCs/>
          <w:iCs/>
        </w:rPr>
        <w:t>fsva</w:t>
      </w:r>
      <w:proofErr w:type="spellEnd"/>
      <w:r>
        <w:rPr>
          <w:bCs/>
          <w:iCs/>
        </w:rPr>
        <w:t xml:space="preserve">. disse bygninger antages det, at 70 % af energiforbruget vedrører den overimplementering af energieffektiviseringsdirektivet, som er nævnt ovenfor, at 2 % af dette forbrug anvendes til rumkøling, og at 66 % heraf dækkes af anlæg større end 70 kW. Hvis det videre antages, at krav om at nedbringe energiforbruget med 10 % i 2030 implementeres helt præcist ift. forbrug til rumkøling, vil besparelsen i 2030 ift. 2020 udgøre 1,14 </w:t>
      </w:r>
      <w:proofErr w:type="spellStart"/>
      <w:r>
        <w:rPr>
          <w:bCs/>
          <w:iCs/>
        </w:rPr>
        <w:t>GWh</w:t>
      </w:r>
      <w:proofErr w:type="spellEnd"/>
      <w:r>
        <w:rPr>
          <w:bCs/>
          <w:iCs/>
        </w:rPr>
        <w:t xml:space="preserve">. Med samme antagelse som ovenfor vedrørende gennemførelse af besparelser år for år, </w:t>
      </w:r>
      <w:r w:rsidRPr="00823C0B">
        <w:rPr>
          <w:bCs/>
          <w:iCs/>
        </w:rPr>
        <w:t>vil besparelserne i 2023, 2024 og 2025 i alt udgøre</w:t>
      </w:r>
      <w:r>
        <w:rPr>
          <w:bCs/>
          <w:iCs/>
        </w:rPr>
        <w:t xml:space="preserve"> 0,285 </w:t>
      </w:r>
      <w:proofErr w:type="spellStart"/>
      <w:r>
        <w:rPr>
          <w:bCs/>
          <w:iCs/>
        </w:rPr>
        <w:t>GWh</w:t>
      </w:r>
      <w:proofErr w:type="spellEnd"/>
      <w:r>
        <w:rPr>
          <w:bCs/>
          <w:iCs/>
        </w:rPr>
        <w:t>, hvilket er det samme som 1,03 TJ.</w:t>
      </w:r>
    </w:p>
    <w:p w:rsidR="006C227F" w:rsidRPr="001A2B09" w:rsidRDefault="006C227F" w:rsidP="006C227F">
      <w:pPr>
        <w:spacing w:after="480"/>
        <w:rPr>
          <w:bCs/>
          <w:iCs/>
        </w:rPr>
      </w:pPr>
      <w:r w:rsidRPr="001A2B09">
        <w:rPr>
          <w:bCs/>
          <w:iCs/>
        </w:rPr>
        <w:t>Ovennævnte energibesparelser fra de t</w:t>
      </w:r>
      <w:r>
        <w:rPr>
          <w:bCs/>
          <w:iCs/>
        </w:rPr>
        <w:t>re</w:t>
      </w:r>
      <w:r w:rsidRPr="001A2B09">
        <w:rPr>
          <w:bCs/>
          <w:iCs/>
        </w:rPr>
        <w:t xml:space="preserve"> alternative foranstaltninger er indsat i tabel 1 ovenfor.</w:t>
      </w:r>
    </w:p>
    <w:p w:rsidR="00BF507F" w:rsidRPr="006C227F" w:rsidRDefault="00BF507F" w:rsidP="00BF507F"/>
    <w:sectPr w:rsidR="00BF507F" w:rsidRPr="006C227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7B6" w:rsidRDefault="000707B6" w:rsidP="006C227F">
      <w:pPr>
        <w:spacing w:after="0" w:line="240" w:lineRule="auto"/>
      </w:pPr>
      <w:r>
        <w:separator/>
      </w:r>
    </w:p>
  </w:endnote>
  <w:endnote w:type="continuationSeparator" w:id="0">
    <w:p w:rsidR="000707B6" w:rsidRDefault="000707B6" w:rsidP="006C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7B6" w:rsidRDefault="000707B6" w:rsidP="006C227F">
      <w:pPr>
        <w:spacing w:after="0" w:line="240" w:lineRule="auto"/>
      </w:pPr>
      <w:r>
        <w:separator/>
      </w:r>
    </w:p>
  </w:footnote>
  <w:footnote w:type="continuationSeparator" w:id="0">
    <w:p w:rsidR="000707B6" w:rsidRDefault="000707B6" w:rsidP="006C227F">
      <w:pPr>
        <w:spacing w:after="0" w:line="240" w:lineRule="auto"/>
      </w:pPr>
      <w:r>
        <w:continuationSeparator/>
      </w:r>
    </w:p>
  </w:footnote>
  <w:footnote w:id="1">
    <w:p w:rsidR="006C227F" w:rsidRDefault="006C227F" w:rsidP="006C227F">
      <w:pPr>
        <w:pStyle w:val="Fodnotetekst"/>
      </w:pPr>
      <w:r>
        <w:rPr>
          <w:rStyle w:val="Fodnotehenvisning"/>
        </w:rPr>
        <w:footnoteRef/>
      </w:r>
      <w:r>
        <w:t xml:space="preserve"> </w:t>
      </w:r>
      <w:r w:rsidRPr="003F3A71">
        <w:rPr>
          <w:sz w:val="16"/>
          <w:szCs w:val="16"/>
        </w:rPr>
        <w:t>Jf. a</w:t>
      </w:r>
      <w:r>
        <w:rPr>
          <w:sz w:val="16"/>
          <w:szCs w:val="16"/>
        </w:rPr>
        <w:t>rtikel 15</w:t>
      </w:r>
      <w:r w:rsidRPr="003F3A71">
        <w:rPr>
          <w:sz w:val="16"/>
          <w:szCs w:val="16"/>
        </w:rPr>
        <w:t xml:space="preserve">, stk. 3, i direktiv </w:t>
      </w:r>
      <w:r w:rsidRPr="003F3A71">
        <w:rPr>
          <w:rFonts w:cs="Arial"/>
          <w:bCs/>
          <w:iCs/>
          <w:sz w:val="16"/>
          <w:szCs w:val="16"/>
        </w:rPr>
        <w:t>2010/31/EU af 19. maj 2010 om bygningers energimæssige yde</w:t>
      </w:r>
      <w:r>
        <w:rPr>
          <w:rFonts w:cs="Arial"/>
          <w:bCs/>
          <w:iCs/>
          <w:sz w:val="16"/>
          <w:szCs w:val="16"/>
        </w:rPr>
        <w:t>e</w:t>
      </w:r>
      <w:r w:rsidRPr="003F3A71">
        <w:rPr>
          <w:rFonts w:cs="Arial"/>
          <w:bCs/>
          <w:iCs/>
          <w:sz w:val="16"/>
          <w:szCs w:val="16"/>
        </w:rPr>
        <w:t>vne</w:t>
      </w:r>
      <w:r>
        <w:rPr>
          <w:rFonts w:cs="Arial"/>
          <w:bCs/>
          <w:iCs/>
          <w:sz w:val="16"/>
          <w:szCs w:val="16"/>
        </w:rPr>
        <w:t xml:space="preserve"> (bygningsdirektivet)</w:t>
      </w:r>
      <w:r w:rsidRPr="003F3A71">
        <w:rPr>
          <w:rFonts w:cs="Arial"/>
          <w:bCs/>
          <w:iCs/>
          <w:sz w:val="16"/>
          <w:szCs w:val="16"/>
        </w:rPr>
        <w:t>, som senest ændret ved direktiv 2018/844/EU af 30. maj 2018.</w:t>
      </w:r>
    </w:p>
  </w:footnote>
  <w:footnote w:id="2">
    <w:p w:rsidR="006C227F" w:rsidRDefault="006C227F" w:rsidP="006C227F">
      <w:pPr>
        <w:pStyle w:val="Fodnotetekst"/>
      </w:pPr>
      <w:r>
        <w:rPr>
          <w:rStyle w:val="Fodnotehenvisning"/>
        </w:rPr>
        <w:footnoteRef/>
      </w:r>
      <w:r>
        <w:t xml:space="preserve"> </w:t>
      </w:r>
      <w:hyperlink r:id="rId1" w:history="1">
        <w:r>
          <w:rPr>
            <w:rStyle w:val="Hyperlink"/>
          </w:rPr>
          <w:t>kortlaegning_af_energisparepotentialer_i_erhvervslivet.pdf (ens.dk)</w:t>
        </w:r>
      </w:hyperlink>
    </w:p>
    <w:p w:rsidR="006C227F" w:rsidRDefault="006C227F" w:rsidP="006C227F">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4083"/>
    <w:multiLevelType w:val="hybridMultilevel"/>
    <w:tmpl w:val="30BE664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7F"/>
    <w:rsid w:val="000707B6"/>
    <w:rsid w:val="001A629A"/>
    <w:rsid w:val="005D65FA"/>
    <w:rsid w:val="006C227F"/>
    <w:rsid w:val="00BB75DB"/>
    <w:rsid w:val="00BF507F"/>
    <w:rsid w:val="00CF7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04EB"/>
  <w15:chartTrackingRefBased/>
  <w15:docId w15:val="{B2530657-2C86-41E9-8366-142D5A8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227F"/>
    <w:rPr>
      <w:color w:val="0563C1" w:themeColor="hyperlink"/>
      <w:u w:val="single"/>
    </w:rPr>
  </w:style>
  <w:style w:type="paragraph" w:styleId="Listeafsnit">
    <w:name w:val="List Paragraph"/>
    <w:basedOn w:val="Normal"/>
    <w:uiPriority w:val="34"/>
    <w:qFormat/>
    <w:rsid w:val="006C227F"/>
    <w:pPr>
      <w:spacing w:after="0" w:line="280" w:lineRule="atLeast"/>
      <w:ind w:left="720"/>
      <w:contextualSpacing/>
    </w:pPr>
    <w:rPr>
      <w:rFonts w:ascii="Arial" w:hAnsi="Arial"/>
      <w:sz w:val="20"/>
    </w:rPr>
  </w:style>
  <w:style w:type="paragraph" w:styleId="Fodnotetekst">
    <w:name w:val="footnote text"/>
    <w:basedOn w:val="Normal"/>
    <w:link w:val="FodnotetekstTegn"/>
    <w:uiPriority w:val="99"/>
    <w:semiHidden/>
    <w:unhideWhenUsed/>
    <w:rsid w:val="006C227F"/>
    <w:pPr>
      <w:spacing w:after="0" w:line="240" w:lineRule="auto"/>
    </w:pPr>
    <w:rPr>
      <w:rFonts w:ascii="Arial" w:hAnsi="Arial"/>
      <w:sz w:val="20"/>
      <w:szCs w:val="20"/>
    </w:rPr>
  </w:style>
  <w:style w:type="character" w:customStyle="1" w:styleId="FodnotetekstTegn">
    <w:name w:val="Fodnotetekst Tegn"/>
    <w:basedOn w:val="Standardskrifttypeiafsnit"/>
    <w:link w:val="Fodnotetekst"/>
    <w:uiPriority w:val="99"/>
    <w:semiHidden/>
    <w:rsid w:val="006C227F"/>
    <w:rPr>
      <w:rFonts w:ascii="Arial" w:hAnsi="Arial"/>
      <w:sz w:val="20"/>
      <w:szCs w:val="20"/>
    </w:rPr>
  </w:style>
  <w:style w:type="character" w:styleId="Fodnotehenvisning">
    <w:name w:val="footnote reference"/>
    <w:basedOn w:val="Standardskrifttypeiafsnit"/>
    <w:uiPriority w:val="99"/>
    <w:semiHidden/>
    <w:unhideWhenUsed/>
    <w:rsid w:val="006C2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6406">
      <w:bodyDiv w:val="1"/>
      <w:marLeft w:val="0"/>
      <w:marRight w:val="0"/>
      <w:marTop w:val="0"/>
      <w:marBottom w:val="0"/>
      <w:divBdr>
        <w:top w:val="none" w:sz="0" w:space="0" w:color="auto"/>
        <w:left w:val="none" w:sz="0" w:space="0" w:color="auto"/>
        <w:bottom w:val="none" w:sz="0" w:space="0" w:color="auto"/>
        <w:right w:val="none" w:sz="0" w:space="0" w:color="auto"/>
      </w:divBdr>
    </w:div>
    <w:div w:id="1877278901">
      <w:bodyDiv w:val="1"/>
      <w:marLeft w:val="0"/>
      <w:marRight w:val="0"/>
      <w:marTop w:val="0"/>
      <w:marBottom w:val="0"/>
      <w:divBdr>
        <w:top w:val="none" w:sz="0" w:space="0" w:color="auto"/>
        <w:left w:val="none" w:sz="0" w:space="0" w:color="auto"/>
        <w:bottom w:val="none" w:sz="0" w:space="0" w:color="auto"/>
        <w:right w:val="none" w:sz="0" w:space="0" w:color="auto"/>
      </w:divBdr>
    </w:div>
    <w:div w:id="19260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s.dk/sites/ens.dk/files/Energibesparelser/kortlaegning_af_energisparepotentialer_i_erhvervslivet.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1538</Words>
  <Characters>8600</Characters>
  <Application>Microsoft Office Word</Application>
  <DocSecurity>0</DocSecurity>
  <Lines>195</Lines>
  <Paragraphs>77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Dahl</dc:creator>
  <cp:keywords/>
  <dc:description/>
  <cp:lastModifiedBy>Kristoffer Arden Tychsen</cp:lastModifiedBy>
  <cp:revision>4</cp:revision>
  <dcterms:created xsi:type="dcterms:W3CDTF">2023-03-20T09:45:00Z</dcterms:created>
  <dcterms:modified xsi:type="dcterms:W3CDTF">2023-05-16T14:34:00Z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