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7F" w:rsidRPr="0022185E" w:rsidRDefault="00BF507F" w:rsidP="00BF507F">
      <w:pPr>
        <w:autoSpaceDE w:val="0"/>
        <w:autoSpaceDN w:val="0"/>
        <w:adjustRightInd w:val="0"/>
        <w:spacing w:after="0" w:line="240" w:lineRule="auto"/>
        <w:rPr>
          <w:rFonts w:ascii="Helvetica" w:hAnsi="Helvetica" w:cs="Helvetica"/>
          <w:color w:val="00707D"/>
          <w:sz w:val="32"/>
          <w:szCs w:val="32"/>
        </w:rPr>
      </w:pPr>
      <w:proofErr w:type="spellStart"/>
      <w:r w:rsidRPr="0022185E">
        <w:rPr>
          <w:rFonts w:ascii="Helvetica" w:hAnsi="Helvetica" w:cs="Helvetica"/>
          <w:color w:val="00707D"/>
          <w:sz w:val="32"/>
          <w:szCs w:val="32"/>
        </w:rPr>
        <w:t>Annex</w:t>
      </w:r>
      <w:proofErr w:type="spellEnd"/>
      <w:r w:rsidRPr="0022185E">
        <w:rPr>
          <w:rFonts w:ascii="Helvetica" w:hAnsi="Helvetica" w:cs="Helvetica"/>
          <w:color w:val="00707D"/>
          <w:sz w:val="32"/>
          <w:szCs w:val="32"/>
        </w:rPr>
        <w:t xml:space="preserve"> </w:t>
      </w:r>
      <w:r w:rsidR="0022185E">
        <w:rPr>
          <w:rFonts w:ascii="Helvetica" w:hAnsi="Helvetica" w:cs="Helvetica"/>
          <w:color w:val="00707D"/>
          <w:sz w:val="32"/>
          <w:szCs w:val="32"/>
        </w:rPr>
        <w:t>9</w:t>
      </w:r>
      <w:bookmarkStart w:id="0" w:name="_GoBack"/>
      <w:bookmarkEnd w:id="0"/>
      <w:r w:rsidRPr="0022185E">
        <w:rPr>
          <w:rFonts w:ascii="Helvetica" w:hAnsi="Helvetica" w:cs="Helvetica"/>
          <w:color w:val="00707D"/>
          <w:sz w:val="32"/>
          <w:szCs w:val="32"/>
        </w:rPr>
        <w:t xml:space="preserve">. </w:t>
      </w:r>
      <w:r w:rsidR="0022185E" w:rsidRPr="0022185E">
        <w:rPr>
          <w:rFonts w:ascii="Helvetica" w:hAnsi="Helvetica" w:cs="Helvetica"/>
          <w:color w:val="00707D"/>
          <w:sz w:val="32"/>
          <w:szCs w:val="32"/>
        </w:rPr>
        <w:t>Ækvivalensrapport ifølge EPBD</w:t>
      </w:r>
      <w:r w:rsidR="0022185E">
        <w:rPr>
          <w:rFonts w:ascii="Helvetica" w:hAnsi="Helvetica" w:cs="Helvetica"/>
          <w:color w:val="00707D"/>
          <w:sz w:val="32"/>
          <w:szCs w:val="32"/>
        </w:rPr>
        <w:t>-</w:t>
      </w:r>
      <w:r w:rsidR="0022185E" w:rsidRPr="0022185E">
        <w:rPr>
          <w:rFonts w:ascii="Helvetica" w:hAnsi="Helvetica" w:cs="Helvetica"/>
          <w:color w:val="00707D"/>
          <w:sz w:val="32"/>
          <w:szCs w:val="32"/>
        </w:rPr>
        <w:t>artikel 14, stk. 3</w:t>
      </w:r>
    </w:p>
    <w:p w:rsidR="0012038D" w:rsidRDefault="00F96F94" w:rsidP="00BF507F"/>
    <w:p w:rsidR="0022185E" w:rsidRPr="00BC0095" w:rsidRDefault="0022185E" w:rsidP="0022185E">
      <w:pPr>
        <w:spacing w:after="120"/>
        <w:rPr>
          <w:rFonts w:cs="Arial"/>
          <w:bCs/>
          <w:iCs/>
          <w:szCs w:val="20"/>
        </w:rPr>
      </w:pPr>
      <w:r w:rsidRPr="00BC0095">
        <w:rPr>
          <w:rFonts w:cs="Arial"/>
          <w:bCs/>
          <w:iCs/>
          <w:szCs w:val="20"/>
        </w:rPr>
        <w:t xml:space="preserve">Artikel 14 i </w:t>
      </w:r>
      <w:r>
        <w:rPr>
          <w:rFonts w:cs="Arial"/>
          <w:bCs/>
          <w:iCs/>
          <w:szCs w:val="20"/>
        </w:rPr>
        <w:t>bygningsdirektivet</w:t>
      </w:r>
      <w:r>
        <w:rPr>
          <w:rStyle w:val="Fodnotehenvisning"/>
          <w:rFonts w:cs="Arial"/>
          <w:bCs/>
          <w:iCs/>
          <w:szCs w:val="20"/>
        </w:rPr>
        <w:footnoteReference w:id="1"/>
      </w:r>
      <w:r w:rsidRPr="00BC0095">
        <w:rPr>
          <w:rFonts w:cs="Arial"/>
          <w:bCs/>
          <w:iCs/>
          <w:szCs w:val="20"/>
        </w:rPr>
        <w:t xml:space="preserve"> er i Danmark implementeret ved alternative foranstaltninger, jf. artiklens stk. 3.  </w:t>
      </w:r>
    </w:p>
    <w:p w:rsidR="0022185E" w:rsidRPr="00BC0095" w:rsidRDefault="0022185E" w:rsidP="0022185E">
      <w:pPr>
        <w:spacing w:after="120"/>
        <w:rPr>
          <w:rFonts w:cs="Arial"/>
          <w:bCs/>
          <w:iCs/>
          <w:szCs w:val="20"/>
        </w:rPr>
      </w:pPr>
      <w:r w:rsidRPr="00BC0095">
        <w:rPr>
          <w:rFonts w:cs="Arial"/>
          <w:bCs/>
          <w:iCs/>
          <w:szCs w:val="20"/>
        </w:rPr>
        <w:t>Dette notat sammenligner den forventede effekt af d</w:t>
      </w:r>
      <w:r>
        <w:rPr>
          <w:rFonts w:cs="Arial"/>
          <w:bCs/>
          <w:iCs/>
          <w:szCs w:val="20"/>
        </w:rPr>
        <w:t>e</w:t>
      </w:r>
      <w:r w:rsidRPr="00BC0095">
        <w:rPr>
          <w:rFonts w:cs="Arial"/>
          <w:bCs/>
          <w:iCs/>
          <w:szCs w:val="20"/>
        </w:rPr>
        <w:t xml:space="preserve"> alternative foranstaltninger i perioden 15. marts 2023 til 15. marts 2026 med den forventede effekt </w:t>
      </w:r>
      <w:r>
        <w:rPr>
          <w:rFonts w:cs="Arial"/>
          <w:bCs/>
          <w:iCs/>
          <w:szCs w:val="20"/>
        </w:rPr>
        <w:t xml:space="preserve">i samme periode </w:t>
      </w:r>
      <w:r w:rsidRPr="00BC0095">
        <w:rPr>
          <w:rFonts w:cs="Arial"/>
          <w:bCs/>
          <w:iCs/>
          <w:szCs w:val="20"/>
        </w:rPr>
        <w:t xml:space="preserve">ved implementering af en eftersynsordning </w:t>
      </w:r>
      <w:r>
        <w:rPr>
          <w:rFonts w:cs="Arial"/>
          <w:bCs/>
          <w:iCs/>
          <w:szCs w:val="20"/>
        </w:rPr>
        <w:t xml:space="preserve">ifølge </w:t>
      </w:r>
      <w:r w:rsidRPr="00BC0095">
        <w:rPr>
          <w:rFonts w:cs="Arial"/>
          <w:bCs/>
          <w:iCs/>
          <w:szCs w:val="20"/>
        </w:rPr>
        <w:t>artiklens stk.1</w:t>
      </w:r>
      <w:r>
        <w:rPr>
          <w:rFonts w:cs="Arial"/>
          <w:bCs/>
          <w:iCs/>
          <w:szCs w:val="20"/>
        </w:rPr>
        <w:t>.</w:t>
      </w:r>
      <w:r w:rsidRPr="00BC0095">
        <w:rPr>
          <w:rFonts w:cs="Arial"/>
          <w:bCs/>
          <w:iCs/>
          <w:szCs w:val="20"/>
        </w:rPr>
        <w:t xml:space="preserve"> </w:t>
      </w:r>
    </w:p>
    <w:p w:rsidR="0022185E" w:rsidRDefault="0022185E" w:rsidP="0022185E">
      <w:pPr>
        <w:spacing w:after="360"/>
        <w:rPr>
          <w:rFonts w:cs="Arial"/>
          <w:bCs/>
          <w:iCs/>
          <w:szCs w:val="20"/>
        </w:rPr>
      </w:pPr>
      <w:r w:rsidRPr="00BC0095">
        <w:rPr>
          <w:rFonts w:cs="Arial"/>
          <w:bCs/>
          <w:iCs/>
          <w:szCs w:val="20"/>
        </w:rPr>
        <w:t xml:space="preserve">Der er tidligere udarbejdet tilsvarende ækvivalensrapporter for perioderne 30. juni 2011 til 30. juni 2014, 30. juni 2014 til 30. juni 2017, 30. juni 2017 til 10. marts 2020 og 10. marts 2020 til 15. marts 2023. </w:t>
      </w:r>
    </w:p>
    <w:p w:rsidR="0022185E" w:rsidRDefault="0022185E" w:rsidP="0022185E">
      <w:pPr>
        <w:rPr>
          <w:rFonts w:cs="Arial"/>
          <w:b/>
          <w:iCs/>
          <w:szCs w:val="20"/>
        </w:rPr>
      </w:pPr>
      <w:r>
        <w:rPr>
          <w:rFonts w:cs="Arial"/>
          <w:b/>
          <w:iCs/>
          <w:szCs w:val="20"/>
        </w:rPr>
        <w:t>Sammenfatning</w:t>
      </w:r>
    </w:p>
    <w:p w:rsidR="0022185E" w:rsidRDefault="0022185E" w:rsidP="0022185E">
      <w:pPr>
        <w:spacing w:after="180"/>
        <w:rPr>
          <w:rFonts w:cs="Arial"/>
          <w:bCs/>
          <w:iCs/>
          <w:szCs w:val="20"/>
        </w:rPr>
      </w:pPr>
      <w:r>
        <w:rPr>
          <w:rFonts w:cs="Arial"/>
          <w:bCs/>
          <w:iCs/>
          <w:szCs w:val="20"/>
        </w:rPr>
        <w:t>De forventede effekter fremgår af tabellen herunder.</w:t>
      </w:r>
    </w:p>
    <w:p w:rsidR="0022185E" w:rsidRPr="009A0397" w:rsidRDefault="0022185E" w:rsidP="0022185E">
      <w:pPr>
        <w:rPr>
          <w:rFonts w:cs="Arial"/>
          <w:bCs/>
          <w:i/>
          <w:sz w:val="18"/>
          <w:szCs w:val="18"/>
        </w:rPr>
      </w:pPr>
      <w:bookmarkStart w:id="1" w:name="_Hlk133155957"/>
      <w:r w:rsidRPr="00305B08">
        <w:rPr>
          <w:rFonts w:cs="Arial"/>
          <w:b/>
          <w:iCs/>
          <w:sz w:val="18"/>
          <w:szCs w:val="18"/>
        </w:rPr>
        <w:t>Tabel 1</w:t>
      </w:r>
      <w:r w:rsidRPr="00305B08">
        <w:rPr>
          <w:rFonts w:cs="Arial"/>
          <w:bCs/>
          <w:iCs/>
          <w:sz w:val="18"/>
          <w:szCs w:val="18"/>
        </w:rPr>
        <w:t xml:space="preserve"> </w:t>
      </w:r>
      <w:r w:rsidRPr="009A0397">
        <w:rPr>
          <w:rFonts w:cs="Arial"/>
          <w:bCs/>
          <w:i/>
          <w:sz w:val="18"/>
          <w:szCs w:val="18"/>
        </w:rPr>
        <w:t>Forventet effekt af implementering efter stk.1 hhv. af alternativ</w:t>
      </w:r>
      <w:r>
        <w:rPr>
          <w:rFonts w:cs="Arial"/>
          <w:bCs/>
          <w:i/>
          <w:sz w:val="18"/>
          <w:szCs w:val="18"/>
        </w:rPr>
        <w:t>t</w:t>
      </w:r>
      <w:r w:rsidRPr="009A0397">
        <w:rPr>
          <w:rFonts w:cs="Arial"/>
          <w:bCs/>
          <w:i/>
          <w:sz w:val="18"/>
          <w:szCs w:val="18"/>
        </w:rPr>
        <w:t xml:space="preserve"> tiltag</w:t>
      </w:r>
    </w:p>
    <w:tbl>
      <w:tblPr>
        <w:tblW w:w="6948" w:type="dxa"/>
        <w:tblInd w:w="60" w:type="dxa"/>
        <w:tblLayout w:type="fixed"/>
        <w:tblCellMar>
          <w:left w:w="0" w:type="dxa"/>
          <w:right w:w="0" w:type="dxa"/>
        </w:tblCellMar>
        <w:tblLook w:val="04A0" w:firstRow="1" w:lastRow="0" w:firstColumn="1" w:lastColumn="0" w:noHBand="0" w:noVBand="1"/>
      </w:tblPr>
      <w:tblGrid>
        <w:gridCol w:w="3969"/>
        <w:gridCol w:w="652"/>
        <w:gridCol w:w="227"/>
        <w:gridCol w:w="680"/>
        <w:gridCol w:w="1420"/>
      </w:tblGrid>
      <w:tr w:rsidR="0022185E" w:rsidRPr="00BC0095" w:rsidTr="007C3342">
        <w:trPr>
          <w:trHeight w:val="298"/>
        </w:trPr>
        <w:tc>
          <w:tcPr>
            <w:tcW w:w="4621" w:type="dxa"/>
            <w:gridSpan w:val="2"/>
            <w:tcBorders>
              <w:bottom w:val="single" w:sz="4" w:space="0" w:color="auto"/>
            </w:tcBorders>
            <w:vAlign w:val="bottom"/>
          </w:tcPr>
          <w:bookmarkEnd w:id="1"/>
          <w:p w:rsidR="0022185E" w:rsidRPr="00BC0095" w:rsidRDefault="0022185E" w:rsidP="007C3342">
            <w:pPr>
              <w:jc w:val="right"/>
              <w:rPr>
                <w:rFonts w:cs="Arial"/>
                <w:b/>
                <w:bCs/>
                <w:iCs/>
                <w:szCs w:val="20"/>
              </w:rPr>
            </w:pPr>
            <w:r w:rsidRPr="00BC0095">
              <w:rPr>
                <w:rFonts w:cs="Arial"/>
                <w:bCs/>
                <w:sz w:val="16"/>
                <w:szCs w:val="16"/>
              </w:rPr>
              <w:t>Pr. år [TJ/år</w:t>
            </w:r>
            <w:r>
              <w:rPr>
                <w:rFonts w:cs="Arial"/>
                <w:bCs/>
                <w:sz w:val="16"/>
                <w:szCs w:val="16"/>
              </w:rPr>
              <w:t>]</w:t>
            </w:r>
          </w:p>
        </w:tc>
        <w:tc>
          <w:tcPr>
            <w:tcW w:w="227" w:type="dxa"/>
            <w:tcBorders>
              <w:bottom w:val="single" w:sz="4" w:space="0" w:color="auto"/>
            </w:tcBorders>
          </w:tcPr>
          <w:p w:rsidR="0022185E" w:rsidRPr="00BC0095" w:rsidRDefault="0022185E" w:rsidP="007C3342">
            <w:pPr>
              <w:spacing w:after="60"/>
              <w:jc w:val="right"/>
              <w:rPr>
                <w:rFonts w:cs="Arial"/>
                <w:b/>
                <w:bCs/>
                <w:iCs/>
                <w:szCs w:val="20"/>
              </w:rPr>
            </w:pPr>
          </w:p>
        </w:tc>
        <w:tc>
          <w:tcPr>
            <w:tcW w:w="2100" w:type="dxa"/>
            <w:gridSpan w:val="2"/>
            <w:tcBorders>
              <w:bottom w:val="single" w:sz="4" w:space="0" w:color="auto"/>
            </w:tcBorders>
            <w:vAlign w:val="bottom"/>
          </w:tcPr>
          <w:p w:rsidR="0022185E" w:rsidRPr="00BC0095" w:rsidRDefault="0022185E" w:rsidP="007C3342">
            <w:pPr>
              <w:rPr>
                <w:rFonts w:cs="Arial"/>
                <w:b/>
                <w:bCs/>
                <w:iCs/>
                <w:szCs w:val="20"/>
              </w:rPr>
            </w:pPr>
            <w:r w:rsidRPr="00BC0095">
              <w:rPr>
                <w:rFonts w:cs="Arial"/>
                <w:bCs/>
                <w:sz w:val="16"/>
                <w:szCs w:val="16"/>
              </w:rPr>
              <w:t>Akkumuleret</w:t>
            </w:r>
            <w:r w:rsidRPr="00716233">
              <w:rPr>
                <w:rFonts w:cs="Arial"/>
                <w:bCs/>
                <w:sz w:val="16"/>
                <w:szCs w:val="16"/>
              </w:rPr>
              <w:t xml:space="preserve"> </w:t>
            </w:r>
            <w:r w:rsidRPr="00BC0095">
              <w:rPr>
                <w:rFonts w:cs="Arial"/>
                <w:bCs/>
                <w:sz w:val="16"/>
                <w:szCs w:val="16"/>
              </w:rPr>
              <w:t>2023</w:t>
            </w:r>
            <w:r w:rsidRPr="00716233">
              <w:rPr>
                <w:rFonts w:cs="Arial"/>
                <w:bCs/>
                <w:sz w:val="16"/>
                <w:szCs w:val="16"/>
              </w:rPr>
              <w:t>-</w:t>
            </w:r>
            <w:r w:rsidRPr="00BC0095">
              <w:rPr>
                <w:rFonts w:cs="Arial"/>
                <w:bCs/>
                <w:sz w:val="16"/>
                <w:szCs w:val="16"/>
              </w:rPr>
              <w:t>2026 [TJ</w:t>
            </w:r>
            <w:r>
              <w:rPr>
                <w:rFonts w:cs="Arial"/>
                <w:bCs/>
                <w:sz w:val="16"/>
                <w:szCs w:val="16"/>
              </w:rPr>
              <w:t>]</w:t>
            </w:r>
          </w:p>
        </w:tc>
      </w:tr>
      <w:tr w:rsidR="0022185E" w:rsidRPr="00BC0095" w:rsidTr="007C3342">
        <w:trPr>
          <w:trHeight w:val="298"/>
        </w:trPr>
        <w:tc>
          <w:tcPr>
            <w:tcW w:w="3969" w:type="dxa"/>
            <w:tcBorders>
              <w:top w:val="single" w:sz="4" w:space="0" w:color="auto"/>
            </w:tcBorders>
            <w:vAlign w:val="bottom"/>
            <w:hideMark/>
          </w:tcPr>
          <w:p w:rsidR="0022185E" w:rsidRPr="00BC0095" w:rsidRDefault="0022185E" w:rsidP="007C3342">
            <w:pPr>
              <w:spacing w:after="60"/>
              <w:rPr>
                <w:rFonts w:cs="Arial"/>
                <w:bCs/>
                <w:iCs/>
                <w:szCs w:val="20"/>
              </w:rPr>
            </w:pPr>
            <w:r w:rsidRPr="00BC0095">
              <w:rPr>
                <w:rFonts w:cs="Arial"/>
                <w:b/>
                <w:bCs/>
                <w:iCs/>
                <w:szCs w:val="20"/>
              </w:rPr>
              <w:t xml:space="preserve">Effekt af </w:t>
            </w:r>
            <w:r w:rsidRPr="00D4640A">
              <w:rPr>
                <w:rFonts w:cs="Arial"/>
                <w:b/>
                <w:bCs/>
                <w:iCs/>
                <w:szCs w:val="20"/>
              </w:rPr>
              <w:t xml:space="preserve">en eftersynsordning </w:t>
            </w:r>
            <w:r>
              <w:rPr>
                <w:rFonts w:cs="Arial"/>
                <w:b/>
                <w:bCs/>
                <w:iCs/>
                <w:szCs w:val="20"/>
              </w:rPr>
              <w:t>efter stk. 1</w:t>
            </w:r>
          </w:p>
        </w:tc>
        <w:tc>
          <w:tcPr>
            <w:tcW w:w="652" w:type="dxa"/>
            <w:tcBorders>
              <w:top w:val="single" w:sz="4" w:space="0" w:color="auto"/>
            </w:tcBorders>
            <w:vAlign w:val="bottom"/>
            <w:hideMark/>
          </w:tcPr>
          <w:p w:rsidR="0022185E" w:rsidRPr="00BC0095" w:rsidRDefault="0022185E" w:rsidP="007C3342">
            <w:pPr>
              <w:spacing w:after="60"/>
              <w:jc w:val="right"/>
              <w:rPr>
                <w:rFonts w:cs="Arial"/>
                <w:bCs/>
                <w:iCs/>
                <w:szCs w:val="20"/>
              </w:rPr>
            </w:pPr>
            <w:r>
              <w:rPr>
                <w:rFonts w:cs="Arial"/>
                <w:b/>
                <w:bCs/>
                <w:iCs/>
                <w:szCs w:val="20"/>
              </w:rPr>
              <w:t>1</w:t>
            </w:r>
            <w:r w:rsidRPr="00BC0095">
              <w:rPr>
                <w:rFonts w:cs="Arial"/>
                <w:b/>
                <w:bCs/>
                <w:iCs/>
                <w:szCs w:val="20"/>
              </w:rPr>
              <w:t>,</w:t>
            </w:r>
            <w:r>
              <w:rPr>
                <w:rFonts w:cs="Arial"/>
                <w:b/>
                <w:bCs/>
                <w:iCs/>
                <w:szCs w:val="20"/>
              </w:rPr>
              <w:t>85</w:t>
            </w:r>
            <w:r w:rsidRPr="00BC0095">
              <w:rPr>
                <w:rFonts w:cs="Arial"/>
                <w:b/>
                <w:bCs/>
                <w:iCs/>
                <w:szCs w:val="20"/>
              </w:rPr>
              <w:t xml:space="preserve"> </w:t>
            </w:r>
          </w:p>
        </w:tc>
        <w:tc>
          <w:tcPr>
            <w:tcW w:w="227" w:type="dxa"/>
            <w:tcBorders>
              <w:top w:val="single" w:sz="4" w:space="0" w:color="auto"/>
            </w:tcBorders>
          </w:tcPr>
          <w:p w:rsidR="0022185E" w:rsidRPr="00BC0095" w:rsidRDefault="0022185E" w:rsidP="007C3342">
            <w:pPr>
              <w:spacing w:after="60"/>
              <w:jc w:val="right"/>
              <w:rPr>
                <w:rFonts w:cs="Arial"/>
                <w:b/>
                <w:bCs/>
                <w:iCs/>
                <w:szCs w:val="20"/>
              </w:rPr>
            </w:pPr>
          </w:p>
        </w:tc>
        <w:tc>
          <w:tcPr>
            <w:tcW w:w="680" w:type="dxa"/>
            <w:tcBorders>
              <w:top w:val="single" w:sz="4" w:space="0" w:color="auto"/>
            </w:tcBorders>
            <w:vAlign w:val="bottom"/>
            <w:hideMark/>
          </w:tcPr>
          <w:p w:rsidR="0022185E" w:rsidRPr="00BC0095" w:rsidRDefault="0022185E" w:rsidP="007C3342">
            <w:pPr>
              <w:spacing w:after="60"/>
              <w:jc w:val="right"/>
              <w:rPr>
                <w:rFonts w:cs="Arial"/>
                <w:bCs/>
                <w:iCs/>
                <w:szCs w:val="20"/>
              </w:rPr>
            </w:pPr>
            <w:r>
              <w:rPr>
                <w:rFonts w:cs="Arial"/>
                <w:b/>
                <w:bCs/>
                <w:iCs/>
                <w:szCs w:val="20"/>
              </w:rPr>
              <w:t>5,55</w:t>
            </w:r>
            <w:r w:rsidRPr="00BC0095">
              <w:rPr>
                <w:rFonts w:cs="Arial"/>
                <w:b/>
                <w:bCs/>
                <w:iCs/>
                <w:szCs w:val="20"/>
              </w:rPr>
              <w:t xml:space="preserve"> </w:t>
            </w:r>
          </w:p>
        </w:tc>
        <w:tc>
          <w:tcPr>
            <w:tcW w:w="1420" w:type="dxa"/>
            <w:tcBorders>
              <w:top w:val="single" w:sz="4" w:space="0" w:color="auto"/>
            </w:tcBorders>
          </w:tcPr>
          <w:p w:rsidR="0022185E" w:rsidRPr="00BC0095" w:rsidRDefault="0022185E" w:rsidP="007C3342">
            <w:pPr>
              <w:spacing w:after="60"/>
              <w:jc w:val="right"/>
              <w:rPr>
                <w:rFonts w:cs="Arial"/>
                <w:b/>
                <w:bCs/>
                <w:iCs/>
                <w:szCs w:val="20"/>
              </w:rPr>
            </w:pPr>
          </w:p>
        </w:tc>
      </w:tr>
      <w:tr w:rsidR="0022185E" w:rsidRPr="00BC0095" w:rsidTr="007C3342">
        <w:trPr>
          <w:trHeight w:val="227"/>
        </w:trPr>
        <w:tc>
          <w:tcPr>
            <w:tcW w:w="3969" w:type="dxa"/>
            <w:tcBorders>
              <w:bottom w:val="single" w:sz="4" w:space="0" w:color="auto"/>
            </w:tcBorders>
            <w:vAlign w:val="bottom"/>
          </w:tcPr>
          <w:p w:rsidR="0022185E" w:rsidRPr="00BC0095" w:rsidRDefault="0022185E" w:rsidP="007C3342">
            <w:pPr>
              <w:rPr>
                <w:rFonts w:cs="Arial"/>
                <w:bCs/>
                <w:iCs/>
                <w:sz w:val="16"/>
                <w:szCs w:val="16"/>
              </w:rPr>
            </w:pPr>
            <w:r>
              <w:rPr>
                <w:rFonts w:cs="Arial"/>
                <w:bCs/>
                <w:iCs/>
                <w:sz w:val="16"/>
                <w:szCs w:val="16"/>
              </w:rPr>
              <w:t>Effekt af a</w:t>
            </w:r>
            <w:r w:rsidRPr="00716233">
              <w:rPr>
                <w:rFonts w:cs="Arial"/>
                <w:bCs/>
                <w:iCs/>
                <w:sz w:val="16"/>
                <w:szCs w:val="16"/>
              </w:rPr>
              <w:t xml:space="preserve">lternativ </w:t>
            </w:r>
            <w:r>
              <w:rPr>
                <w:rFonts w:cs="Arial"/>
                <w:bCs/>
                <w:iCs/>
                <w:sz w:val="16"/>
                <w:szCs w:val="16"/>
              </w:rPr>
              <w:t>foranstaltning</w:t>
            </w:r>
          </w:p>
        </w:tc>
        <w:tc>
          <w:tcPr>
            <w:tcW w:w="652" w:type="dxa"/>
            <w:tcBorders>
              <w:bottom w:val="single" w:sz="4" w:space="0" w:color="auto"/>
            </w:tcBorders>
            <w:vAlign w:val="bottom"/>
          </w:tcPr>
          <w:p w:rsidR="0022185E" w:rsidRPr="00BC0095" w:rsidRDefault="0022185E" w:rsidP="007C3342">
            <w:pPr>
              <w:jc w:val="right"/>
              <w:rPr>
                <w:rFonts w:cs="Arial"/>
                <w:bCs/>
                <w:iCs/>
                <w:szCs w:val="20"/>
              </w:rPr>
            </w:pPr>
          </w:p>
        </w:tc>
        <w:tc>
          <w:tcPr>
            <w:tcW w:w="227" w:type="dxa"/>
            <w:tcBorders>
              <w:bottom w:val="single" w:sz="4" w:space="0" w:color="auto"/>
            </w:tcBorders>
          </w:tcPr>
          <w:p w:rsidR="0022185E" w:rsidRPr="00BC0095" w:rsidRDefault="0022185E" w:rsidP="007C3342">
            <w:pPr>
              <w:jc w:val="right"/>
              <w:rPr>
                <w:rFonts w:cs="Arial"/>
                <w:bCs/>
                <w:iCs/>
                <w:szCs w:val="20"/>
              </w:rPr>
            </w:pPr>
          </w:p>
        </w:tc>
        <w:tc>
          <w:tcPr>
            <w:tcW w:w="680" w:type="dxa"/>
            <w:tcBorders>
              <w:bottom w:val="single" w:sz="4" w:space="0" w:color="auto"/>
            </w:tcBorders>
            <w:vAlign w:val="bottom"/>
          </w:tcPr>
          <w:p w:rsidR="0022185E" w:rsidRPr="00BC0095" w:rsidRDefault="0022185E" w:rsidP="007C3342">
            <w:pPr>
              <w:jc w:val="right"/>
              <w:rPr>
                <w:rFonts w:cs="Arial"/>
                <w:bCs/>
                <w:iCs/>
                <w:szCs w:val="20"/>
              </w:rPr>
            </w:pPr>
          </w:p>
        </w:tc>
        <w:tc>
          <w:tcPr>
            <w:tcW w:w="1420" w:type="dxa"/>
            <w:tcBorders>
              <w:bottom w:val="single" w:sz="4" w:space="0" w:color="auto"/>
            </w:tcBorders>
          </w:tcPr>
          <w:p w:rsidR="0022185E" w:rsidRPr="00BC0095" w:rsidRDefault="0022185E" w:rsidP="007C3342">
            <w:pPr>
              <w:jc w:val="right"/>
              <w:rPr>
                <w:rFonts w:cs="Arial"/>
                <w:bCs/>
                <w:iCs/>
                <w:szCs w:val="20"/>
              </w:rPr>
            </w:pPr>
          </w:p>
        </w:tc>
      </w:tr>
      <w:tr w:rsidR="0022185E" w:rsidRPr="00BC0095" w:rsidTr="007C3342">
        <w:trPr>
          <w:trHeight w:val="298"/>
        </w:trPr>
        <w:tc>
          <w:tcPr>
            <w:tcW w:w="3969" w:type="dxa"/>
            <w:tcBorders>
              <w:top w:val="single" w:sz="4" w:space="0" w:color="auto"/>
              <w:bottom w:val="single" w:sz="4" w:space="0" w:color="auto"/>
            </w:tcBorders>
          </w:tcPr>
          <w:p w:rsidR="0022185E" w:rsidRPr="00BC0095" w:rsidRDefault="0022185E" w:rsidP="007C3342">
            <w:pPr>
              <w:rPr>
                <w:rFonts w:cs="Arial"/>
                <w:bCs/>
                <w:iCs/>
                <w:szCs w:val="20"/>
              </w:rPr>
            </w:pPr>
            <w:r w:rsidRPr="00BC0095">
              <w:rPr>
                <w:rFonts w:cs="Arial"/>
                <w:bCs/>
                <w:i/>
                <w:iCs/>
                <w:szCs w:val="20"/>
              </w:rPr>
              <w:t xml:space="preserve">Erhvervspuljen </w:t>
            </w:r>
          </w:p>
        </w:tc>
        <w:tc>
          <w:tcPr>
            <w:tcW w:w="652" w:type="dxa"/>
            <w:tcBorders>
              <w:top w:val="single" w:sz="4" w:space="0" w:color="auto"/>
              <w:bottom w:val="single" w:sz="4" w:space="0" w:color="auto"/>
            </w:tcBorders>
          </w:tcPr>
          <w:p w:rsidR="0022185E" w:rsidRPr="00BC0095" w:rsidRDefault="0022185E" w:rsidP="007C3342">
            <w:pPr>
              <w:jc w:val="right"/>
              <w:rPr>
                <w:rFonts w:cs="Arial"/>
                <w:bCs/>
                <w:iCs/>
                <w:szCs w:val="20"/>
              </w:rPr>
            </w:pPr>
            <w:r>
              <w:rPr>
                <w:rFonts w:cs="Arial"/>
                <w:bCs/>
                <w:iCs/>
                <w:szCs w:val="20"/>
              </w:rPr>
              <w:t>166,5</w:t>
            </w:r>
          </w:p>
        </w:tc>
        <w:tc>
          <w:tcPr>
            <w:tcW w:w="227" w:type="dxa"/>
            <w:tcBorders>
              <w:top w:val="single" w:sz="4" w:space="0" w:color="auto"/>
              <w:bottom w:val="single" w:sz="4" w:space="0" w:color="auto"/>
            </w:tcBorders>
          </w:tcPr>
          <w:p w:rsidR="0022185E" w:rsidRPr="00BC0095" w:rsidRDefault="0022185E" w:rsidP="007C3342">
            <w:pPr>
              <w:jc w:val="right"/>
              <w:rPr>
                <w:rFonts w:cs="Arial"/>
                <w:bCs/>
                <w:iCs/>
                <w:szCs w:val="20"/>
              </w:rPr>
            </w:pPr>
          </w:p>
        </w:tc>
        <w:tc>
          <w:tcPr>
            <w:tcW w:w="680" w:type="dxa"/>
            <w:tcBorders>
              <w:top w:val="single" w:sz="4" w:space="0" w:color="auto"/>
              <w:bottom w:val="single" w:sz="4" w:space="0" w:color="auto"/>
            </w:tcBorders>
          </w:tcPr>
          <w:p w:rsidR="0022185E" w:rsidRPr="00BC0095" w:rsidRDefault="0022185E" w:rsidP="007C3342">
            <w:pPr>
              <w:jc w:val="right"/>
              <w:rPr>
                <w:rFonts w:cs="Arial"/>
                <w:bCs/>
                <w:iCs/>
                <w:szCs w:val="20"/>
              </w:rPr>
            </w:pPr>
            <w:r>
              <w:rPr>
                <w:rFonts w:cs="Arial"/>
                <w:bCs/>
                <w:iCs/>
                <w:szCs w:val="20"/>
              </w:rPr>
              <w:t>499</w:t>
            </w:r>
            <w:r w:rsidRPr="00BC0095">
              <w:rPr>
                <w:rFonts w:cs="Arial"/>
                <w:bCs/>
                <w:iCs/>
                <w:szCs w:val="20"/>
              </w:rPr>
              <w:t>,</w:t>
            </w:r>
            <w:r>
              <w:rPr>
                <w:rFonts w:cs="Arial"/>
                <w:bCs/>
                <w:iCs/>
                <w:szCs w:val="20"/>
              </w:rPr>
              <w:t>5</w:t>
            </w:r>
          </w:p>
        </w:tc>
        <w:tc>
          <w:tcPr>
            <w:tcW w:w="1420" w:type="dxa"/>
            <w:tcBorders>
              <w:top w:val="single" w:sz="4" w:space="0" w:color="auto"/>
              <w:bottom w:val="single" w:sz="4" w:space="0" w:color="auto"/>
            </w:tcBorders>
          </w:tcPr>
          <w:p w:rsidR="0022185E" w:rsidRPr="00BC0095" w:rsidRDefault="0022185E" w:rsidP="007C3342">
            <w:pPr>
              <w:jc w:val="right"/>
              <w:rPr>
                <w:rFonts w:cs="Arial"/>
                <w:bCs/>
                <w:iCs/>
                <w:szCs w:val="20"/>
              </w:rPr>
            </w:pPr>
          </w:p>
        </w:tc>
      </w:tr>
      <w:tr w:rsidR="0022185E" w:rsidRPr="00BC0095" w:rsidTr="007C3342">
        <w:trPr>
          <w:trHeight w:val="298"/>
        </w:trPr>
        <w:tc>
          <w:tcPr>
            <w:tcW w:w="3969" w:type="dxa"/>
            <w:tcBorders>
              <w:top w:val="single" w:sz="4" w:space="0" w:color="auto"/>
            </w:tcBorders>
          </w:tcPr>
          <w:p w:rsidR="0022185E" w:rsidRPr="00BC0095" w:rsidRDefault="0022185E" w:rsidP="007C3342">
            <w:pPr>
              <w:rPr>
                <w:rFonts w:cs="Arial"/>
                <w:bCs/>
                <w:i/>
                <w:iCs/>
                <w:szCs w:val="20"/>
              </w:rPr>
            </w:pPr>
            <w:r>
              <w:rPr>
                <w:rFonts w:cs="Arial"/>
                <w:b/>
                <w:bCs/>
                <w:iCs/>
                <w:szCs w:val="20"/>
              </w:rPr>
              <w:t>Samlet e</w:t>
            </w:r>
            <w:r w:rsidRPr="00BC0095">
              <w:rPr>
                <w:rFonts w:cs="Arial"/>
                <w:b/>
                <w:bCs/>
                <w:iCs/>
                <w:szCs w:val="20"/>
              </w:rPr>
              <w:t>ffekt</w:t>
            </w:r>
            <w:r>
              <w:rPr>
                <w:rFonts w:cs="Arial"/>
                <w:b/>
                <w:bCs/>
                <w:iCs/>
                <w:szCs w:val="20"/>
              </w:rPr>
              <w:t>,</w:t>
            </w:r>
            <w:r w:rsidRPr="00BC0095">
              <w:rPr>
                <w:rFonts w:cs="Arial"/>
                <w:b/>
                <w:bCs/>
                <w:iCs/>
                <w:szCs w:val="20"/>
              </w:rPr>
              <w:t xml:space="preserve"> alternativ </w:t>
            </w:r>
            <w:r>
              <w:rPr>
                <w:rFonts w:cs="Arial"/>
                <w:b/>
                <w:bCs/>
                <w:iCs/>
                <w:szCs w:val="20"/>
              </w:rPr>
              <w:t>foranstaltning</w:t>
            </w:r>
          </w:p>
        </w:tc>
        <w:tc>
          <w:tcPr>
            <w:tcW w:w="652" w:type="dxa"/>
            <w:tcBorders>
              <w:top w:val="single" w:sz="4" w:space="0" w:color="auto"/>
            </w:tcBorders>
          </w:tcPr>
          <w:p w:rsidR="0022185E" w:rsidRPr="00BC0095" w:rsidRDefault="0022185E" w:rsidP="007C3342">
            <w:pPr>
              <w:jc w:val="right"/>
              <w:rPr>
                <w:rFonts w:cs="Arial"/>
                <w:bCs/>
                <w:iCs/>
                <w:szCs w:val="20"/>
              </w:rPr>
            </w:pPr>
            <w:r>
              <w:rPr>
                <w:rFonts w:cs="Arial"/>
                <w:b/>
                <w:bCs/>
                <w:iCs/>
                <w:szCs w:val="20"/>
              </w:rPr>
              <w:t>166</w:t>
            </w:r>
            <w:r w:rsidRPr="00BC0095">
              <w:rPr>
                <w:rFonts w:cs="Arial"/>
                <w:b/>
                <w:bCs/>
                <w:iCs/>
                <w:szCs w:val="20"/>
              </w:rPr>
              <w:t>,</w:t>
            </w:r>
            <w:r>
              <w:rPr>
                <w:rFonts w:cs="Arial"/>
                <w:b/>
                <w:bCs/>
                <w:iCs/>
                <w:szCs w:val="20"/>
              </w:rPr>
              <w:t>5</w:t>
            </w:r>
            <w:r w:rsidRPr="00BC0095">
              <w:rPr>
                <w:rFonts w:cs="Arial"/>
                <w:b/>
                <w:bCs/>
                <w:iCs/>
                <w:szCs w:val="20"/>
              </w:rPr>
              <w:t xml:space="preserve"> </w:t>
            </w:r>
          </w:p>
        </w:tc>
        <w:tc>
          <w:tcPr>
            <w:tcW w:w="227" w:type="dxa"/>
            <w:tcBorders>
              <w:top w:val="single" w:sz="4" w:space="0" w:color="auto"/>
            </w:tcBorders>
          </w:tcPr>
          <w:p w:rsidR="0022185E" w:rsidRPr="00BC0095" w:rsidRDefault="0022185E" w:rsidP="007C3342">
            <w:pPr>
              <w:jc w:val="right"/>
              <w:rPr>
                <w:rFonts w:cs="Arial"/>
                <w:b/>
                <w:bCs/>
                <w:iCs/>
                <w:szCs w:val="20"/>
              </w:rPr>
            </w:pPr>
          </w:p>
        </w:tc>
        <w:tc>
          <w:tcPr>
            <w:tcW w:w="680" w:type="dxa"/>
            <w:tcBorders>
              <w:top w:val="single" w:sz="4" w:space="0" w:color="auto"/>
            </w:tcBorders>
          </w:tcPr>
          <w:p w:rsidR="0022185E" w:rsidRPr="00BC0095" w:rsidRDefault="0022185E" w:rsidP="007C3342">
            <w:pPr>
              <w:jc w:val="right"/>
              <w:rPr>
                <w:rFonts w:cs="Arial"/>
                <w:bCs/>
                <w:iCs/>
                <w:szCs w:val="20"/>
              </w:rPr>
            </w:pPr>
            <w:r>
              <w:rPr>
                <w:rFonts w:cs="Arial"/>
                <w:b/>
                <w:bCs/>
                <w:iCs/>
                <w:szCs w:val="20"/>
              </w:rPr>
              <w:t>499</w:t>
            </w:r>
            <w:r w:rsidRPr="00BC0095">
              <w:rPr>
                <w:rFonts w:cs="Arial"/>
                <w:b/>
                <w:bCs/>
                <w:iCs/>
                <w:szCs w:val="20"/>
              </w:rPr>
              <w:t>,</w:t>
            </w:r>
            <w:r>
              <w:rPr>
                <w:rFonts w:cs="Arial"/>
                <w:b/>
                <w:bCs/>
                <w:iCs/>
                <w:szCs w:val="20"/>
              </w:rPr>
              <w:t>5</w:t>
            </w:r>
            <w:r w:rsidRPr="00BC0095">
              <w:rPr>
                <w:rFonts w:cs="Arial"/>
                <w:b/>
                <w:bCs/>
                <w:iCs/>
                <w:szCs w:val="20"/>
              </w:rPr>
              <w:t xml:space="preserve"> </w:t>
            </w:r>
          </w:p>
        </w:tc>
        <w:tc>
          <w:tcPr>
            <w:tcW w:w="1420" w:type="dxa"/>
            <w:tcBorders>
              <w:top w:val="single" w:sz="4" w:space="0" w:color="auto"/>
            </w:tcBorders>
          </w:tcPr>
          <w:p w:rsidR="0022185E" w:rsidRPr="00BC0095" w:rsidRDefault="0022185E" w:rsidP="007C3342">
            <w:pPr>
              <w:jc w:val="right"/>
              <w:rPr>
                <w:rFonts w:cs="Arial"/>
                <w:b/>
                <w:bCs/>
                <w:iCs/>
                <w:szCs w:val="20"/>
              </w:rPr>
            </w:pPr>
          </w:p>
        </w:tc>
      </w:tr>
    </w:tbl>
    <w:p w:rsidR="0022185E" w:rsidRDefault="0022185E" w:rsidP="0022185E">
      <w:pPr>
        <w:spacing w:before="240" w:after="120"/>
        <w:rPr>
          <w:rFonts w:cs="Arial"/>
          <w:bCs/>
          <w:iCs/>
          <w:szCs w:val="20"/>
        </w:rPr>
      </w:pPr>
      <w:bookmarkStart w:id="2" w:name="_Hlk133147961"/>
      <w:r>
        <w:rPr>
          <w:rFonts w:cs="Arial"/>
          <w:bCs/>
          <w:iCs/>
          <w:szCs w:val="20"/>
        </w:rPr>
        <w:t xml:space="preserve">Forudsætninger og beregningsmåde </w:t>
      </w:r>
      <w:bookmarkEnd w:id="2"/>
      <w:proofErr w:type="spellStart"/>
      <w:r>
        <w:rPr>
          <w:rFonts w:cs="Arial"/>
          <w:bCs/>
          <w:iCs/>
          <w:szCs w:val="20"/>
        </w:rPr>
        <w:t>fsva</w:t>
      </w:r>
      <w:proofErr w:type="spellEnd"/>
      <w:r>
        <w:rPr>
          <w:rFonts w:cs="Arial"/>
          <w:bCs/>
          <w:iCs/>
          <w:szCs w:val="20"/>
        </w:rPr>
        <w:t>. effekt af implementering efter stk.1 fremgår af afsnit 1 nedenfor, mens det tilsvarende vedr. effekt af det alternative tiltag er beskrevet i afsnit 2.</w:t>
      </w:r>
    </w:p>
    <w:p w:rsidR="0022185E" w:rsidRDefault="0022185E" w:rsidP="0022185E">
      <w:pPr>
        <w:spacing w:after="240"/>
        <w:rPr>
          <w:rFonts w:cs="Arial"/>
          <w:bCs/>
          <w:iCs/>
          <w:szCs w:val="20"/>
        </w:rPr>
      </w:pPr>
      <w:r>
        <w:rPr>
          <w:rFonts w:cs="Arial"/>
          <w:bCs/>
          <w:iCs/>
          <w:szCs w:val="20"/>
        </w:rPr>
        <w:t>Foruden det alternative tiltag nævnt i tabel 1 har Danmark en i</w:t>
      </w:r>
      <w:r w:rsidRPr="000C7DEA">
        <w:rPr>
          <w:rFonts w:cs="Arial"/>
          <w:bCs/>
          <w:iCs/>
          <w:szCs w:val="20"/>
        </w:rPr>
        <w:t xml:space="preserve">nformations- og rådgivningsindsats, primært </w:t>
      </w:r>
      <w:r>
        <w:rPr>
          <w:rFonts w:cs="Arial"/>
          <w:bCs/>
          <w:iCs/>
          <w:szCs w:val="20"/>
        </w:rPr>
        <w:t xml:space="preserve">via </w:t>
      </w:r>
      <w:r w:rsidRPr="000C7DEA">
        <w:rPr>
          <w:rFonts w:cs="Arial"/>
          <w:bCs/>
          <w:iCs/>
          <w:szCs w:val="20"/>
        </w:rPr>
        <w:t>SparEnergi.dk og Videncenter for Energibesparelser i Bygninger</w:t>
      </w:r>
      <w:r>
        <w:rPr>
          <w:rFonts w:cs="Arial"/>
          <w:bCs/>
          <w:iCs/>
          <w:szCs w:val="20"/>
        </w:rPr>
        <w:t xml:space="preserve">, som må forventes at have en effekt, der delvis kan sidestilles med effekten af en tilsynsordning efter stk. 1. </w:t>
      </w:r>
      <w:r>
        <w:rPr>
          <w:rFonts w:cs="Arial"/>
          <w:bCs/>
          <w:iCs/>
          <w:szCs w:val="20"/>
        </w:rPr>
        <w:br/>
        <w:t>Denne effekt er dog ikke forsøgt kvantificeret, henset til at den forventede effekt af det nævnte alternative tiltag allerede væsentligt overstiger den forventede effekt af en tilsynsordning efter stk. 1.</w:t>
      </w:r>
    </w:p>
    <w:p w:rsidR="0022185E" w:rsidRPr="005B7036" w:rsidRDefault="0022185E" w:rsidP="0022185E">
      <w:pPr>
        <w:rPr>
          <w:rFonts w:cs="Arial"/>
          <w:bCs/>
          <w:iCs/>
          <w:szCs w:val="20"/>
        </w:rPr>
      </w:pPr>
      <w:r w:rsidRPr="005B7036">
        <w:rPr>
          <w:rFonts w:cs="Arial"/>
          <w:bCs/>
          <w:i/>
          <w:szCs w:val="20"/>
        </w:rPr>
        <w:t>Ændringer ift. ækvivalensrapport for perioden marts 2020 til marts 2023</w:t>
      </w:r>
      <w:r>
        <w:rPr>
          <w:rFonts w:cs="Arial"/>
          <w:bCs/>
          <w:i/>
          <w:szCs w:val="20"/>
        </w:rPr>
        <w:br/>
      </w:r>
      <w:r>
        <w:rPr>
          <w:rFonts w:cs="Arial"/>
          <w:bCs/>
          <w:iCs/>
          <w:szCs w:val="20"/>
        </w:rPr>
        <w:t xml:space="preserve">Det såkaldte </w:t>
      </w:r>
      <w:r w:rsidRPr="005B7036">
        <w:rPr>
          <w:rFonts w:cs="Arial"/>
          <w:bCs/>
          <w:iCs/>
          <w:szCs w:val="20"/>
        </w:rPr>
        <w:t>Håndværkerfradrag bortfaldt i 2022</w:t>
      </w:r>
      <w:r>
        <w:rPr>
          <w:rFonts w:cs="Arial"/>
          <w:bCs/>
          <w:iCs/>
          <w:szCs w:val="20"/>
        </w:rPr>
        <w:t xml:space="preserve"> og har derfor ingen effekt, som kan medregnes i denne rapport. </w:t>
      </w:r>
      <w:r>
        <w:rPr>
          <w:rFonts w:cs="Arial"/>
          <w:bCs/>
          <w:iCs/>
          <w:szCs w:val="20"/>
        </w:rPr>
        <w:br/>
        <w:t>Erhvervspuljen fik effekt i 2021 og den vil fortsætte til 2029. Puljens effekt er derfor medregnet, som det fremgår ovenfor og i afsnit 2.</w:t>
      </w:r>
    </w:p>
    <w:p w:rsidR="0022185E" w:rsidRPr="00CD48B3" w:rsidRDefault="0022185E" w:rsidP="0022185E">
      <w:pPr>
        <w:spacing w:after="120"/>
        <w:rPr>
          <w:rFonts w:cs="Arial"/>
          <w:b/>
          <w:iCs/>
          <w:szCs w:val="20"/>
        </w:rPr>
      </w:pPr>
      <w:r>
        <w:rPr>
          <w:rFonts w:cs="Arial"/>
          <w:b/>
          <w:iCs/>
          <w:szCs w:val="20"/>
        </w:rPr>
        <w:t>1) Effekt af implementering efter stk. 1</w:t>
      </w:r>
    </w:p>
    <w:p w:rsidR="0022185E" w:rsidRPr="00517AB9" w:rsidRDefault="0022185E" w:rsidP="0022185E">
      <w:pPr>
        <w:spacing w:after="60"/>
        <w:rPr>
          <w:i/>
          <w:iCs/>
        </w:rPr>
      </w:pPr>
      <w:r>
        <w:rPr>
          <w:i/>
          <w:iCs/>
        </w:rPr>
        <w:t>1a)</w:t>
      </w:r>
      <w:r>
        <w:rPr>
          <w:i/>
          <w:iCs/>
        </w:rPr>
        <w:br/>
      </w:r>
      <w:r w:rsidRPr="007A4F08">
        <w:rPr>
          <w:i/>
          <w:iCs/>
          <w:u w:val="single"/>
        </w:rPr>
        <w:t>Antal relevante anlæg og deres energiforbrug</w:t>
      </w:r>
    </w:p>
    <w:p w:rsidR="0022185E" w:rsidRDefault="0022185E" w:rsidP="0022185E">
      <w:pPr>
        <w:spacing w:after="120"/>
        <w:rPr>
          <w:iCs/>
        </w:rPr>
      </w:pPr>
      <w:r>
        <w:rPr>
          <w:iCs/>
        </w:rPr>
        <w:lastRenderedPageBreak/>
        <w:t>Reglerne i artikel 14 gælder ”</w:t>
      </w:r>
      <w:r w:rsidRPr="007A4F08">
        <w:rPr>
          <w:i/>
        </w:rPr>
        <w:t>varmeanlæg eller anlæg til kombineret rumopvarmning og ventilation med en nominel nytteeffekt på over 70 kW</w:t>
      </w:r>
      <w:r>
        <w:rPr>
          <w:iCs/>
        </w:rPr>
        <w:t>”. Reglerne gælder kun lokale anlæg til opvarmning af en bygning, ikke fjernvarmeanlæg eller anlæg til procesvarme mv.</w:t>
      </w:r>
    </w:p>
    <w:p w:rsidR="0022185E" w:rsidRDefault="0022185E" w:rsidP="0022185E">
      <w:pPr>
        <w:spacing w:after="120"/>
      </w:pPr>
      <w:r>
        <w:t xml:space="preserve">Der findes ingen datakilde, som direkte angiver antal anlæg af den relevante type med nominel effekt over 70 kW hhv. deres effekt eller varmeydelse. </w:t>
      </w:r>
    </w:p>
    <w:p w:rsidR="0022185E" w:rsidRDefault="0022185E" w:rsidP="0022185E">
      <w:r>
        <w:t>Estimatet nedenfor i tabel 2 er derfor baseret på data fra BBR vedr. bygningers størrelse og primære varmekilde samt følgende antagelser og forudsætninger:</w:t>
      </w:r>
    </w:p>
    <w:p w:rsidR="0022185E" w:rsidRDefault="0022185E" w:rsidP="0022185E">
      <w:pPr>
        <w:pStyle w:val="Listeafsnit"/>
        <w:numPr>
          <w:ilvl w:val="0"/>
          <w:numId w:val="1"/>
        </w:numPr>
        <w:ind w:left="284" w:hanging="284"/>
      </w:pPr>
      <w:r>
        <w:t>Der ses bort fra andre sekundære varmekilder end solvarmeanlæg</w:t>
      </w:r>
    </w:p>
    <w:p w:rsidR="0022185E" w:rsidRDefault="0022185E" w:rsidP="0022185E">
      <w:pPr>
        <w:pStyle w:val="Listeafsnit"/>
        <w:numPr>
          <w:ilvl w:val="0"/>
          <w:numId w:val="1"/>
        </w:numPr>
        <w:ind w:left="284" w:hanging="284"/>
      </w:pPr>
      <w:r>
        <w:t>Det gennemsnitlige effektbehov til opvarmning er 70 W/m</w:t>
      </w:r>
      <w:r w:rsidRPr="0065176E">
        <w:rPr>
          <w:vertAlign w:val="superscript"/>
        </w:rPr>
        <w:t>2</w:t>
      </w:r>
      <w:r>
        <w:t xml:space="preserve"> (dvs. at kun bygninger større end 1.000 m</w:t>
      </w:r>
      <w:r w:rsidRPr="0065176E">
        <w:rPr>
          <w:vertAlign w:val="superscript"/>
        </w:rPr>
        <w:t>2</w:t>
      </w:r>
      <w:r>
        <w:t xml:space="preserve"> har anlæg med effekt over 70 kW)</w:t>
      </w:r>
    </w:p>
    <w:p w:rsidR="0022185E" w:rsidRDefault="0022185E" w:rsidP="0022185E">
      <w:pPr>
        <w:pStyle w:val="Listeafsnit"/>
        <w:numPr>
          <w:ilvl w:val="0"/>
          <w:numId w:val="1"/>
        </w:numPr>
        <w:ind w:left="284" w:hanging="284"/>
      </w:pPr>
      <w:r>
        <w:t xml:space="preserve">Det gennemsnitlige behov for varmetilførsel er </w:t>
      </w:r>
      <w:r w:rsidRPr="00910C85">
        <w:t>100 kWh/m</w:t>
      </w:r>
      <w:r w:rsidRPr="0065176E">
        <w:rPr>
          <w:vertAlign w:val="superscript"/>
        </w:rPr>
        <w:t>2</w:t>
      </w:r>
      <w:r w:rsidRPr="00D94911">
        <w:t>år</w:t>
      </w:r>
      <w:r>
        <w:t xml:space="preserve"> og anlæggenes produktion og forbrug modsvarer dette behov</w:t>
      </w:r>
    </w:p>
    <w:p w:rsidR="0022185E" w:rsidRPr="00910C85" w:rsidRDefault="0022185E" w:rsidP="0022185E">
      <w:pPr>
        <w:pStyle w:val="Listeafsnit"/>
        <w:numPr>
          <w:ilvl w:val="0"/>
          <w:numId w:val="1"/>
        </w:numPr>
        <w:ind w:left="284" w:hanging="284"/>
      </w:pPr>
      <w:r>
        <w:t>Kedler og direkte elvarme har en virkningsgrad på 1</w:t>
      </w:r>
    </w:p>
    <w:p w:rsidR="0022185E" w:rsidRDefault="0022185E" w:rsidP="0022185E">
      <w:pPr>
        <w:pStyle w:val="Listeafsnit"/>
        <w:numPr>
          <w:ilvl w:val="0"/>
          <w:numId w:val="1"/>
        </w:numPr>
        <w:ind w:left="284" w:hanging="284"/>
      </w:pPr>
      <w:r>
        <w:t>Store varmepumper har en gennemsnitlig årsvirkningsgrad på 3</w:t>
      </w:r>
    </w:p>
    <w:p w:rsidR="0022185E" w:rsidRDefault="0022185E" w:rsidP="0022185E">
      <w:pPr>
        <w:pStyle w:val="Listeafsnit"/>
        <w:numPr>
          <w:ilvl w:val="0"/>
          <w:numId w:val="1"/>
        </w:numPr>
        <w:ind w:left="284" w:hanging="284"/>
      </w:pPr>
      <w:r>
        <w:t>Solvarmeanlægs maksimale effekt er 700 W/m</w:t>
      </w:r>
      <w:r w:rsidRPr="00171C90">
        <w:rPr>
          <w:vertAlign w:val="superscript"/>
        </w:rPr>
        <w:t>2</w:t>
      </w:r>
      <w:r>
        <w:t xml:space="preserve"> (dvs. at kun anlæg større end 100 m</w:t>
      </w:r>
      <w:r w:rsidRPr="00171C90">
        <w:rPr>
          <w:vertAlign w:val="superscript"/>
        </w:rPr>
        <w:t>2</w:t>
      </w:r>
      <w:r>
        <w:t xml:space="preserve"> har effekt større end 70 kW)</w:t>
      </w:r>
    </w:p>
    <w:p w:rsidR="0022185E" w:rsidRDefault="0022185E" w:rsidP="0022185E">
      <w:pPr>
        <w:pStyle w:val="Listeafsnit"/>
        <w:numPr>
          <w:ilvl w:val="0"/>
          <w:numId w:val="1"/>
        </w:numPr>
        <w:spacing w:after="240"/>
        <w:ind w:left="284" w:hanging="284"/>
      </w:pPr>
      <w:r>
        <w:t>Der findes ca. 150 bygningsmonterede solvarmeanlæg større end 100 m</w:t>
      </w:r>
      <w:r w:rsidRPr="00D94911">
        <w:rPr>
          <w:vertAlign w:val="superscript"/>
        </w:rPr>
        <w:t>2</w:t>
      </w:r>
      <w:r>
        <w:t>, deres samlede areal er 25.000 m</w:t>
      </w:r>
      <w:r w:rsidRPr="00D94911">
        <w:rPr>
          <w:vertAlign w:val="superscript"/>
        </w:rPr>
        <w:t>2</w:t>
      </w:r>
      <w:r>
        <w:t xml:space="preserve"> og den gennemsnitlige varmeydelse per år er 500 kWh/m</w:t>
      </w:r>
      <w:r w:rsidRPr="00D94911">
        <w:rPr>
          <w:vertAlign w:val="superscript"/>
        </w:rPr>
        <w:t>2</w:t>
      </w:r>
      <w:r>
        <w:t xml:space="preserve"> (estimater leveret af DTU)</w:t>
      </w:r>
    </w:p>
    <w:p w:rsidR="0022185E" w:rsidRPr="0069444C" w:rsidRDefault="0022185E" w:rsidP="0022185E">
      <w:pPr>
        <w:rPr>
          <w:bCs/>
          <w:iCs/>
          <w:sz w:val="18"/>
          <w:szCs w:val="18"/>
        </w:rPr>
      </w:pPr>
      <w:bookmarkStart w:id="3" w:name="_Hlk133169484"/>
      <w:r w:rsidRPr="0069444C">
        <w:rPr>
          <w:b/>
          <w:iCs/>
          <w:sz w:val="18"/>
          <w:szCs w:val="18"/>
        </w:rPr>
        <w:t>Tabel 2</w:t>
      </w:r>
      <w:r w:rsidRPr="0069444C">
        <w:rPr>
          <w:bCs/>
          <w:iCs/>
          <w:sz w:val="18"/>
          <w:szCs w:val="18"/>
        </w:rPr>
        <w:t xml:space="preserve"> </w:t>
      </w:r>
      <w:r w:rsidRPr="009A0397">
        <w:rPr>
          <w:bCs/>
          <w:i/>
          <w:sz w:val="18"/>
          <w:szCs w:val="18"/>
        </w:rPr>
        <w:t xml:space="preserve">Estimat for antal relevante anlæg og deres </w:t>
      </w:r>
      <w:r>
        <w:rPr>
          <w:bCs/>
          <w:i/>
          <w:sz w:val="18"/>
          <w:szCs w:val="18"/>
        </w:rPr>
        <w:t>produktion (hhv. elforbrug for varmepumpers vedkommende)</w:t>
      </w:r>
    </w:p>
    <w:tbl>
      <w:tblPr>
        <w:tblW w:w="4256" w:type="dxa"/>
        <w:tblInd w:w="60" w:type="dxa"/>
        <w:tblBorders>
          <w:insideH w:val="single" w:sz="4" w:space="0" w:color="auto"/>
        </w:tblBorders>
        <w:tblCellMar>
          <w:top w:w="48" w:type="dxa"/>
          <w:left w:w="69" w:type="dxa"/>
          <w:right w:w="20" w:type="dxa"/>
        </w:tblCellMar>
        <w:tblLook w:val="04A0" w:firstRow="1" w:lastRow="0" w:firstColumn="1" w:lastColumn="0" w:noHBand="0" w:noVBand="1"/>
      </w:tblPr>
      <w:tblGrid>
        <w:gridCol w:w="2189"/>
        <w:gridCol w:w="706"/>
        <w:gridCol w:w="1361"/>
      </w:tblGrid>
      <w:tr w:rsidR="0022185E" w:rsidRPr="00D94911" w:rsidTr="007C3342">
        <w:trPr>
          <w:trHeight w:val="298"/>
        </w:trPr>
        <w:tc>
          <w:tcPr>
            <w:tcW w:w="2895" w:type="dxa"/>
            <w:gridSpan w:val="2"/>
            <w:vAlign w:val="bottom"/>
          </w:tcPr>
          <w:p w:rsidR="0022185E" w:rsidRPr="00D94911" w:rsidRDefault="0022185E" w:rsidP="007C3342">
            <w:pPr>
              <w:jc w:val="right"/>
            </w:pPr>
            <w:r>
              <w:t xml:space="preserve"> </w:t>
            </w:r>
            <w:r w:rsidRPr="00D94911">
              <w:rPr>
                <w:iCs/>
                <w:sz w:val="16"/>
                <w:szCs w:val="16"/>
              </w:rPr>
              <w:t>Antal [</w:t>
            </w:r>
            <w:r w:rsidRPr="009D5414">
              <w:rPr>
                <w:iCs/>
                <w:sz w:val="16"/>
                <w:szCs w:val="16"/>
              </w:rPr>
              <w:t>s</w:t>
            </w:r>
            <w:r w:rsidRPr="00D94911">
              <w:rPr>
                <w:iCs/>
                <w:sz w:val="16"/>
                <w:szCs w:val="16"/>
              </w:rPr>
              <w:t>tk.]</w:t>
            </w:r>
          </w:p>
        </w:tc>
        <w:tc>
          <w:tcPr>
            <w:tcW w:w="1361" w:type="dxa"/>
            <w:vAlign w:val="bottom"/>
          </w:tcPr>
          <w:p w:rsidR="0022185E" w:rsidRPr="006837F5" w:rsidRDefault="0022185E" w:rsidP="007C3342">
            <w:pPr>
              <w:spacing w:line="200" w:lineRule="atLeast"/>
              <w:jc w:val="right"/>
              <w:rPr>
                <w:iCs/>
                <w:sz w:val="16"/>
                <w:szCs w:val="16"/>
              </w:rPr>
            </w:pPr>
            <w:r w:rsidRPr="006837F5">
              <w:rPr>
                <w:iCs/>
                <w:sz w:val="16"/>
                <w:szCs w:val="16"/>
              </w:rPr>
              <w:t>Varmeproduktion/</w:t>
            </w:r>
          </w:p>
          <w:p w:rsidR="0022185E" w:rsidRPr="00D94911" w:rsidRDefault="0022185E" w:rsidP="007C3342">
            <w:pPr>
              <w:spacing w:line="200" w:lineRule="atLeast"/>
              <w:jc w:val="right"/>
            </w:pPr>
            <w:r w:rsidRPr="006837F5">
              <w:rPr>
                <w:iCs/>
                <w:sz w:val="16"/>
                <w:szCs w:val="16"/>
              </w:rPr>
              <w:t>elforbrug [TJ/år]</w:t>
            </w:r>
            <w:r w:rsidRPr="00D94911">
              <w:rPr>
                <w:iCs/>
                <w:sz w:val="16"/>
                <w:szCs w:val="16"/>
              </w:rPr>
              <w:t xml:space="preserve"> </w:t>
            </w:r>
          </w:p>
        </w:tc>
      </w:tr>
      <w:tr w:rsidR="0022185E" w:rsidRPr="00D94911" w:rsidTr="007C3342">
        <w:trPr>
          <w:trHeight w:val="298"/>
        </w:trPr>
        <w:tc>
          <w:tcPr>
            <w:tcW w:w="2194" w:type="dxa"/>
          </w:tcPr>
          <w:p w:rsidR="0022185E" w:rsidRPr="00D94911" w:rsidRDefault="0022185E" w:rsidP="007C3342">
            <w:r w:rsidRPr="00D94911">
              <w:t>Naturgasked</w:t>
            </w:r>
            <w:r>
              <w:t>ler</w:t>
            </w:r>
            <w:r w:rsidRPr="00D94911">
              <w:t xml:space="preserve"> </w:t>
            </w:r>
          </w:p>
        </w:tc>
        <w:tc>
          <w:tcPr>
            <w:tcW w:w="701" w:type="dxa"/>
          </w:tcPr>
          <w:p w:rsidR="0022185E" w:rsidRPr="00D94911" w:rsidRDefault="0022185E" w:rsidP="007C3342">
            <w:pPr>
              <w:jc w:val="right"/>
            </w:pPr>
            <w:r w:rsidRPr="00D94911">
              <w:t>5</w:t>
            </w:r>
            <w:r>
              <w:t>.</w:t>
            </w:r>
            <w:r w:rsidRPr="00D94911">
              <w:t xml:space="preserve">667 </w:t>
            </w:r>
          </w:p>
        </w:tc>
        <w:tc>
          <w:tcPr>
            <w:tcW w:w="1361" w:type="dxa"/>
          </w:tcPr>
          <w:p w:rsidR="0022185E" w:rsidRPr="00D94911" w:rsidRDefault="0022185E" w:rsidP="007C3342">
            <w:pPr>
              <w:jc w:val="right"/>
            </w:pPr>
            <w:r w:rsidRPr="00D94911">
              <w:t>4</w:t>
            </w:r>
            <w:r>
              <w:t>.</w:t>
            </w:r>
            <w:r w:rsidRPr="00D94911">
              <w:t xml:space="preserve">944 </w:t>
            </w:r>
          </w:p>
        </w:tc>
      </w:tr>
      <w:tr w:rsidR="0022185E" w:rsidRPr="00D94911" w:rsidTr="007C3342">
        <w:trPr>
          <w:trHeight w:val="298"/>
        </w:trPr>
        <w:tc>
          <w:tcPr>
            <w:tcW w:w="2194" w:type="dxa"/>
            <w:hideMark/>
          </w:tcPr>
          <w:p w:rsidR="0022185E" w:rsidRPr="00D94911" w:rsidRDefault="0022185E" w:rsidP="007C3342">
            <w:r w:rsidRPr="00D94911">
              <w:t>Olieked</w:t>
            </w:r>
            <w:r>
              <w:t>ler</w:t>
            </w:r>
            <w:r w:rsidRPr="00D94911">
              <w:t xml:space="preserve"> </w:t>
            </w:r>
          </w:p>
        </w:tc>
        <w:tc>
          <w:tcPr>
            <w:tcW w:w="701" w:type="dxa"/>
            <w:hideMark/>
          </w:tcPr>
          <w:p w:rsidR="0022185E" w:rsidRPr="00D94911" w:rsidRDefault="0022185E" w:rsidP="007C3342">
            <w:pPr>
              <w:jc w:val="right"/>
            </w:pPr>
            <w:r w:rsidRPr="00D94911">
              <w:t>1</w:t>
            </w:r>
            <w:r>
              <w:t>.</w:t>
            </w:r>
            <w:r w:rsidRPr="00D94911">
              <w:t xml:space="preserve">793 </w:t>
            </w:r>
          </w:p>
        </w:tc>
        <w:tc>
          <w:tcPr>
            <w:tcW w:w="1361" w:type="dxa"/>
            <w:hideMark/>
          </w:tcPr>
          <w:p w:rsidR="0022185E" w:rsidRPr="00D94911" w:rsidRDefault="0022185E" w:rsidP="007C3342">
            <w:pPr>
              <w:jc w:val="right"/>
            </w:pPr>
            <w:r w:rsidRPr="00D94911">
              <w:t>1</w:t>
            </w:r>
            <w:r>
              <w:t>.</w:t>
            </w:r>
            <w:r w:rsidRPr="00D94911">
              <w:t xml:space="preserve">352 </w:t>
            </w:r>
          </w:p>
        </w:tc>
      </w:tr>
      <w:tr w:rsidR="0022185E" w:rsidRPr="00D94911" w:rsidTr="007C3342">
        <w:trPr>
          <w:trHeight w:val="298"/>
        </w:trPr>
        <w:tc>
          <w:tcPr>
            <w:tcW w:w="2194" w:type="dxa"/>
          </w:tcPr>
          <w:p w:rsidR="0022185E" w:rsidRPr="00D94911" w:rsidRDefault="0022185E" w:rsidP="007C3342">
            <w:r w:rsidRPr="00D94911">
              <w:t>Varmepumpe</w:t>
            </w:r>
            <w:r>
              <w:t>r</w:t>
            </w:r>
            <w:r w:rsidRPr="00D94911">
              <w:t xml:space="preserve"> </w:t>
            </w:r>
          </w:p>
        </w:tc>
        <w:tc>
          <w:tcPr>
            <w:tcW w:w="701" w:type="dxa"/>
          </w:tcPr>
          <w:p w:rsidR="0022185E" w:rsidRPr="00D94911" w:rsidRDefault="0022185E" w:rsidP="007C3342">
            <w:pPr>
              <w:jc w:val="right"/>
            </w:pPr>
            <w:r w:rsidRPr="00D94911">
              <w:t xml:space="preserve">675 </w:t>
            </w:r>
          </w:p>
        </w:tc>
        <w:tc>
          <w:tcPr>
            <w:tcW w:w="1361" w:type="dxa"/>
          </w:tcPr>
          <w:p w:rsidR="0022185E" w:rsidRPr="00D94911" w:rsidRDefault="0022185E" w:rsidP="007C3342">
            <w:pPr>
              <w:jc w:val="right"/>
            </w:pPr>
            <w:r w:rsidRPr="00D94911">
              <w:t xml:space="preserve">171 </w:t>
            </w:r>
          </w:p>
        </w:tc>
      </w:tr>
      <w:tr w:rsidR="0022185E" w:rsidRPr="00D94911" w:rsidTr="007C3342">
        <w:trPr>
          <w:trHeight w:val="298"/>
        </w:trPr>
        <w:tc>
          <w:tcPr>
            <w:tcW w:w="2194" w:type="dxa"/>
          </w:tcPr>
          <w:p w:rsidR="0022185E" w:rsidRPr="00D94911" w:rsidRDefault="0022185E" w:rsidP="007C3342">
            <w:r w:rsidRPr="00D94911">
              <w:t xml:space="preserve">Elvarme </w:t>
            </w:r>
          </w:p>
        </w:tc>
        <w:tc>
          <w:tcPr>
            <w:tcW w:w="701" w:type="dxa"/>
          </w:tcPr>
          <w:p w:rsidR="0022185E" w:rsidRPr="00D94911" w:rsidRDefault="0022185E" w:rsidP="007C3342">
            <w:pPr>
              <w:jc w:val="right"/>
            </w:pPr>
            <w:r w:rsidRPr="00D94911">
              <w:t xml:space="preserve">442 </w:t>
            </w:r>
          </w:p>
        </w:tc>
        <w:tc>
          <w:tcPr>
            <w:tcW w:w="1361" w:type="dxa"/>
          </w:tcPr>
          <w:p w:rsidR="0022185E" w:rsidRPr="00D94911" w:rsidRDefault="0022185E" w:rsidP="007C3342">
            <w:pPr>
              <w:jc w:val="right"/>
            </w:pPr>
            <w:r w:rsidRPr="00D94911">
              <w:t xml:space="preserve">307 </w:t>
            </w:r>
          </w:p>
        </w:tc>
      </w:tr>
      <w:tr w:rsidR="0022185E" w:rsidRPr="00D94911" w:rsidTr="007C3342">
        <w:trPr>
          <w:trHeight w:val="298"/>
        </w:trPr>
        <w:tc>
          <w:tcPr>
            <w:tcW w:w="2194" w:type="dxa"/>
            <w:hideMark/>
          </w:tcPr>
          <w:p w:rsidR="0022185E" w:rsidRPr="00D94911" w:rsidRDefault="0022185E" w:rsidP="007C3342">
            <w:r>
              <w:t>Kedler til fa</w:t>
            </w:r>
            <w:r w:rsidRPr="00D94911">
              <w:t>st</w:t>
            </w:r>
            <w:r>
              <w:t xml:space="preserve"> </w:t>
            </w:r>
            <w:r w:rsidRPr="00D94911">
              <w:t>brændse</w:t>
            </w:r>
            <w:r>
              <w:t>l</w:t>
            </w:r>
          </w:p>
        </w:tc>
        <w:tc>
          <w:tcPr>
            <w:tcW w:w="701" w:type="dxa"/>
            <w:hideMark/>
          </w:tcPr>
          <w:p w:rsidR="0022185E" w:rsidRPr="00D94911" w:rsidRDefault="0022185E" w:rsidP="007C3342">
            <w:pPr>
              <w:jc w:val="right"/>
            </w:pPr>
            <w:r w:rsidRPr="00D94911">
              <w:t xml:space="preserve">367 </w:t>
            </w:r>
          </w:p>
        </w:tc>
        <w:tc>
          <w:tcPr>
            <w:tcW w:w="1361" w:type="dxa"/>
            <w:hideMark/>
          </w:tcPr>
          <w:p w:rsidR="0022185E" w:rsidRPr="00D94911" w:rsidRDefault="0022185E" w:rsidP="007C3342">
            <w:pPr>
              <w:jc w:val="right"/>
            </w:pPr>
            <w:r w:rsidRPr="00D94911">
              <w:t xml:space="preserve">248 </w:t>
            </w:r>
          </w:p>
        </w:tc>
      </w:tr>
      <w:tr w:rsidR="0022185E" w:rsidRPr="00D94911" w:rsidTr="007C3342">
        <w:trPr>
          <w:trHeight w:val="300"/>
        </w:trPr>
        <w:tc>
          <w:tcPr>
            <w:tcW w:w="2194" w:type="dxa"/>
          </w:tcPr>
          <w:p w:rsidR="0022185E" w:rsidRPr="00D94911" w:rsidRDefault="0022185E" w:rsidP="007C3342">
            <w:r w:rsidRPr="00D94911">
              <w:t>Sol</w:t>
            </w:r>
            <w:r>
              <w:t>varmeanlæg</w:t>
            </w:r>
          </w:p>
        </w:tc>
        <w:tc>
          <w:tcPr>
            <w:tcW w:w="701" w:type="dxa"/>
          </w:tcPr>
          <w:p w:rsidR="0022185E" w:rsidRPr="00D94911" w:rsidRDefault="0022185E" w:rsidP="007C3342">
            <w:pPr>
              <w:jc w:val="right"/>
            </w:pPr>
            <w:r w:rsidRPr="00D94911">
              <w:t>150</w:t>
            </w:r>
          </w:p>
        </w:tc>
        <w:tc>
          <w:tcPr>
            <w:tcW w:w="1361" w:type="dxa"/>
          </w:tcPr>
          <w:p w:rsidR="0022185E" w:rsidRPr="00D94911" w:rsidRDefault="0022185E" w:rsidP="007C3342">
            <w:pPr>
              <w:jc w:val="right"/>
            </w:pPr>
            <w:r w:rsidRPr="00D94911">
              <w:t>45</w:t>
            </w:r>
          </w:p>
        </w:tc>
      </w:tr>
      <w:tr w:rsidR="0022185E" w:rsidRPr="00D94911" w:rsidTr="007C3342">
        <w:trPr>
          <w:trHeight w:val="300"/>
        </w:trPr>
        <w:tc>
          <w:tcPr>
            <w:tcW w:w="2194" w:type="dxa"/>
          </w:tcPr>
          <w:p w:rsidR="0022185E" w:rsidRPr="00D94911" w:rsidRDefault="0022185E" w:rsidP="007C3342"/>
        </w:tc>
        <w:tc>
          <w:tcPr>
            <w:tcW w:w="701" w:type="dxa"/>
          </w:tcPr>
          <w:p w:rsidR="0022185E" w:rsidRPr="00D94911" w:rsidRDefault="0022185E" w:rsidP="007C3342">
            <w:pPr>
              <w:jc w:val="right"/>
            </w:pPr>
            <w:r w:rsidRPr="009D5414">
              <w:rPr>
                <w:b/>
              </w:rPr>
              <w:t>12</w:t>
            </w:r>
            <w:r>
              <w:rPr>
                <w:b/>
              </w:rPr>
              <w:t>.</w:t>
            </w:r>
            <w:r w:rsidRPr="009D5414">
              <w:rPr>
                <w:b/>
              </w:rPr>
              <w:t>057</w:t>
            </w:r>
          </w:p>
        </w:tc>
        <w:tc>
          <w:tcPr>
            <w:tcW w:w="1361" w:type="dxa"/>
          </w:tcPr>
          <w:p w:rsidR="0022185E" w:rsidRPr="00D94911" w:rsidRDefault="0022185E" w:rsidP="007C3342">
            <w:pPr>
              <w:jc w:val="right"/>
            </w:pPr>
            <w:r w:rsidRPr="009D5414">
              <w:rPr>
                <w:b/>
              </w:rPr>
              <w:t>10</w:t>
            </w:r>
            <w:r>
              <w:rPr>
                <w:b/>
              </w:rPr>
              <w:t>.</w:t>
            </w:r>
            <w:r w:rsidRPr="009D5414">
              <w:rPr>
                <w:b/>
              </w:rPr>
              <w:t>733</w:t>
            </w:r>
          </w:p>
        </w:tc>
      </w:tr>
    </w:tbl>
    <w:bookmarkEnd w:id="3"/>
    <w:p w:rsidR="0022185E" w:rsidRDefault="0022185E" w:rsidP="0022185E">
      <w:r>
        <w:t xml:space="preserve">Estimatet i tabel 2 er forbundet med en vis usikkerhed, dels pga. de nævnte antagelser og dels fordi </w:t>
      </w:r>
      <w:r w:rsidRPr="0069444C">
        <w:t xml:space="preserve">BBR-registret ikke </w:t>
      </w:r>
      <w:r>
        <w:t xml:space="preserve">altid er retvisende. Det formodes dog, at registret generelt er mere retvisende for store bygninger end for små. Samlet set vurderes estimatet at være tilstrækkeligt præcist til at kunne anvendes i denne sammenhæng. </w:t>
      </w:r>
    </w:p>
    <w:p w:rsidR="0022185E" w:rsidRPr="0069444C" w:rsidRDefault="0022185E" w:rsidP="0022185E">
      <w:pPr>
        <w:spacing w:after="60"/>
        <w:rPr>
          <w:i/>
          <w:iCs/>
        </w:rPr>
      </w:pPr>
      <w:r w:rsidRPr="007A4F08">
        <w:rPr>
          <w:i/>
          <w:iCs/>
        </w:rPr>
        <w:t>1b)</w:t>
      </w:r>
      <w:r w:rsidRPr="007A4F08">
        <w:rPr>
          <w:i/>
          <w:iCs/>
        </w:rPr>
        <w:br/>
      </w:r>
      <w:r w:rsidRPr="007A4F08">
        <w:rPr>
          <w:i/>
          <w:iCs/>
          <w:u w:val="single"/>
        </w:rPr>
        <w:t>Anlæg som er undtaget efter stk. 2</w:t>
      </w:r>
    </w:p>
    <w:p w:rsidR="0022185E" w:rsidRDefault="0022185E" w:rsidP="0022185E">
      <w:pPr>
        <w:spacing w:after="120"/>
        <w:rPr>
          <w:iCs/>
        </w:rPr>
      </w:pPr>
      <w:r>
        <w:rPr>
          <w:iCs/>
        </w:rPr>
        <w:t>Ifølge artiklens stk. 2 er anlæg ”</w:t>
      </w:r>
      <w:r w:rsidRPr="007A4F08">
        <w:rPr>
          <w:i/>
        </w:rPr>
        <w:t xml:space="preserve">der udtrykkeligt er omfattet af et aftalt kriterium for energimæssig ydeevne eller af en kontraktlig ordning om </w:t>
      </w:r>
      <w:r w:rsidRPr="007A4F08">
        <w:rPr>
          <w:iCs/>
        </w:rPr>
        <w:t>et</w:t>
      </w:r>
      <w:r w:rsidRPr="007A4F08">
        <w:rPr>
          <w:i/>
        </w:rPr>
        <w:t xml:space="preserve"> aftalt niveau for forbedring af energi</w:t>
      </w:r>
      <w:r>
        <w:rPr>
          <w:i/>
        </w:rPr>
        <w:t>-</w:t>
      </w:r>
      <w:r w:rsidRPr="007A4F08">
        <w:rPr>
          <w:i/>
        </w:rPr>
        <w:t xml:space="preserve">effektiviteten, f.eks. en kontrakt </w:t>
      </w:r>
      <w:r w:rsidRPr="007A4F08">
        <w:rPr>
          <w:i/>
        </w:rPr>
        <w:lastRenderedPageBreak/>
        <w:t xml:space="preserve">om energimæssig ydeevne, eller som drives af en driftsansvarlig eller en </w:t>
      </w:r>
      <w:proofErr w:type="spellStart"/>
      <w:r w:rsidRPr="007A4F08">
        <w:rPr>
          <w:i/>
        </w:rPr>
        <w:t>netoperatør</w:t>
      </w:r>
      <w:proofErr w:type="spellEnd"/>
      <w:r>
        <w:rPr>
          <w:iCs/>
        </w:rPr>
        <w:t>” undtaget fra krav om eftersyn i stk. 1.</w:t>
      </w:r>
    </w:p>
    <w:p w:rsidR="0022185E" w:rsidRDefault="0022185E" w:rsidP="0022185E">
      <w:pPr>
        <w:spacing w:after="240"/>
        <w:rPr>
          <w:iCs/>
        </w:rPr>
      </w:pPr>
      <w:r>
        <w:rPr>
          <w:iCs/>
        </w:rPr>
        <w:t xml:space="preserve">En beregning af effekten ved implementering efter stk.1 skal derfor kun medtage anlæg, hvor der hverken er en driftsansvarlig, fx en varmemester, eller kontrakt med en ekstern udbyder, som sikrer en vis energieffektivitet i anlæggets drift. </w:t>
      </w:r>
      <w:r>
        <w:rPr>
          <w:iCs/>
        </w:rPr>
        <w:br/>
        <w:t>Omfanget af sådanne undtagelser er vurderet herunder.</w:t>
      </w:r>
    </w:p>
    <w:p w:rsidR="0022185E" w:rsidRDefault="0022185E" w:rsidP="0022185E">
      <w:pPr>
        <w:spacing w:after="120"/>
        <w:rPr>
          <w:iCs/>
        </w:rPr>
      </w:pPr>
      <w:r w:rsidRPr="00EF4647">
        <w:rPr>
          <w:i/>
        </w:rPr>
        <w:t>Kedler</w:t>
      </w:r>
      <w:r>
        <w:rPr>
          <w:iCs/>
        </w:rPr>
        <w:br/>
        <w:t xml:space="preserve">På basis af interview med brancheforeningen Dansk Energi er det, som nævnt i tidligere ækvivalensrapporter, skønnet, at 2/3 af olie- og gasfyrede anlæg større end 20 kW er omfattet af en </w:t>
      </w:r>
      <w:r w:rsidRPr="00EF4647">
        <w:rPr>
          <w:iCs/>
        </w:rPr>
        <w:t xml:space="preserve">frivillig </w:t>
      </w:r>
      <w:r>
        <w:rPr>
          <w:iCs/>
        </w:rPr>
        <w:t xml:space="preserve">aftale om </w:t>
      </w:r>
      <w:r w:rsidRPr="00EF4647">
        <w:rPr>
          <w:iCs/>
        </w:rPr>
        <w:t>service</w:t>
      </w:r>
      <w:r>
        <w:rPr>
          <w:iCs/>
        </w:rPr>
        <w:t xml:space="preserve">eftersyn, hvis væsentligste formål er at sikre energieffektiv drift og deraf følgende økonomiske besparelser. For anlæg større end 70 kW skønnes den tilsvarende andel at være lidt højere, nærmere bestemt 75 %. </w:t>
      </w:r>
    </w:p>
    <w:p w:rsidR="0022185E" w:rsidRDefault="0022185E" w:rsidP="0022185E">
      <w:pPr>
        <w:spacing w:after="240"/>
        <w:rPr>
          <w:iCs/>
        </w:rPr>
      </w:pPr>
      <w:r>
        <w:rPr>
          <w:iCs/>
        </w:rPr>
        <w:t xml:space="preserve">De nævnte eftersyn omfatter både </w:t>
      </w:r>
      <w:r w:rsidRPr="00EF4647">
        <w:rPr>
          <w:iCs/>
        </w:rPr>
        <w:t>ked</w:t>
      </w:r>
      <w:r>
        <w:rPr>
          <w:iCs/>
        </w:rPr>
        <w:t>el</w:t>
      </w:r>
      <w:r w:rsidRPr="00EF4647">
        <w:rPr>
          <w:iCs/>
        </w:rPr>
        <w:t>, automatik, pumpe</w:t>
      </w:r>
      <w:r>
        <w:rPr>
          <w:iCs/>
        </w:rPr>
        <w:t>r</w:t>
      </w:r>
      <w:r w:rsidRPr="00EF4647">
        <w:rPr>
          <w:iCs/>
        </w:rPr>
        <w:t>, aftræk og varmtvandsbeholder</w:t>
      </w:r>
      <w:r>
        <w:rPr>
          <w:iCs/>
        </w:rPr>
        <w:t>, og bygningsejer eller driftsansvarlig vil typisk også blive vejledt om muligheder for at udskifte en kedel eller anden komponent med en nyere og mere energieffektiv version.</w:t>
      </w:r>
    </w:p>
    <w:p w:rsidR="0022185E" w:rsidRDefault="0022185E" w:rsidP="0022185E">
      <w:pPr>
        <w:ind w:left="-5" w:right="505"/>
      </w:pPr>
      <w:r>
        <w:rPr>
          <w:i/>
        </w:rPr>
        <w:t>Varmepumper</w:t>
      </w:r>
      <w:r>
        <w:rPr>
          <w:iCs/>
        </w:rPr>
        <w:br/>
      </w:r>
      <w:r>
        <w:t>Teknologisk Institut har som nævnt i seneste ækvivalensrapport vurderet, at 54 % af de relevante varmepumpeanlæg findes i virksomheder, hvor de gennemgår et regelmæssigt eftersyn som beskrevet i stk. 2, fx som del af virksomhedens energiledelse efter ISO 50001.</w:t>
      </w:r>
    </w:p>
    <w:p w:rsidR="0022185E" w:rsidRDefault="0022185E" w:rsidP="0022185E">
      <w:pPr>
        <w:spacing w:after="240"/>
        <w:rPr>
          <w:iCs/>
        </w:rPr>
      </w:pPr>
      <w:r>
        <w:rPr>
          <w:iCs/>
        </w:rPr>
        <w:t>Generelt har elpriserne i de senere år været en del højere, end da ovennævnte vurdering blev foretaget, og de ventes ikke at falde tilbage til samme niveau. På den baggrund skønnes det, andelen af varmepumper omfattet af regelmæssige eftersyn ikke er blevet mindre eller bliver det fremover. Derfor er det også i denne rapport lagt til grund, at andelen er 54 %.</w:t>
      </w:r>
    </w:p>
    <w:p w:rsidR="0022185E" w:rsidRPr="00E23370" w:rsidRDefault="0022185E" w:rsidP="0022185E">
      <w:pPr>
        <w:spacing w:after="120"/>
        <w:ind w:left="-6" w:right="505"/>
        <w:rPr>
          <w:iCs/>
        </w:rPr>
      </w:pPr>
      <w:r>
        <w:rPr>
          <w:i/>
        </w:rPr>
        <w:t>Elvarme</w:t>
      </w:r>
      <w:r>
        <w:rPr>
          <w:iCs/>
        </w:rPr>
        <w:br/>
        <w:t>E</w:t>
      </w:r>
      <w:r w:rsidRPr="00E23370">
        <w:rPr>
          <w:iCs/>
        </w:rPr>
        <w:t xml:space="preserve">lvarmeanlæg </w:t>
      </w:r>
      <w:r>
        <w:rPr>
          <w:iCs/>
        </w:rPr>
        <w:t xml:space="preserve">i </w:t>
      </w:r>
      <w:r w:rsidRPr="004911B1">
        <w:rPr>
          <w:b/>
          <w:bCs/>
          <w:i/>
        </w:rPr>
        <w:t>boliger</w:t>
      </w:r>
      <w:r>
        <w:rPr>
          <w:iCs/>
        </w:rPr>
        <w:t xml:space="preserve"> vil typisk ikke blive efterset, dels fordi de normalt befinder sig inde i de enkelte boligenheder</w:t>
      </w:r>
      <w:r w:rsidRPr="00E23370">
        <w:rPr>
          <w:iCs/>
        </w:rPr>
        <w:t>, hvor en driftsansvarlig</w:t>
      </w:r>
      <w:r>
        <w:rPr>
          <w:iCs/>
        </w:rPr>
        <w:t xml:space="preserve"> ikke har fri adgang, og dels fordi </w:t>
      </w:r>
      <w:proofErr w:type="spellStart"/>
      <w:r w:rsidRPr="00E23370">
        <w:rPr>
          <w:iCs/>
        </w:rPr>
        <w:t>el</w:t>
      </w:r>
      <w:r>
        <w:rPr>
          <w:iCs/>
        </w:rPr>
        <w:t>radiatorer</w:t>
      </w:r>
      <w:proofErr w:type="spellEnd"/>
      <w:r>
        <w:rPr>
          <w:iCs/>
        </w:rPr>
        <w:t xml:space="preserve"> </w:t>
      </w:r>
      <w:r w:rsidRPr="00E23370">
        <w:rPr>
          <w:iCs/>
        </w:rPr>
        <w:t xml:space="preserve">ikke slides og </w:t>
      </w:r>
      <w:r>
        <w:rPr>
          <w:iCs/>
        </w:rPr>
        <w:t xml:space="preserve">mister </w:t>
      </w:r>
      <w:r w:rsidRPr="00E23370">
        <w:rPr>
          <w:iCs/>
        </w:rPr>
        <w:t xml:space="preserve">effektivitet </w:t>
      </w:r>
      <w:r>
        <w:rPr>
          <w:iCs/>
        </w:rPr>
        <w:t xml:space="preserve">på samme måde som fx kedler, så der er meget begrænset incitamentet til regelmæssig service og stort set ingen eksterne udbydere. </w:t>
      </w:r>
      <w:r>
        <w:rPr>
          <w:iCs/>
        </w:rPr>
        <w:br/>
        <w:t xml:space="preserve">Som nævnt i seneste ækvivalensrapport, blev det efter dialog med </w:t>
      </w:r>
      <w:r w:rsidRPr="00E23370">
        <w:rPr>
          <w:iCs/>
        </w:rPr>
        <w:t>brancheorganisationen TEKNIQ Arbejdsgiverne</w:t>
      </w:r>
      <w:r>
        <w:rPr>
          <w:iCs/>
        </w:rPr>
        <w:t xml:space="preserve">, som organiserer el- og VVS-installatører, </w:t>
      </w:r>
      <w:r w:rsidRPr="00E23370">
        <w:rPr>
          <w:iCs/>
        </w:rPr>
        <w:t xml:space="preserve">vurderet, at </w:t>
      </w:r>
      <w:proofErr w:type="spellStart"/>
      <w:r w:rsidRPr="00E23370">
        <w:rPr>
          <w:iCs/>
        </w:rPr>
        <w:t>elradiatorer</w:t>
      </w:r>
      <w:proofErr w:type="spellEnd"/>
      <w:r w:rsidRPr="00E23370">
        <w:rPr>
          <w:iCs/>
        </w:rPr>
        <w:t xml:space="preserve"> i boliger </w:t>
      </w:r>
      <w:r>
        <w:rPr>
          <w:iCs/>
        </w:rPr>
        <w:t>altovervejende har termostatstyring, og at det skyldes de danske afgifter på el kombineret med den relativt lave merpris for termostatstyring. På den baggrund blev det vurderet, at</w:t>
      </w:r>
      <w:r w:rsidRPr="00E23370">
        <w:rPr>
          <w:iCs/>
        </w:rPr>
        <w:t xml:space="preserve"> </w:t>
      </w:r>
      <w:r>
        <w:rPr>
          <w:iCs/>
        </w:rPr>
        <w:t>i 75 % af boliger med elvarme</w:t>
      </w:r>
      <w:r w:rsidRPr="00E23370">
        <w:rPr>
          <w:iCs/>
        </w:rPr>
        <w:t xml:space="preserve"> </w:t>
      </w:r>
      <w:r>
        <w:rPr>
          <w:iCs/>
        </w:rPr>
        <w:t xml:space="preserve">har </w:t>
      </w:r>
      <w:r w:rsidRPr="00E23370">
        <w:rPr>
          <w:iCs/>
        </w:rPr>
        <w:t>afgifter</w:t>
      </w:r>
      <w:r>
        <w:rPr>
          <w:iCs/>
        </w:rPr>
        <w:t xml:space="preserve"> </w:t>
      </w:r>
      <w:r w:rsidRPr="00E23370">
        <w:rPr>
          <w:iCs/>
        </w:rPr>
        <w:t>på el</w:t>
      </w:r>
      <w:r>
        <w:rPr>
          <w:iCs/>
        </w:rPr>
        <w:t xml:space="preserve"> s</w:t>
      </w:r>
      <w:r w:rsidRPr="00E23370">
        <w:rPr>
          <w:iCs/>
        </w:rPr>
        <w:t xml:space="preserve">amme effekt </w:t>
      </w:r>
      <w:bookmarkStart w:id="4" w:name="_Hlk133163309"/>
      <w:r w:rsidRPr="00E23370">
        <w:rPr>
          <w:iCs/>
        </w:rPr>
        <w:t xml:space="preserve">som </w:t>
      </w:r>
      <w:r>
        <w:rPr>
          <w:iCs/>
        </w:rPr>
        <w:t>de tiltag, der nævnes i stk. 2</w:t>
      </w:r>
      <w:r w:rsidRPr="00E23370">
        <w:rPr>
          <w:iCs/>
        </w:rPr>
        <w:t xml:space="preserve">. </w:t>
      </w:r>
      <w:bookmarkEnd w:id="4"/>
      <w:r>
        <w:rPr>
          <w:iCs/>
        </w:rPr>
        <w:br/>
      </w:r>
      <w:r w:rsidRPr="004911B1">
        <w:rPr>
          <w:iCs/>
        </w:rPr>
        <w:t>Generelt har elpriserne i de senere år været en del højere, end da ovennævnte vurdering blev foretaget, og de ventes ikke at falde tilbage til samme niveau.</w:t>
      </w:r>
      <w:r>
        <w:rPr>
          <w:iCs/>
        </w:rPr>
        <w:t xml:space="preserve"> Det skønnes derfor, at ikke kun afgifter, men også andre komponenter i den samlede elpris, fortsat vil have mindst samme effekt som vurderet i den tidligere rapport, og de nævnte 75 % er derfor fastholdt. </w:t>
      </w:r>
    </w:p>
    <w:p w:rsidR="0022185E" w:rsidRPr="00E23370" w:rsidRDefault="0022185E" w:rsidP="0022185E">
      <w:pPr>
        <w:spacing w:after="120"/>
        <w:ind w:left="-6" w:right="505"/>
        <w:rPr>
          <w:iCs/>
        </w:rPr>
      </w:pPr>
      <w:proofErr w:type="spellStart"/>
      <w:r>
        <w:rPr>
          <w:iCs/>
        </w:rPr>
        <w:t>Fsva</w:t>
      </w:r>
      <w:proofErr w:type="spellEnd"/>
      <w:r>
        <w:rPr>
          <w:iCs/>
        </w:rPr>
        <w:t xml:space="preserve">. </w:t>
      </w:r>
      <w:r w:rsidRPr="00E23370">
        <w:rPr>
          <w:b/>
          <w:bCs/>
          <w:i/>
        </w:rPr>
        <w:t>offentlige bygninger</w:t>
      </w:r>
      <w:r w:rsidRPr="00E23370">
        <w:rPr>
          <w:iCs/>
        </w:rPr>
        <w:t xml:space="preserve"> </w:t>
      </w:r>
      <w:r>
        <w:rPr>
          <w:iCs/>
        </w:rPr>
        <w:t xml:space="preserve">vurderes det, at 75 % </w:t>
      </w:r>
      <w:r w:rsidRPr="00E23370">
        <w:rPr>
          <w:iCs/>
        </w:rPr>
        <w:t xml:space="preserve">er omfattet af et frivilligt eftersyn </w:t>
      </w:r>
      <w:r>
        <w:rPr>
          <w:iCs/>
        </w:rPr>
        <w:t xml:space="preserve">som nævnt i </w:t>
      </w:r>
      <w:r w:rsidRPr="00E23370">
        <w:rPr>
          <w:iCs/>
        </w:rPr>
        <w:t xml:space="preserve">stk. 2. </w:t>
      </w:r>
      <w:r>
        <w:rPr>
          <w:iCs/>
        </w:rPr>
        <w:t>V</w:t>
      </w:r>
      <w:r w:rsidRPr="00E23370">
        <w:rPr>
          <w:iCs/>
        </w:rPr>
        <w:t>urdering</w:t>
      </w:r>
      <w:r>
        <w:rPr>
          <w:iCs/>
        </w:rPr>
        <w:t>en</w:t>
      </w:r>
      <w:r w:rsidRPr="00E23370">
        <w:rPr>
          <w:iCs/>
        </w:rPr>
        <w:t xml:space="preserve"> </w:t>
      </w:r>
      <w:r>
        <w:rPr>
          <w:iCs/>
        </w:rPr>
        <w:t xml:space="preserve">skyldes, at den type eftersyn indgår i eller anbefales i flere tiltag vedr. </w:t>
      </w:r>
      <w:r w:rsidRPr="00E23370">
        <w:rPr>
          <w:iCs/>
        </w:rPr>
        <w:t>offentlige bygninger</w:t>
      </w:r>
      <w:r>
        <w:rPr>
          <w:iCs/>
        </w:rPr>
        <w:t>, herunder c</w:t>
      </w:r>
      <w:r w:rsidRPr="00E23370">
        <w:rPr>
          <w:iCs/>
        </w:rPr>
        <w:t>irkulære om energieffektivisering, statens indkøbsvejledning, databaseret energiledelse</w:t>
      </w:r>
      <w:r>
        <w:rPr>
          <w:iCs/>
        </w:rPr>
        <w:t xml:space="preserve"> og </w:t>
      </w:r>
      <w:r w:rsidRPr="00E23370">
        <w:rPr>
          <w:iCs/>
        </w:rPr>
        <w:t>Gate 21. De</w:t>
      </w:r>
      <w:r>
        <w:rPr>
          <w:iCs/>
        </w:rPr>
        <w:t>suden har offentlige bygninger typisk ikke den barriere vedr. adgang til installationerne, som er nævnt ifm. boliger.</w:t>
      </w:r>
      <w:r w:rsidRPr="00E23370">
        <w:rPr>
          <w:iCs/>
        </w:rPr>
        <w:t xml:space="preserve">  </w:t>
      </w:r>
    </w:p>
    <w:p w:rsidR="0022185E" w:rsidRDefault="0022185E" w:rsidP="0022185E">
      <w:pPr>
        <w:spacing w:after="120"/>
        <w:ind w:left="-6" w:right="505"/>
        <w:rPr>
          <w:iCs/>
        </w:rPr>
      </w:pPr>
      <w:proofErr w:type="spellStart"/>
      <w:r w:rsidRPr="00E23370">
        <w:rPr>
          <w:iCs/>
        </w:rPr>
        <w:lastRenderedPageBreak/>
        <w:t>F</w:t>
      </w:r>
      <w:r>
        <w:rPr>
          <w:iCs/>
        </w:rPr>
        <w:t>sva</w:t>
      </w:r>
      <w:proofErr w:type="spellEnd"/>
      <w:r>
        <w:rPr>
          <w:iCs/>
        </w:rPr>
        <w:t xml:space="preserve">. </w:t>
      </w:r>
      <w:r w:rsidRPr="004F519E">
        <w:rPr>
          <w:b/>
          <w:bCs/>
          <w:i/>
        </w:rPr>
        <w:t>erhvervsbygninger</w:t>
      </w:r>
      <w:r>
        <w:rPr>
          <w:iCs/>
        </w:rPr>
        <w:t xml:space="preserve"> vurderede </w:t>
      </w:r>
      <w:r w:rsidRPr="00E23370">
        <w:rPr>
          <w:iCs/>
        </w:rPr>
        <w:t xml:space="preserve">TEKNIQ Arbejdsgiverne </w:t>
      </w:r>
      <w:r>
        <w:rPr>
          <w:iCs/>
        </w:rPr>
        <w:t xml:space="preserve">ifm. </w:t>
      </w:r>
      <w:r w:rsidRPr="004F519E">
        <w:rPr>
          <w:iCs/>
        </w:rPr>
        <w:t xml:space="preserve">seneste ækvivalensrapport, </w:t>
      </w:r>
      <w:r>
        <w:rPr>
          <w:iCs/>
        </w:rPr>
        <w:t>at der i mindre grad end i boliger e</w:t>
      </w:r>
      <w:r w:rsidRPr="00E23370">
        <w:rPr>
          <w:iCs/>
        </w:rPr>
        <w:t xml:space="preserve">r fokus på udskiftning </w:t>
      </w:r>
      <w:r>
        <w:rPr>
          <w:iCs/>
        </w:rPr>
        <w:t xml:space="preserve">til termostatstyrede </w:t>
      </w:r>
      <w:proofErr w:type="spellStart"/>
      <w:r>
        <w:rPr>
          <w:iCs/>
        </w:rPr>
        <w:t>el</w:t>
      </w:r>
      <w:r w:rsidRPr="00E23370">
        <w:rPr>
          <w:iCs/>
        </w:rPr>
        <w:t>radiatorer</w:t>
      </w:r>
      <w:proofErr w:type="spellEnd"/>
      <w:r>
        <w:rPr>
          <w:iCs/>
        </w:rPr>
        <w:t xml:space="preserve">, dels fordi elafgiften er lavere end for boliger, dels fordi udgifter til el kan fradrages i det skattemæssige resultat, og dels fordi </w:t>
      </w:r>
      <w:r w:rsidRPr="00E23370">
        <w:rPr>
          <w:iCs/>
        </w:rPr>
        <w:t xml:space="preserve">hovedforretningen </w:t>
      </w:r>
      <w:r>
        <w:rPr>
          <w:iCs/>
        </w:rPr>
        <w:t xml:space="preserve">generelt har </w:t>
      </w:r>
      <w:r w:rsidRPr="00E23370">
        <w:rPr>
          <w:iCs/>
        </w:rPr>
        <w:t>højere prioritet</w:t>
      </w:r>
      <w:r>
        <w:rPr>
          <w:iCs/>
        </w:rPr>
        <w:t xml:space="preserve"> end energibesparelser</w:t>
      </w:r>
      <w:r w:rsidRPr="00E23370">
        <w:rPr>
          <w:iCs/>
        </w:rPr>
        <w:t xml:space="preserve">. Dog vil radiatorer uden termostatstyring som regel blive skiftet, </w:t>
      </w:r>
      <w:r>
        <w:rPr>
          <w:iCs/>
        </w:rPr>
        <w:t xml:space="preserve">før </w:t>
      </w:r>
      <w:r w:rsidRPr="00E23370">
        <w:rPr>
          <w:iCs/>
        </w:rPr>
        <w:t xml:space="preserve">en </w:t>
      </w:r>
      <w:r>
        <w:rPr>
          <w:iCs/>
        </w:rPr>
        <w:t>erhvervs</w:t>
      </w:r>
      <w:r w:rsidRPr="00E23370">
        <w:rPr>
          <w:iCs/>
        </w:rPr>
        <w:t xml:space="preserve">bygning </w:t>
      </w:r>
      <w:r>
        <w:rPr>
          <w:iCs/>
        </w:rPr>
        <w:t xml:space="preserve">sælges eller </w:t>
      </w:r>
      <w:r w:rsidRPr="00E23370">
        <w:rPr>
          <w:iCs/>
        </w:rPr>
        <w:t>genudleje</w:t>
      </w:r>
      <w:r>
        <w:rPr>
          <w:iCs/>
        </w:rPr>
        <w:t>s</w:t>
      </w:r>
      <w:r w:rsidRPr="00E23370">
        <w:rPr>
          <w:iCs/>
        </w:rPr>
        <w:t xml:space="preserve">. </w:t>
      </w:r>
      <w:r>
        <w:rPr>
          <w:iCs/>
        </w:rPr>
        <w:t xml:space="preserve">På den baggrund blev det vurderet, </w:t>
      </w:r>
      <w:r w:rsidRPr="00E23370">
        <w:rPr>
          <w:iCs/>
        </w:rPr>
        <w:t xml:space="preserve">at </w:t>
      </w:r>
      <w:r>
        <w:rPr>
          <w:iCs/>
        </w:rPr>
        <w:t xml:space="preserve">i </w:t>
      </w:r>
      <w:r w:rsidRPr="00E23370">
        <w:rPr>
          <w:bCs/>
          <w:iCs/>
        </w:rPr>
        <w:t>50% af</w:t>
      </w:r>
      <w:r w:rsidRPr="00E23370">
        <w:rPr>
          <w:iCs/>
        </w:rPr>
        <w:t xml:space="preserve"> </w:t>
      </w:r>
      <w:r>
        <w:rPr>
          <w:iCs/>
        </w:rPr>
        <w:t xml:space="preserve">erhvervsbygninger med elvarme har de nævnte udskiftninger samme effekt </w:t>
      </w:r>
      <w:r w:rsidRPr="00C6060C">
        <w:rPr>
          <w:iCs/>
        </w:rPr>
        <w:t xml:space="preserve">som </w:t>
      </w:r>
      <w:r>
        <w:rPr>
          <w:iCs/>
        </w:rPr>
        <w:t xml:space="preserve">de tiltag, der nævnes </w:t>
      </w:r>
      <w:r w:rsidRPr="00C6060C">
        <w:rPr>
          <w:iCs/>
        </w:rPr>
        <w:t xml:space="preserve">i stk. 2. </w:t>
      </w:r>
      <w:r>
        <w:rPr>
          <w:iCs/>
        </w:rPr>
        <w:t xml:space="preserve">På grund af de højere elpriser, som allerede er nævnt, vurderes det forsvarligt at fastholde det tidligere skøn. </w:t>
      </w:r>
    </w:p>
    <w:p w:rsidR="0022185E" w:rsidRPr="00E23370" w:rsidRDefault="0022185E" w:rsidP="0022185E">
      <w:pPr>
        <w:ind w:left="-5" w:right="505"/>
        <w:rPr>
          <w:iCs/>
        </w:rPr>
      </w:pPr>
      <w:r>
        <w:rPr>
          <w:iCs/>
        </w:rPr>
        <w:t xml:space="preserve">Med de angivne vurderinger for de forskellige bygningstyper fås et vægtet </w:t>
      </w:r>
      <w:r w:rsidRPr="00E23370">
        <w:rPr>
          <w:iCs/>
        </w:rPr>
        <w:t xml:space="preserve">gennemsnit på </w:t>
      </w:r>
      <w:r w:rsidRPr="00E23370">
        <w:rPr>
          <w:bCs/>
          <w:iCs/>
        </w:rPr>
        <w:t xml:space="preserve">60% </w:t>
      </w:r>
      <w:r w:rsidRPr="00EA3381">
        <w:rPr>
          <w:bCs/>
          <w:iCs/>
        </w:rPr>
        <w:t>af bygninger</w:t>
      </w:r>
      <w:r>
        <w:rPr>
          <w:b/>
          <w:iCs/>
        </w:rPr>
        <w:t xml:space="preserve"> </w:t>
      </w:r>
      <w:r w:rsidRPr="00EA3381">
        <w:rPr>
          <w:iCs/>
        </w:rPr>
        <w:t>med elvarme, som undtages efter stk. 2.</w:t>
      </w:r>
      <w:r w:rsidRPr="00E23370">
        <w:rPr>
          <w:iCs/>
        </w:rPr>
        <w:t xml:space="preserve"> </w:t>
      </w:r>
    </w:p>
    <w:p w:rsidR="0022185E" w:rsidRDefault="0022185E" w:rsidP="0022185E">
      <w:pPr>
        <w:ind w:left="-5" w:right="505"/>
        <w:rPr>
          <w:iCs/>
        </w:rPr>
      </w:pPr>
    </w:p>
    <w:p w:rsidR="0022185E" w:rsidRDefault="0022185E" w:rsidP="0022185E">
      <w:pPr>
        <w:spacing w:after="19"/>
        <w:ind w:left="-5" w:right="505"/>
      </w:pPr>
      <w:r>
        <w:rPr>
          <w:i/>
        </w:rPr>
        <w:t>Solvarme</w:t>
      </w:r>
      <w:r>
        <w:rPr>
          <w:iCs/>
        </w:rPr>
        <w:br/>
      </w:r>
      <w:r>
        <w:t>Anlæg med solfanger større end 100 m</w:t>
      </w:r>
      <w:r w:rsidRPr="00D53AF9">
        <w:rPr>
          <w:vertAlign w:val="superscript"/>
        </w:rPr>
        <w:t>2</w:t>
      </w:r>
      <w:r>
        <w:t xml:space="preserve"> vil normalt være installeret på større bygninger, som har en driftsansvarlig, der kan tilse anlægget regelmæssigt. Desuden vil solvarme altid fungere som supplement til et primært varmeanlæg, der kan levere uanset vejrforholdene. Så hvis solvarmeanlæggets ydeevne forringes, skal det primære anlæg levere mere, og det vil afspejle sig i varmeomkostningerne set over en længere periode. </w:t>
      </w:r>
    </w:p>
    <w:p w:rsidR="0022185E" w:rsidRDefault="0022185E" w:rsidP="0022185E">
      <w:pPr>
        <w:spacing w:after="33"/>
      </w:pPr>
      <w:r>
        <w:t xml:space="preserve"> </w:t>
      </w:r>
    </w:p>
    <w:p w:rsidR="0022185E" w:rsidRDefault="0022185E" w:rsidP="0022185E">
      <w:pPr>
        <w:spacing w:after="120"/>
      </w:pPr>
      <w:r>
        <w:t xml:space="preserve">Endelig gælder ifølge DTU Byg, at de komponenter, der er mest relevante ifm.  eftersyn, også er de mest tilgængelige. Det drejer sig om den frostsikrede væske i anlægget, ekspansionsbeholder, ventiler, cirkulationspumpe og varmtvandsbeholder, som normalt alle kan inspiceres indendørs i et </w:t>
      </w:r>
      <w:proofErr w:type="spellStart"/>
      <w:r>
        <w:t>teknikrum</w:t>
      </w:r>
      <w:proofErr w:type="spellEnd"/>
      <w:r>
        <w:t xml:space="preserve"> eller lignende. Selve solfangeren er i mindre grad tilgængelig, men har typisk meget begrænset behov for service og lang levetid – op til 50 år.  </w:t>
      </w:r>
    </w:p>
    <w:p w:rsidR="0022185E" w:rsidRDefault="0022185E" w:rsidP="0022185E">
      <w:r>
        <w:t xml:space="preserve">På den baggrund vurderes det, at </w:t>
      </w:r>
      <w:r w:rsidRPr="00BF1F91">
        <w:rPr>
          <w:bCs/>
        </w:rPr>
        <w:t xml:space="preserve">75% af </w:t>
      </w:r>
      <w:r>
        <w:rPr>
          <w:bCs/>
        </w:rPr>
        <w:t xml:space="preserve">de relevante </w:t>
      </w:r>
      <w:r w:rsidRPr="00BF1F91">
        <w:rPr>
          <w:bCs/>
        </w:rPr>
        <w:t>solvarmeanlæg</w:t>
      </w:r>
      <w:r>
        <w:t xml:space="preserve"> er omfattet af tiltag svarende til, hvad der nævnes i stk. 2. </w:t>
      </w:r>
    </w:p>
    <w:p w:rsidR="0022185E" w:rsidRDefault="0022185E" w:rsidP="0022185E">
      <w:pPr>
        <w:ind w:left="-5" w:right="505"/>
        <w:rPr>
          <w:iCs/>
        </w:rPr>
      </w:pPr>
    </w:p>
    <w:p w:rsidR="0022185E" w:rsidRDefault="0022185E" w:rsidP="0022185E">
      <w:pPr>
        <w:rPr>
          <w:i/>
          <w:iCs/>
        </w:rPr>
      </w:pPr>
      <w:r>
        <w:rPr>
          <w:i/>
          <w:iCs/>
        </w:rPr>
        <w:t>Alt i alt vedr. stk. 2</w:t>
      </w:r>
    </w:p>
    <w:p w:rsidR="0022185E" w:rsidRDefault="0022185E" w:rsidP="0022185E">
      <w:pPr>
        <w:spacing w:after="120"/>
      </w:pPr>
      <w:r>
        <w:t>Når der tages højde for undtagelserne nævnt ovenfor, reduceres antallet af relevante anlæg og størrelsen af deres energiforbrug til dét, som fremgår af tabel 3 nedenfor.</w:t>
      </w:r>
    </w:p>
    <w:p w:rsidR="0022185E" w:rsidRPr="009A0397" w:rsidRDefault="0022185E" w:rsidP="0022185E">
      <w:pPr>
        <w:rPr>
          <w:bCs/>
          <w:iCs/>
          <w:sz w:val="18"/>
          <w:szCs w:val="18"/>
        </w:rPr>
      </w:pPr>
      <w:r w:rsidRPr="009A0397">
        <w:rPr>
          <w:b/>
          <w:iCs/>
          <w:sz w:val="18"/>
          <w:szCs w:val="18"/>
        </w:rPr>
        <w:t xml:space="preserve">Tabel </w:t>
      </w:r>
      <w:r>
        <w:rPr>
          <w:b/>
          <w:iCs/>
          <w:sz w:val="18"/>
          <w:szCs w:val="18"/>
        </w:rPr>
        <w:t>3</w:t>
      </w:r>
      <w:r w:rsidRPr="009A0397">
        <w:rPr>
          <w:bCs/>
          <w:iCs/>
          <w:sz w:val="18"/>
          <w:szCs w:val="18"/>
        </w:rPr>
        <w:t xml:space="preserve"> </w:t>
      </w:r>
      <w:r w:rsidRPr="009A0397">
        <w:rPr>
          <w:bCs/>
          <w:i/>
          <w:sz w:val="18"/>
          <w:szCs w:val="18"/>
        </w:rPr>
        <w:t xml:space="preserve">Estimat for antal relevante anlæg og deres </w:t>
      </w:r>
      <w:r>
        <w:rPr>
          <w:bCs/>
          <w:i/>
          <w:sz w:val="18"/>
          <w:szCs w:val="18"/>
        </w:rPr>
        <w:t>produktion (elforbrug for varmepumpers vedkommende)</w:t>
      </w:r>
      <w:r w:rsidRPr="009A0397">
        <w:rPr>
          <w:bCs/>
          <w:i/>
          <w:sz w:val="18"/>
          <w:szCs w:val="18"/>
        </w:rPr>
        <w:t>, når der tages højde for de undtagelser, som fremgår af artikel 14 stk.2</w:t>
      </w:r>
    </w:p>
    <w:tbl>
      <w:tblPr>
        <w:tblW w:w="4208" w:type="dxa"/>
        <w:tblInd w:w="60" w:type="dxa"/>
        <w:tblBorders>
          <w:insideH w:val="single" w:sz="4" w:space="0" w:color="auto"/>
        </w:tblBorders>
        <w:tblCellMar>
          <w:top w:w="48" w:type="dxa"/>
          <w:left w:w="69" w:type="dxa"/>
          <w:right w:w="20" w:type="dxa"/>
        </w:tblCellMar>
        <w:tblLook w:val="04A0" w:firstRow="1" w:lastRow="0" w:firstColumn="1" w:lastColumn="0" w:noHBand="0" w:noVBand="1"/>
      </w:tblPr>
      <w:tblGrid>
        <w:gridCol w:w="2153"/>
        <w:gridCol w:w="694"/>
        <w:gridCol w:w="1361"/>
      </w:tblGrid>
      <w:tr w:rsidR="0022185E" w:rsidRPr="006837F5" w:rsidTr="007C3342">
        <w:trPr>
          <w:trHeight w:val="298"/>
        </w:trPr>
        <w:tc>
          <w:tcPr>
            <w:tcW w:w="2153" w:type="dxa"/>
            <w:vAlign w:val="bottom"/>
          </w:tcPr>
          <w:p w:rsidR="0022185E" w:rsidRDefault="0022185E" w:rsidP="007C3342">
            <w:pPr>
              <w:jc w:val="right"/>
            </w:pPr>
            <w:r w:rsidRPr="009A0397">
              <w:rPr>
                <w:iCs/>
                <w:sz w:val="16"/>
                <w:szCs w:val="16"/>
              </w:rPr>
              <w:t>Antal [stk.]</w:t>
            </w:r>
          </w:p>
        </w:tc>
        <w:tc>
          <w:tcPr>
            <w:tcW w:w="694" w:type="dxa"/>
          </w:tcPr>
          <w:p w:rsidR="0022185E" w:rsidRDefault="0022185E" w:rsidP="007C3342">
            <w:pPr>
              <w:jc w:val="right"/>
            </w:pPr>
          </w:p>
        </w:tc>
        <w:tc>
          <w:tcPr>
            <w:tcW w:w="1361" w:type="dxa"/>
          </w:tcPr>
          <w:p w:rsidR="0022185E" w:rsidRDefault="0022185E" w:rsidP="007C3342">
            <w:pPr>
              <w:spacing w:line="200" w:lineRule="atLeast"/>
              <w:jc w:val="right"/>
              <w:rPr>
                <w:sz w:val="16"/>
                <w:szCs w:val="16"/>
              </w:rPr>
            </w:pPr>
            <w:r w:rsidRPr="006837F5">
              <w:rPr>
                <w:sz w:val="16"/>
                <w:szCs w:val="16"/>
              </w:rPr>
              <w:t>Varmeproduktion</w:t>
            </w:r>
            <w:r>
              <w:rPr>
                <w:sz w:val="16"/>
                <w:szCs w:val="16"/>
              </w:rPr>
              <w:t>/</w:t>
            </w:r>
          </w:p>
          <w:p w:rsidR="0022185E" w:rsidRPr="006837F5" w:rsidRDefault="0022185E" w:rsidP="007C3342">
            <w:pPr>
              <w:spacing w:line="200" w:lineRule="atLeast"/>
              <w:jc w:val="right"/>
              <w:rPr>
                <w:sz w:val="16"/>
                <w:szCs w:val="16"/>
              </w:rPr>
            </w:pPr>
            <w:r>
              <w:rPr>
                <w:sz w:val="16"/>
                <w:szCs w:val="16"/>
              </w:rPr>
              <w:t>elforbrug</w:t>
            </w:r>
            <w:r w:rsidRPr="006837F5">
              <w:rPr>
                <w:sz w:val="16"/>
                <w:szCs w:val="16"/>
              </w:rPr>
              <w:t xml:space="preserve"> [TJ/år]</w:t>
            </w:r>
          </w:p>
        </w:tc>
      </w:tr>
      <w:tr w:rsidR="0022185E" w:rsidRPr="009A0397" w:rsidTr="007C3342">
        <w:trPr>
          <w:trHeight w:val="298"/>
        </w:trPr>
        <w:tc>
          <w:tcPr>
            <w:tcW w:w="2153" w:type="dxa"/>
          </w:tcPr>
          <w:p w:rsidR="0022185E" w:rsidRPr="009A0397" w:rsidRDefault="0022185E" w:rsidP="007C3342">
            <w:r w:rsidRPr="009A0397">
              <w:t xml:space="preserve">Naturgaskedler </w:t>
            </w:r>
          </w:p>
        </w:tc>
        <w:tc>
          <w:tcPr>
            <w:tcW w:w="694" w:type="dxa"/>
          </w:tcPr>
          <w:p w:rsidR="0022185E" w:rsidRPr="009A0397" w:rsidRDefault="0022185E" w:rsidP="007C3342">
            <w:pPr>
              <w:jc w:val="right"/>
            </w:pPr>
            <w:r>
              <w:t>1.417</w:t>
            </w:r>
            <w:r w:rsidRPr="009A0397">
              <w:t xml:space="preserve"> </w:t>
            </w:r>
          </w:p>
        </w:tc>
        <w:tc>
          <w:tcPr>
            <w:tcW w:w="1361" w:type="dxa"/>
          </w:tcPr>
          <w:p w:rsidR="0022185E" w:rsidRPr="009A0397" w:rsidRDefault="0022185E" w:rsidP="007C3342">
            <w:pPr>
              <w:jc w:val="right"/>
            </w:pPr>
            <w:r>
              <w:t>1.236</w:t>
            </w:r>
            <w:r w:rsidRPr="009A0397">
              <w:t xml:space="preserve"> </w:t>
            </w:r>
          </w:p>
        </w:tc>
      </w:tr>
      <w:tr w:rsidR="0022185E" w:rsidRPr="009A0397" w:rsidTr="007C3342">
        <w:trPr>
          <w:trHeight w:val="298"/>
        </w:trPr>
        <w:tc>
          <w:tcPr>
            <w:tcW w:w="2153" w:type="dxa"/>
            <w:hideMark/>
          </w:tcPr>
          <w:p w:rsidR="0022185E" w:rsidRPr="009A0397" w:rsidRDefault="0022185E" w:rsidP="007C3342">
            <w:r w:rsidRPr="009A0397">
              <w:t xml:space="preserve">Oliekedler </w:t>
            </w:r>
          </w:p>
        </w:tc>
        <w:tc>
          <w:tcPr>
            <w:tcW w:w="694" w:type="dxa"/>
            <w:hideMark/>
          </w:tcPr>
          <w:p w:rsidR="0022185E" w:rsidRPr="009A0397" w:rsidRDefault="0022185E" w:rsidP="007C3342">
            <w:pPr>
              <w:jc w:val="right"/>
            </w:pPr>
            <w:r>
              <w:t>448</w:t>
            </w:r>
            <w:r w:rsidRPr="009A0397">
              <w:t xml:space="preserve"> </w:t>
            </w:r>
          </w:p>
        </w:tc>
        <w:tc>
          <w:tcPr>
            <w:tcW w:w="1361" w:type="dxa"/>
            <w:hideMark/>
          </w:tcPr>
          <w:p w:rsidR="0022185E" w:rsidRPr="009A0397" w:rsidRDefault="0022185E" w:rsidP="007C3342">
            <w:pPr>
              <w:jc w:val="right"/>
            </w:pPr>
            <w:r>
              <w:t>338</w:t>
            </w:r>
            <w:r w:rsidRPr="009A0397">
              <w:t xml:space="preserve"> </w:t>
            </w:r>
          </w:p>
        </w:tc>
      </w:tr>
      <w:tr w:rsidR="0022185E" w:rsidRPr="009A0397" w:rsidTr="007C3342">
        <w:trPr>
          <w:trHeight w:val="298"/>
        </w:trPr>
        <w:tc>
          <w:tcPr>
            <w:tcW w:w="2153" w:type="dxa"/>
          </w:tcPr>
          <w:p w:rsidR="0022185E" w:rsidRPr="009A0397" w:rsidRDefault="0022185E" w:rsidP="007C3342">
            <w:r w:rsidRPr="009A0397">
              <w:t xml:space="preserve">Varmepumper </w:t>
            </w:r>
          </w:p>
        </w:tc>
        <w:tc>
          <w:tcPr>
            <w:tcW w:w="694" w:type="dxa"/>
          </w:tcPr>
          <w:p w:rsidR="0022185E" w:rsidRPr="009A0397" w:rsidRDefault="0022185E" w:rsidP="007C3342">
            <w:pPr>
              <w:jc w:val="right"/>
            </w:pPr>
            <w:r>
              <w:t>311</w:t>
            </w:r>
            <w:r w:rsidRPr="009A0397">
              <w:t xml:space="preserve"> </w:t>
            </w:r>
          </w:p>
        </w:tc>
        <w:tc>
          <w:tcPr>
            <w:tcW w:w="1361" w:type="dxa"/>
          </w:tcPr>
          <w:p w:rsidR="0022185E" w:rsidRPr="009A0397" w:rsidRDefault="0022185E" w:rsidP="007C3342">
            <w:pPr>
              <w:jc w:val="right"/>
            </w:pPr>
            <w:r>
              <w:t>79</w:t>
            </w:r>
            <w:r w:rsidRPr="009A0397">
              <w:t xml:space="preserve"> </w:t>
            </w:r>
          </w:p>
        </w:tc>
      </w:tr>
      <w:tr w:rsidR="0022185E" w:rsidRPr="009A0397" w:rsidTr="007C3342">
        <w:trPr>
          <w:trHeight w:val="298"/>
        </w:trPr>
        <w:tc>
          <w:tcPr>
            <w:tcW w:w="2153" w:type="dxa"/>
          </w:tcPr>
          <w:p w:rsidR="0022185E" w:rsidRPr="009A0397" w:rsidRDefault="0022185E" w:rsidP="007C3342">
            <w:r w:rsidRPr="009A0397">
              <w:t xml:space="preserve">Elvarme </w:t>
            </w:r>
          </w:p>
        </w:tc>
        <w:tc>
          <w:tcPr>
            <w:tcW w:w="694" w:type="dxa"/>
          </w:tcPr>
          <w:p w:rsidR="0022185E" w:rsidRPr="009A0397" w:rsidRDefault="0022185E" w:rsidP="007C3342">
            <w:pPr>
              <w:jc w:val="right"/>
            </w:pPr>
            <w:r>
              <w:t>177</w:t>
            </w:r>
            <w:r w:rsidRPr="009A0397">
              <w:t xml:space="preserve"> </w:t>
            </w:r>
          </w:p>
        </w:tc>
        <w:tc>
          <w:tcPr>
            <w:tcW w:w="1361" w:type="dxa"/>
          </w:tcPr>
          <w:p w:rsidR="0022185E" w:rsidRPr="009A0397" w:rsidRDefault="0022185E" w:rsidP="007C3342">
            <w:pPr>
              <w:jc w:val="right"/>
            </w:pPr>
            <w:r>
              <w:t>123</w:t>
            </w:r>
            <w:r w:rsidRPr="009A0397">
              <w:t xml:space="preserve"> </w:t>
            </w:r>
          </w:p>
        </w:tc>
      </w:tr>
      <w:tr w:rsidR="0022185E" w:rsidRPr="009A0397" w:rsidTr="007C3342">
        <w:trPr>
          <w:trHeight w:val="298"/>
        </w:trPr>
        <w:tc>
          <w:tcPr>
            <w:tcW w:w="2153" w:type="dxa"/>
            <w:hideMark/>
          </w:tcPr>
          <w:p w:rsidR="0022185E" w:rsidRPr="009A0397" w:rsidRDefault="0022185E" w:rsidP="007C3342">
            <w:r w:rsidRPr="009A0397">
              <w:lastRenderedPageBreak/>
              <w:t>Kedler til fast brændsel</w:t>
            </w:r>
          </w:p>
        </w:tc>
        <w:tc>
          <w:tcPr>
            <w:tcW w:w="694" w:type="dxa"/>
            <w:hideMark/>
          </w:tcPr>
          <w:p w:rsidR="0022185E" w:rsidRPr="009A0397" w:rsidRDefault="0022185E" w:rsidP="007C3342">
            <w:pPr>
              <w:jc w:val="right"/>
            </w:pPr>
            <w:r>
              <w:t>92</w:t>
            </w:r>
            <w:r w:rsidRPr="009A0397">
              <w:t xml:space="preserve"> </w:t>
            </w:r>
          </w:p>
        </w:tc>
        <w:tc>
          <w:tcPr>
            <w:tcW w:w="1361" w:type="dxa"/>
            <w:hideMark/>
          </w:tcPr>
          <w:p w:rsidR="0022185E" w:rsidRPr="009A0397" w:rsidRDefault="0022185E" w:rsidP="007C3342">
            <w:pPr>
              <w:jc w:val="right"/>
            </w:pPr>
            <w:r>
              <w:t>62</w:t>
            </w:r>
            <w:r w:rsidRPr="009A0397">
              <w:t xml:space="preserve"> </w:t>
            </w:r>
          </w:p>
        </w:tc>
      </w:tr>
      <w:tr w:rsidR="0022185E" w:rsidRPr="009A0397" w:rsidTr="007C3342">
        <w:trPr>
          <w:trHeight w:val="300"/>
        </w:trPr>
        <w:tc>
          <w:tcPr>
            <w:tcW w:w="2153" w:type="dxa"/>
          </w:tcPr>
          <w:p w:rsidR="0022185E" w:rsidRPr="009A0397" w:rsidRDefault="0022185E" w:rsidP="007C3342">
            <w:r w:rsidRPr="009A0397">
              <w:t>Solvarmeanlæg</w:t>
            </w:r>
          </w:p>
        </w:tc>
        <w:tc>
          <w:tcPr>
            <w:tcW w:w="694" w:type="dxa"/>
          </w:tcPr>
          <w:p w:rsidR="0022185E" w:rsidRPr="009A0397" w:rsidRDefault="0022185E" w:rsidP="007C3342">
            <w:pPr>
              <w:jc w:val="right"/>
            </w:pPr>
            <w:r>
              <w:t>38</w:t>
            </w:r>
          </w:p>
        </w:tc>
        <w:tc>
          <w:tcPr>
            <w:tcW w:w="1361" w:type="dxa"/>
          </w:tcPr>
          <w:p w:rsidR="0022185E" w:rsidRPr="009A0397" w:rsidRDefault="0022185E" w:rsidP="007C3342">
            <w:pPr>
              <w:jc w:val="right"/>
            </w:pPr>
            <w:r>
              <w:t>11</w:t>
            </w:r>
          </w:p>
        </w:tc>
      </w:tr>
      <w:tr w:rsidR="0022185E" w:rsidRPr="009A0397" w:rsidTr="007C3342">
        <w:trPr>
          <w:trHeight w:val="300"/>
        </w:trPr>
        <w:tc>
          <w:tcPr>
            <w:tcW w:w="2153" w:type="dxa"/>
          </w:tcPr>
          <w:p w:rsidR="0022185E" w:rsidRPr="009A0397" w:rsidRDefault="0022185E" w:rsidP="007C3342"/>
        </w:tc>
        <w:tc>
          <w:tcPr>
            <w:tcW w:w="694" w:type="dxa"/>
          </w:tcPr>
          <w:p w:rsidR="0022185E" w:rsidRPr="009A0397" w:rsidRDefault="0022185E" w:rsidP="007C3342">
            <w:pPr>
              <w:jc w:val="right"/>
            </w:pPr>
            <w:r w:rsidRPr="009A0397">
              <w:rPr>
                <w:b/>
              </w:rPr>
              <w:t>2.</w:t>
            </w:r>
            <w:r>
              <w:rPr>
                <w:b/>
              </w:rPr>
              <w:t>482</w:t>
            </w:r>
          </w:p>
        </w:tc>
        <w:tc>
          <w:tcPr>
            <w:tcW w:w="1361" w:type="dxa"/>
          </w:tcPr>
          <w:p w:rsidR="0022185E" w:rsidRPr="009A0397" w:rsidRDefault="0022185E" w:rsidP="007C3342">
            <w:pPr>
              <w:jc w:val="right"/>
            </w:pPr>
            <w:r>
              <w:rPr>
                <w:b/>
              </w:rPr>
              <w:t>1</w:t>
            </w:r>
            <w:r w:rsidRPr="009A0397">
              <w:rPr>
                <w:b/>
              </w:rPr>
              <w:t>.</w:t>
            </w:r>
            <w:r>
              <w:rPr>
                <w:b/>
              </w:rPr>
              <w:t>848</w:t>
            </w:r>
          </w:p>
        </w:tc>
      </w:tr>
    </w:tbl>
    <w:p w:rsidR="0022185E" w:rsidRDefault="0022185E" w:rsidP="0022185E">
      <w:pPr>
        <w:spacing w:before="120" w:after="240"/>
      </w:pPr>
      <w:r>
        <w:t xml:space="preserve">Størrelsen af de relevante anlægs produktion (hhv. elforbrug for varmepumpers vedkommende) svarer til 2 % af al varmeproduktion i danske bygninger. Når fjernvarmens bidrag medregnes, udgør produktionen i de anlæg, som vil være omfattet af en ordning efter stk.1, kun 0,9 % af produktionen til opvarmning af bygninger i Danmark. </w:t>
      </w:r>
    </w:p>
    <w:p w:rsidR="0022185E" w:rsidRPr="00151880" w:rsidRDefault="0022185E" w:rsidP="0022185E">
      <w:pPr>
        <w:spacing w:after="120"/>
        <w:rPr>
          <w:i/>
          <w:iCs/>
        </w:rPr>
      </w:pPr>
      <w:r w:rsidRPr="00151880">
        <w:rPr>
          <w:i/>
          <w:iCs/>
        </w:rPr>
        <w:t>1</w:t>
      </w:r>
      <w:r>
        <w:rPr>
          <w:i/>
          <w:iCs/>
        </w:rPr>
        <w:t>c</w:t>
      </w:r>
      <w:r w:rsidRPr="00151880">
        <w:rPr>
          <w:i/>
          <w:iCs/>
        </w:rPr>
        <w:t>)</w:t>
      </w:r>
      <w:r w:rsidRPr="00151880">
        <w:rPr>
          <w:i/>
          <w:iCs/>
        </w:rPr>
        <w:br/>
      </w:r>
      <w:r>
        <w:rPr>
          <w:i/>
          <w:iCs/>
          <w:u w:val="single"/>
        </w:rPr>
        <w:t xml:space="preserve">Hvor effektiv ville en eftersynsordning ifølge stk. 1 være i Danmark? </w:t>
      </w:r>
    </w:p>
    <w:p w:rsidR="0022185E" w:rsidRPr="00071FD4" w:rsidRDefault="0022185E" w:rsidP="0022185E">
      <w:r w:rsidRPr="00071FD4">
        <w:rPr>
          <w:i/>
          <w:iCs/>
        </w:rPr>
        <w:t>Frekvens</w:t>
      </w:r>
      <w:r>
        <w:br/>
      </w:r>
      <w:r w:rsidRPr="00071FD4">
        <w:t>Kommissionen har tidligere udmeldt, at ”</w:t>
      </w:r>
      <w:r w:rsidRPr="00071FD4">
        <w:rPr>
          <w:i/>
        </w:rPr>
        <w:t>regelmæssige</w:t>
      </w:r>
      <w:r w:rsidRPr="00071FD4">
        <w:t>” eftersyn betyder mindst et eftersyn i et varmeanlægs leve</w:t>
      </w:r>
      <w:r>
        <w:t>tid</w:t>
      </w:r>
      <w:r w:rsidRPr="00071FD4">
        <w:t xml:space="preserve">. </w:t>
      </w:r>
      <w:r>
        <w:t xml:space="preserve">Hvis en </w:t>
      </w:r>
      <w:r w:rsidRPr="00071FD4">
        <w:t>eftersynsordning skulle implementeres i Danmark</w:t>
      </w:r>
      <w:r>
        <w:t>,</w:t>
      </w:r>
      <w:r w:rsidRPr="00071FD4">
        <w:t xml:space="preserve"> ville </w:t>
      </w:r>
      <w:r>
        <w:t xml:space="preserve">erfaring fra tilsvarende ordninger med ringe effekt og dårlig omkostningseffektivitet, jf. nedenfor, tilskynde til </w:t>
      </w:r>
      <w:r w:rsidRPr="00071FD4">
        <w:t>færrest mulige lovpligtige eftersyn</w:t>
      </w:r>
      <w:r>
        <w:t>.</w:t>
      </w:r>
      <w:r>
        <w:br/>
        <w:t>Et varmeanlægs levetid er typisk 15-20 år. I effektberegningen nedenfor antages det derfor, at antallet af eftersyn hvert år svarer til 1/15 af antallet af relevante anlæg.</w:t>
      </w:r>
    </w:p>
    <w:p w:rsidR="0022185E" w:rsidRDefault="0022185E" w:rsidP="0022185E">
      <w:pPr>
        <w:rPr>
          <w:i/>
          <w:iCs/>
        </w:rPr>
      </w:pPr>
      <w:r>
        <w:rPr>
          <w:i/>
          <w:iCs/>
        </w:rPr>
        <w:t>Erfaring med obligatoriske kedeleftersyn</w:t>
      </w:r>
    </w:p>
    <w:p w:rsidR="0022185E" w:rsidRPr="00254C92" w:rsidRDefault="0022185E" w:rsidP="0022185E">
      <w:pPr>
        <w:spacing w:after="120"/>
      </w:pPr>
      <w:r>
        <w:t>Fra</w:t>
      </w:r>
      <w:r w:rsidRPr="00254C92">
        <w:t xml:space="preserve"> 1. februar 2011 til 1. juni 2013 </w:t>
      </w:r>
      <w:r>
        <w:t xml:space="preserve">var det i Danmark pålagt </w:t>
      </w:r>
      <w:r w:rsidRPr="00254C92">
        <w:t xml:space="preserve">ejere af oliefyrede kedelanlæg </w:t>
      </w:r>
      <w:r>
        <w:t xml:space="preserve">at få udført en </w:t>
      </w:r>
      <w:r w:rsidRPr="00254C92">
        <w:t>energimåling</w:t>
      </w:r>
      <w:r>
        <w:t xml:space="preserve"> mindst en gang om året</w:t>
      </w:r>
      <w:r w:rsidRPr="00254C92">
        <w:t xml:space="preserve">, </w:t>
      </w:r>
      <w:r>
        <w:t xml:space="preserve">uanset anlæggets størrelse, </w:t>
      </w:r>
      <w:r w:rsidRPr="00254C92">
        <w:t>jf. bekendtgørelse nr. 62 af 27. januar 2011</w:t>
      </w:r>
      <w:r>
        <w:t xml:space="preserve">. </w:t>
      </w:r>
      <w:r w:rsidRPr="00254C92">
        <w:t>Ordningen ophørte</w:t>
      </w:r>
      <w:r>
        <w:t xml:space="preserve">, fordi den ikke kom til at </w:t>
      </w:r>
      <w:r w:rsidRPr="00254C92">
        <w:t xml:space="preserve">fungere efter hensigten.  </w:t>
      </w:r>
    </w:p>
    <w:p w:rsidR="0022185E" w:rsidRDefault="0022185E" w:rsidP="0022185E">
      <w:r w:rsidRPr="00254C92">
        <w:t>Hensigten var</w:t>
      </w:r>
      <w:r>
        <w:t xml:space="preserve"> at identificere </w:t>
      </w:r>
      <w:r w:rsidRPr="00254C92">
        <w:t>ineffektive kedelanlæg</w:t>
      </w:r>
      <w:r>
        <w:t xml:space="preserve"> med henblik på efterfølgende opfølgning i form af vejledning til kedelejer </w:t>
      </w:r>
      <w:r w:rsidRPr="00254C92">
        <w:t xml:space="preserve">om </w:t>
      </w:r>
      <w:r>
        <w:t>forbedringsmuligheder. Den opfølgende indsats blev imidlertid aldrig implementeret, fordi det viste sig, at ejerne allerede i vidt omfang fik den fornødne vejledning via frivillige ordninger, så der i praksis kun var ret få ineffektive anlæg. Omkostningseffektiviteten i målinger og opfølgende indsats ville derfor være blevet meget lav.</w:t>
      </w:r>
    </w:p>
    <w:p w:rsidR="0022185E" w:rsidRDefault="0022185E" w:rsidP="0022185E">
      <w:pPr>
        <w:rPr>
          <w:i/>
          <w:iCs/>
        </w:rPr>
      </w:pPr>
      <w:bookmarkStart w:id="5" w:name="_Hlk133175864"/>
      <w:r>
        <w:rPr>
          <w:i/>
          <w:iCs/>
        </w:rPr>
        <w:t>Erfaring med obligatoriske eftersyn af ventilationsanlæg</w:t>
      </w:r>
    </w:p>
    <w:bookmarkEnd w:id="5"/>
    <w:p w:rsidR="0022185E" w:rsidRDefault="0022185E" w:rsidP="0022185E">
      <w:pPr>
        <w:spacing w:after="120"/>
      </w:pPr>
      <w:r w:rsidRPr="00637A85">
        <w:t xml:space="preserve">Med baggrund i EU’s bygningsdirektiv </w:t>
      </w:r>
      <w:r>
        <w:t xml:space="preserve">var det fra </w:t>
      </w:r>
      <w:r w:rsidRPr="00637A85">
        <w:t>1. januar 2008</w:t>
      </w:r>
      <w:r>
        <w:t xml:space="preserve"> til 31. december</w:t>
      </w:r>
      <w:r w:rsidRPr="00637A85">
        <w:t xml:space="preserve"> 201</w:t>
      </w:r>
      <w:r>
        <w:t>4</w:t>
      </w:r>
      <w:r w:rsidRPr="00637A85">
        <w:t xml:space="preserve"> </w:t>
      </w:r>
      <w:r>
        <w:t>pålagt e</w:t>
      </w:r>
      <w:r w:rsidRPr="00637A85">
        <w:t xml:space="preserve">jere af ventilations- og klimaanlæg med kapacitet over 5 kW </w:t>
      </w:r>
      <w:r>
        <w:t xml:space="preserve">at få efterset anlæggene mindst </w:t>
      </w:r>
      <w:r w:rsidRPr="00637A85">
        <w:t xml:space="preserve">hvert 5. år. </w:t>
      </w:r>
    </w:p>
    <w:p w:rsidR="0022185E" w:rsidRPr="00637A85" w:rsidRDefault="0022185E" w:rsidP="0022185E">
      <w:pPr>
        <w:spacing w:after="120"/>
      </w:pPr>
      <w:r>
        <w:t xml:space="preserve">Før ordningen trådte i kraft, blev det </w:t>
      </w:r>
      <w:r w:rsidRPr="00637A85">
        <w:t>vurderet, at 45.000 anlæg ville være omfattet</w:t>
      </w:r>
      <w:r>
        <w:t>.</w:t>
      </w:r>
      <w:r w:rsidRPr="00637A85">
        <w:t xml:space="preserve"> Ved udgangen af 2012, hvor alle omfattede anlæg burde </w:t>
      </w:r>
      <w:r>
        <w:t xml:space="preserve">være blevet efterset, </w:t>
      </w:r>
      <w:r w:rsidRPr="00637A85">
        <w:t>var der imidlertid kun gennemført ca. 6.000 eftersyn, svarende til en efterlevelsesgrad på 13</w:t>
      </w:r>
      <w:r>
        <w:t xml:space="preserve"> </w:t>
      </w:r>
      <w:r w:rsidRPr="00637A85">
        <w:t xml:space="preserve">%. </w:t>
      </w:r>
    </w:p>
    <w:p w:rsidR="0022185E" w:rsidRDefault="0022185E" w:rsidP="0022185E">
      <w:pPr>
        <w:spacing w:after="120"/>
      </w:pPr>
      <w:r w:rsidRPr="00637A85">
        <w:t>Det blev derudover vurderet</w:t>
      </w:r>
      <w:r>
        <w:t>,</w:t>
      </w:r>
      <w:r w:rsidRPr="00637A85">
        <w:t xml:space="preserve"> at ordningen havde meget beskeden effekt </w:t>
      </w:r>
      <w:r>
        <w:t xml:space="preserve">ift. </w:t>
      </w:r>
      <w:r w:rsidRPr="00637A85">
        <w:t xml:space="preserve">fremme </w:t>
      </w:r>
      <w:r>
        <w:t xml:space="preserve">af </w:t>
      </w:r>
      <w:r w:rsidRPr="00637A85">
        <w:t xml:space="preserve">energieffektivitet, og at det ville være kompliceret og omkostningsfuldt at omlægge </w:t>
      </w:r>
      <w:r>
        <w:t xml:space="preserve">den </w:t>
      </w:r>
      <w:r w:rsidRPr="00637A85">
        <w:t xml:space="preserve">med henblik på </w:t>
      </w:r>
      <w:r>
        <w:t xml:space="preserve">mere </w:t>
      </w:r>
      <w:r w:rsidRPr="00637A85">
        <w:t xml:space="preserve">efterlevelse. </w:t>
      </w:r>
    </w:p>
    <w:p w:rsidR="0022185E" w:rsidRDefault="0022185E" w:rsidP="0022185E">
      <w:r w:rsidRPr="00637A85">
        <w:t xml:space="preserve">Der blev der peget på en række </w:t>
      </w:r>
      <w:r>
        <w:t>årsager, som også ville være relevante ift. en eftersynsordning ifølge stk. 1:</w:t>
      </w:r>
    </w:p>
    <w:p w:rsidR="0022185E" w:rsidRDefault="0022185E" w:rsidP="0022185E">
      <w:pPr>
        <w:pStyle w:val="Listeafsnit"/>
        <w:numPr>
          <w:ilvl w:val="0"/>
          <w:numId w:val="2"/>
        </w:numPr>
        <w:ind w:left="284" w:hanging="284"/>
      </w:pPr>
      <w:r>
        <w:t>Mange b</w:t>
      </w:r>
      <w:r w:rsidRPr="00637A85">
        <w:t>ygningsejere oplevede</w:t>
      </w:r>
      <w:r>
        <w:t xml:space="preserve">, at </w:t>
      </w:r>
      <w:r w:rsidRPr="00637A85">
        <w:t xml:space="preserve">de </w:t>
      </w:r>
      <w:r>
        <w:t xml:space="preserve">i vidt omfang modtog samme rådgivning via den obligatoriske eftersynsordning og den </w:t>
      </w:r>
      <w:r w:rsidRPr="00637A85">
        <w:t>obligatoriske energimærkningsordning for bygninger</w:t>
      </w:r>
      <w:r>
        <w:t xml:space="preserve">. Derfor havde de </w:t>
      </w:r>
      <w:r w:rsidRPr="00637A85">
        <w:t xml:space="preserve">svært ved at se merværdien </w:t>
      </w:r>
      <w:r>
        <w:t>af førstnævnte.</w:t>
      </w:r>
    </w:p>
    <w:p w:rsidR="0022185E" w:rsidRPr="00637A85" w:rsidRDefault="0022185E" w:rsidP="0022185E">
      <w:pPr>
        <w:pStyle w:val="Listeafsnit"/>
        <w:numPr>
          <w:ilvl w:val="0"/>
          <w:numId w:val="2"/>
        </w:numPr>
        <w:ind w:left="284" w:hanging="284"/>
      </w:pPr>
      <w:r>
        <w:lastRenderedPageBreak/>
        <w:t>E</w:t>
      </w:r>
      <w:r w:rsidRPr="00637A85">
        <w:t xml:space="preserve">ftersynsordningens anbefalinger blev kritiseret for at være for vanskelige at omsætte til konkrete energibesparelser. </w:t>
      </w:r>
    </w:p>
    <w:p w:rsidR="0022185E" w:rsidRPr="00637A85" w:rsidRDefault="0022185E" w:rsidP="0022185E">
      <w:pPr>
        <w:pStyle w:val="Listeafsnit"/>
        <w:numPr>
          <w:ilvl w:val="0"/>
          <w:numId w:val="2"/>
        </w:numPr>
        <w:spacing w:after="120"/>
        <w:ind w:left="284" w:hanging="284"/>
      </w:pPr>
      <w:r w:rsidRPr="00637A85">
        <w:t xml:space="preserve">Ventilationsanlæg </w:t>
      </w:r>
      <w:r>
        <w:t xml:space="preserve">har ikke </w:t>
      </w:r>
      <w:r w:rsidRPr="00637A85">
        <w:t>den store bevågenhed hos bygningsejere</w:t>
      </w:r>
      <w:r>
        <w:t>, og kun ganske få af eftersynsordningen anbefalinger vedr. øget energieffektivitet blev gennemført i praksis. Ordningens effekt var derfor meget begrænset.</w:t>
      </w:r>
      <w:r w:rsidRPr="00637A85">
        <w:t xml:space="preserve"> </w:t>
      </w:r>
    </w:p>
    <w:p w:rsidR="0022185E" w:rsidRDefault="0022185E" w:rsidP="0022185E">
      <w:r>
        <w:t xml:space="preserve">I effektberegningen nedenfor antages </w:t>
      </w:r>
      <w:r w:rsidRPr="00637A85">
        <w:t xml:space="preserve">det, at en eftersynsordning </w:t>
      </w:r>
      <w:r>
        <w:t>ifølge stk. 1 ville opnå en efterlevelsesgrad på 75 %. På baggrund af ovennævnte erfaringer må det formodes, at den i praksis ville være væsentligt lavere.</w:t>
      </w:r>
    </w:p>
    <w:p w:rsidR="0022185E" w:rsidRPr="00B442CF" w:rsidRDefault="0022185E" w:rsidP="0022185E">
      <w:r w:rsidRPr="00B442CF">
        <w:rPr>
          <w:i/>
          <w:iCs/>
        </w:rPr>
        <w:t xml:space="preserve">Erfaring med </w:t>
      </w:r>
      <w:r>
        <w:rPr>
          <w:i/>
          <w:iCs/>
        </w:rPr>
        <w:t>energimærkningsordning for bygninger</w:t>
      </w:r>
      <w:r>
        <w:rPr>
          <w:i/>
          <w:iCs/>
        </w:rPr>
        <w:br/>
      </w:r>
      <w:r>
        <w:t xml:space="preserve">Det er selvsagt afgørende for en eftersynsordnings effekt, om de eftersete anlæg bliver mere energieffektive, fordi de anbefalede tiltag gennemføres. </w:t>
      </w:r>
    </w:p>
    <w:p w:rsidR="0022185E" w:rsidRDefault="0022185E" w:rsidP="0022185E">
      <w:pPr>
        <w:spacing w:after="120"/>
      </w:pPr>
      <w:r w:rsidRPr="00B442CF">
        <w:t xml:space="preserve">Der findes ikke undersøgelser, </w:t>
      </w:r>
      <w:r>
        <w:t xml:space="preserve">som viser, i hvilket omfang obligatoriske eftersyn af varme- og ventilationsanlæg fører til energibesparelser. Men </w:t>
      </w:r>
      <w:r w:rsidRPr="00B442CF">
        <w:t xml:space="preserve">i Danmark </w:t>
      </w:r>
      <w:r>
        <w:t xml:space="preserve">er effekten af en parallel obligatorisk eftersynsordning blevet undersøgt, nemlig den obligatoriske </w:t>
      </w:r>
      <w:r w:rsidRPr="00B442CF">
        <w:t>energimærkning af bygninger</w:t>
      </w:r>
      <w:r w:rsidRPr="00B442CF">
        <w:rPr>
          <w:vertAlign w:val="superscript"/>
        </w:rPr>
        <w:footnoteReference w:id="2"/>
      </w:r>
      <w:r>
        <w:t xml:space="preserve">, hvor også kun eftersyn er obligatorisk, mens implementering af de anbefalede tiltag er frivillig. </w:t>
      </w:r>
      <w:r w:rsidRPr="00B442CF">
        <w:t xml:space="preserve">Undersøgelsen </w:t>
      </w:r>
      <w:r>
        <w:t>indikerer</w:t>
      </w:r>
      <w:r w:rsidRPr="00B442CF">
        <w:t xml:space="preserve">, at mærkningen reducerer energiforbruget med ca. </w:t>
      </w:r>
      <w:r w:rsidRPr="00B442CF">
        <w:rPr>
          <w:bCs/>
        </w:rPr>
        <w:t>2%</w:t>
      </w:r>
      <w:r>
        <w:t xml:space="preserve">, men effekten ligger inden for den </w:t>
      </w:r>
      <w:r w:rsidRPr="00B442CF">
        <w:t>statistisk</w:t>
      </w:r>
      <w:r>
        <w:t xml:space="preserve">e usikkerhed. På det grundlag kan det ikke afvises, </w:t>
      </w:r>
      <w:r w:rsidRPr="00B442CF">
        <w:t>at mærkningsordningen</w:t>
      </w:r>
      <w:r>
        <w:t xml:space="preserve"> er uden målbar effekt </w:t>
      </w:r>
      <w:r w:rsidRPr="00B442CF">
        <w:t>på energiforbruget.</w:t>
      </w:r>
    </w:p>
    <w:p w:rsidR="0022185E" w:rsidRPr="00B442CF" w:rsidRDefault="0022185E" w:rsidP="0022185E">
      <w:pPr>
        <w:spacing w:after="120"/>
      </w:pPr>
      <w:r>
        <w:t xml:space="preserve">Den nævnte undersøgelse omfatter </w:t>
      </w:r>
      <w:r w:rsidRPr="00B442CF">
        <w:t xml:space="preserve">ca. 6.000 boliger, hvoraf nogle </w:t>
      </w:r>
      <w:r>
        <w:t xml:space="preserve">fik </w:t>
      </w:r>
      <w:r w:rsidRPr="00B442CF">
        <w:t xml:space="preserve">gennemført energimærkning, </w:t>
      </w:r>
      <w:r>
        <w:t>mens a</w:t>
      </w:r>
      <w:r w:rsidRPr="00B442CF">
        <w:t xml:space="preserve">ndre ikke </w:t>
      </w:r>
      <w:r>
        <w:t xml:space="preserve">gjorde. </w:t>
      </w:r>
      <w:r w:rsidRPr="00B442CF">
        <w:t xml:space="preserve">Forbruget </w:t>
      </w:r>
      <w:r>
        <w:t xml:space="preserve">blev </w:t>
      </w:r>
      <w:r w:rsidRPr="00B442CF">
        <w:t xml:space="preserve">målt flere gange i perioden </w:t>
      </w:r>
      <w:r>
        <w:t xml:space="preserve">fra </w:t>
      </w:r>
      <w:r w:rsidRPr="00B442CF">
        <w:t xml:space="preserve">1999 til 2002, </w:t>
      </w:r>
      <w:r>
        <w:t xml:space="preserve">så </w:t>
      </w:r>
      <w:r w:rsidRPr="00B442CF">
        <w:t xml:space="preserve">energiforbrug før og efter energimærkning </w:t>
      </w:r>
      <w:r>
        <w:t xml:space="preserve">kunne observeres og sammenholdes med </w:t>
      </w:r>
      <w:r w:rsidRPr="00B442CF">
        <w:t xml:space="preserve">udviklingen i </w:t>
      </w:r>
      <w:r>
        <w:t xml:space="preserve">bygninger uden energimærke. </w:t>
      </w:r>
      <w:r w:rsidRPr="00B442CF">
        <w:t xml:space="preserve"> </w:t>
      </w:r>
      <w:r>
        <w:t xml:space="preserve">De nævnte </w:t>
      </w:r>
      <w:r w:rsidRPr="00B442CF">
        <w:t>forbrug</w:t>
      </w:r>
      <w:r>
        <w:t xml:space="preserve"> blev </w:t>
      </w:r>
      <w:r w:rsidRPr="00B442CF">
        <w:t xml:space="preserve">desuden kontrolleret for karakteristika ved </w:t>
      </w:r>
      <w:r>
        <w:t>bygningerne</w:t>
      </w:r>
      <w:r w:rsidRPr="00B442CF">
        <w:t xml:space="preserve"> og beboerne.  </w:t>
      </w:r>
    </w:p>
    <w:p w:rsidR="0022185E" w:rsidRDefault="0022185E" w:rsidP="0022185E">
      <w:r>
        <w:t>M</w:t>
      </w:r>
      <w:r w:rsidRPr="00B442CF">
        <w:t xml:space="preserve">ærkningsordningen </w:t>
      </w:r>
      <w:r>
        <w:t xml:space="preserve">for bygninger har som nævnt </w:t>
      </w:r>
      <w:r w:rsidRPr="00B442CF">
        <w:t>de samme grundlæggende egenskaber</w:t>
      </w:r>
      <w:r>
        <w:t xml:space="preserve"> som en eftersynsordning ifølge stk. 1, nemlig </w:t>
      </w:r>
      <w:r w:rsidRPr="00B442CF">
        <w:t xml:space="preserve">tvungne eftersyn </w:t>
      </w:r>
      <w:r>
        <w:t xml:space="preserve">men </w:t>
      </w:r>
      <w:r w:rsidRPr="00B442CF">
        <w:t>frivillig</w:t>
      </w:r>
      <w:r>
        <w:t xml:space="preserve"> implementering af de forbedrings</w:t>
      </w:r>
      <w:r w:rsidRPr="00B442CF">
        <w:t>forslag</w:t>
      </w:r>
      <w:r>
        <w:t>, som fremkommer ved et eftersyn</w:t>
      </w:r>
      <w:r w:rsidRPr="00B442CF">
        <w:t>.</w:t>
      </w:r>
    </w:p>
    <w:p w:rsidR="0022185E" w:rsidRPr="00B442CF" w:rsidRDefault="0022185E" w:rsidP="0022185E">
      <w:pPr>
        <w:spacing w:after="240"/>
      </w:pPr>
      <w:r w:rsidRPr="0076367F">
        <w:t xml:space="preserve">I effektberegningen nedenfor antages </w:t>
      </w:r>
      <w:r w:rsidRPr="00637A85">
        <w:t>det</w:t>
      </w:r>
      <w:r>
        <w:t xml:space="preserve"> derfor</w:t>
      </w:r>
      <w:r w:rsidRPr="00637A85">
        <w:t xml:space="preserve">, at eftersyn </w:t>
      </w:r>
      <w:r w:rsidRPr="0076367F">
        <w:t xml:space="preserve">ifølge stk. 1 ville </w:t>
      </w:r>
      <w:r>
        <w:t xml:space="preserve">medføre forbedret energieffektivitet svarende til </w:t>
      </w:r>
      <w:r w:rsidRPr="00B442CF">
        <w:rPr>
          <w:bCs/>
        </w:rPr>
        <w:t>2</w:t>
      </w:r>
      <w:r>
        <w:rPr>
          <w:bCs/>
        </w:rPr>
        <w:t xml:space="preserve"> </w:t>
      </w:r>
      <w:r w:rsidRPr="00B442CF">
        <w:rPr>
          <w:bCs/>
        </w:rPr>
        <w:t>%</w:t>
      </w:r>
      <w:r w:rsidRPr="00B442CF">
        <w:t xml:space="preserve"> </w:t>
      </w:r>
      <w:r>
        <w:t>af varmeproduktionen.</w:t>
      </w:r>
      <w:r>
        <w:br/>
        <w:t xml:space="preserve">I praksis vil forbedringerne være mere beskedne, fordi der som før nævnt allerede gennemføres frivillige eftersyn i ret stort omfang, hvilket ikke gælder tilsvarende for energimærkning af bygninger. </w:t>
      </w:r>
    </w:p>
    <w:p w:rsidR="0022185E" w:rsidRDefault="0022185E" w:rsidP="0022185E">
      <w:pPr>
        <w:spacing w:after="120"/>
        <w:rPr>
          <w:i/>
          <w:iCs/>
        </w:rPr>
      </w:pPr>
      <w:r w:rsidRPr="00151880">
        <w:rPr>
          <w:i/>
          <w:iCs/>
        </w:rPr>
        <w:t>1</w:t>
      </w:r>
      <w:r>
        <w:rPr>
          <w:i/>
          <w:iCs/>
        </w:rPr>
        <w:t>d</w:t>
      </w:r>
      <w:r w:rsidRPr="00151880">
        <w:rPr>
          <w:i/>
          <w:iCs/>
        </w:rPr>
        <w:t>)</w:t>
      </w:r>
    </w:p>
    <w:p w:rsidR="0022185E" w:rsidRPr="00151880" w:rsidRDefault="0022185E" w:rsidP="0022185E">
      <w:pPr>
        <w:spacing w:after="120"/>
        <w:rPr>
          <w:i/>
          <w:iCs/>
        </w:rPr>
      </w:pPr>
      <w:r>
        <w:rPr>
          <w:i/>
          <w:iCs/>
          <w:u w:val="single"/>
        </w:rPr>
        <w:t xml:space="preserve">Beregnet effekt af en eftersynsordning ifølge stk. 1 </w:t>
      </w:r>
    </w:p>
    <w:p w:rsidR="0022185E" w:rsidRDefault="0022185E" w:rsidP="0022185E">
      <w:pPr>
        <w:spacing w:after="120"/>
      </w:pPr>
      <w:r w:rsidRPr="00EE7780">
        <w:t xml:space="preserve">Med de antagelser </w:t>
      </w:r>
      <w:r>
        <w:t xml:space="preserve">vedr. frekvens, </w:t>
      </w:r>
      <w:r w:rsidRPr="00EE7780">
        <w:t xml:space="preserve">efterlevelsesgrad </w:t>
      </w:r>
      <w:r>
        <w:t>og forbedring af energieffektivitet, som er begrundet ovenfor, vil effekten af en eftersynsordning ifølge stk. 1 være som angivet i tabel 4 nedenfor.</w:t>
      </w:r>
    </w:p>
    <w:p w:rsidR="0022185E" w:rsidRPr="009A0397" w:rsidRDefault="0022185E" w:rsidP="0022185E">
      <w:pPr>
        <w:rPr>
          <w:bCs/>
          <w:iCs/>
          <w:sz w:val="18"/>
          <w:szCs w:val="18"/>
        </w:rPr>
      </w:pPr>
      <w:r w:rsidRPr="009A0397">
        <w:rPr>
          <w:b/>
          <w:iCs/>
          <w:sz w:val="18"/>
          <w:szCs w:val="18"/>
        </w:rPr>
        <w:t xml:space="preserve">Tabel </w:t>
      </w:r>
      <w:r>
        <w:rPr>
          <w:b/>
          <w:iCs/>
          <w:sz w:val="18"/>
          <w:szCs w:val="18"/>
        </w:rPr>
        <w:t>3</w:t>
      </w:r>
      <w:r w:rsidRPr="009A0397">
        <w:rPr>
          <w:bCs/>
          <w:iCs/>
          <w:sz w:val="18"/>
          <w:szCs w:val="18"/>
        </w:rPr>
        <w:t xml:space="preserve"> </w:t>
      </w:r>
      <w:r w:rsidRPr="00077926">
        <w:rPr>
          <w:bCs/>
          <w:i/>
          <w:sz w:val="18"/>
          <w:szCs w:val="18"/>
        </w:rPr>
        <w:t>Beregnet effekt af en eftersynsordning ifølge stk. 1</w:t>
      </w:r>
    </w:p>
    <w:tbl>
      <w:tblPr>
        <w:tblW w:w="2834" w:type="dxa"/>
        <w:tblInd w:w="60" w:type="dxa"/>
        <w:tblBorders>
          <w:insideH w:val="single" w:sz="4" w:space="0" w:color="auto"/>
        </w:tblBorders>
        <w:tblCellMar>
          <w:top w:w="48" w:type="dxa"/>
          <w:left w:w="69" w:type="dxa"/>
          <w:right w:w="20" w:type="dxa"/>
        </w:tblCellMar>
        <w:tblLook w:val="04A0" w:firstRow="1" w:lastRow="0" w:firstColumn="1" w:lastColumn="0" w:noHBand="0" w:noVBand="1"/>
      </w:tblPr>
      <w:tblGrid>
        <w:gridCol w:w="2154"/>
        <w:gridCol w:w="680"/>
      </w:tblGrid>
      <w:tr w:rsidR="0022185E" w:rsidRPr="006837F5" w:rsidTr="007C3342">
        <w:trPr>
          <w:trHeight w:val="298"/>
        </w:trPr>
        <w:tc>
          <w:tcPr>
            <w:tcW w:w="2834" w:type="dxa"/>
            <w:gridSpan w:val="2"/>
            <w:vAlign w:val="bottom"/>
          </w:tcPr>
          <w:p w:rsidR="0022185E" w:rsidRDefault="0022185E" w:rsidP="007C3342">
            <w:pPr>
              <w:jc w:val="right"/>
            </w:pPr>
            <w:r>
              <w:rPr>
                <w:iCs/>
                <w:sz w:val="16"/>
                <w:szCs w:val="16"/>
              </w:rPr>
              <w:t>Energibesparelse</w:t>
            </w:r>
            <w:r w:rsidRPr="009A0397">
              <w:rPr>
                <w:iCs/>
                <w:sz w:val="16"/>
                <w:szCs w:val="16"/>
              </w:rPr>
              <w:t xml:space="preserve"> [</w:t>
            </w:r>
            <w:r>
              <w:rPr>
                <w:iCs/>
                <w:sz w:val="16"/>
                <w:szCs w:val="16"/>
              </w:rPr>
              <w:t>TJ/år</w:t>
            </w:r>
            <w:r w:rsidRPr="009A0397">
              <w:rPr>
                <w:iCs/>
                <w:sz w:val="16"/>
                <w:szCs w:val="16"/>
              </w:rPr>
              <w:t>]</w:t>
            </w:r>
          </w:p>
        </w:tc>
      </w:tr>
      <w:tr w:rsidR="0022185E" w:rsidRPr="009A0397" w:rsidTr="007C3342">
        <w:trPr>
          <w:trHeight w:val="298"/>
        </w:trPr>
        <w:tc>
          <w:tcPr>
            <w:tcW w:w="2154" w:type="dxa"/>
          </w:tcPr>
          <w:p w:rsidR="0022185E" w:rsidRPr="009A0397" w:rsidRDefault="0022185E" w:rsidP="007C3342">
            <w:r w:rsidRPr="009A0397">
              <w:t xml:space="preserve">Naturgaskedler </w:t>
            </w:r>
          </w:p>
        </w:tc>
        <w:tc>
          <w:tcPr>
            <w:tcW w:w="680" w:type="dxa"/>
            <w:vAlign w:val="bottom"/>
          </w:tcPr>
          <w:p w:rsidR="0022185E" w:rsidRPr="009A0397" w:rsidRDefault="0022185E" w:rsidP="007C3342">
            <w:pPr>
              <w:jc w:val="right"/>
            </w:pPr>
            <w:r>
              <w:rPr>
                <w:rFonts w:ascii="Calibri" w:hAnsi="Calibri" w:cs="Calibri"/>
                <w:color w:val="000000"/>
              </w:rPr>
              <w:t>1,24</w:t>
            </w:r>
          </w:p>
        </w:tc>
      </w:tr>
      <w:tr w:rsidR="0022185E" w:rsidRPr="009A0397" w:rsidTr="007C3342">
        <w:trPr>
          <w:trHeight w:val="298"/>
        </w:trPr>
        <w:tc>
          <w:tcPr>
            <w:tcW w:w="2154" w:type="dxa"/>
            <w:hideMark/>
          </w:tcPr>
          <w:p w:rsidR="0022185E" w:rsidRPr="009A0397" w:rsidRDefault="0022185E" w:rsidP="007C3342">
            <w:r w:rsidRPr="009A0397">
              <w:lastRenderedPageBreak/>
              <w:t xml:space="preserve">Oliekedler </w:t>
            </w:r>
          </w:p>
        </w:tc>
        <w:tc>
          <w:tcPr>
            <w:tcW w:w="680" w:type="dxa"/>
            <w:vAlign w:val="bottom"/>
            <w:hideMark/>
          </w:tcPr>
          <w:p w:rsidR="0022185E" w:rsidRPr="009A0397" w:rsidRDefault="0022185E" w:rsidP="007C3342">
            <w:pPr>
              <w:jc w:val="right"/>
            </w:pPr>
            <w:r>
              <w:rPr>
                <w:rFonts w:ascii="Calibri" w:hAnsi="Calibri" w:cs="Calibri"/>
                <w:color w:val="000000"/>
              </w:rPr>
              <w:t>0,34</w:t>
            </w:r>
          </w:p>
        </w:tc>
      </w:tr>
      <w:tr w:rsidR="0022185E" w:rsidRPr="009A0397" w:rsidTr="007C3342">
        <w:trPr>
          <w:trHeight w:val="298"/>
        </w:trPr>
        <w:tc>
          <w:tcPr>
            <w:tcW w:w="2154" w:type="dxa"/>
          </w:tcPr>
          <w:p w:rsidR="0022185E" w:rsidRPr="009A0397" w:rsidRDefault="0022185E" w:rsidP="007C3342">
            <w:r w:rsidRPr="009A0397">
              <w:t xml:space="preserve">Varmepumper </w:t>
            </w:r>
          </w:p>
        </w:tc>
        <w:tc>
          <w:tcPr>
            <w:tcW w:w="680" w:type="dxa"/>
            <w:vAlign w:val="bottom"/>
          </w:tcPr>
          <w:p w:rsidR="0022185E" w:rsidRPr="009A0397" w:rsidRDefault="0022185E" w:rsidP="007C3342">
            <w:pPr>
              <w:jc w:val="right"/>
            </w:pPr>
            <w:r>
              <w:rPr>
                <w:rFonts w:ascii="Calibri" w:hAnsi="Calibri" w:cs="Calibri"/>
                <w:color w:val="000000"/>
              </w:rPr>
              <w:t>0,08</w:t>
            </w:r>
          </w:p>
        </w:tc>
      </w:tr>
      <w:tr w:rsidR="0022185E" w:rsidRPr="009A0397" w:rsidTr="007C3342">
        <w:trPr>
          <w:trHeight w:val="298"/>
        </w:trPr>
        <w:tc>
          <w:tcPr>
            <w:tcW w:w="2154" w:type="dxa"/>
          </w:tcPr>
          <w:p w:rsidR="0022185E" w:rsidRPr="009A0397" w:rsidRDefault="0022185E" w:rsidP="007C3342">
            <w:r w:rsidRPr="009A0397">
              <w:t xml:space="preserve">Elvarme </w:t>
            </w:r>
          </w:p>
        </w:tc>
        <w:tc>
          <w:tcPr>
            <w:tcW w:w="680" w:type="dxa"/>
            <w:vAlign w:val="bottom"/>
          </w:tcPr>
          <w:p w:rsidR="0022185E" w:rsidRPr="009A0397" w:rsidRDefault="0022185E" w:rsidP="007C3342">
            <w:pPr>
              <w:jc w:val="right"/>
            </w:pPr>
            <w:r>
              <w:rPr>
                <w:rFonts w:ascii="Calibri" w:hAnsi="Calibri" w:cs="Calibri"/>
                <w:color w:val="000000"/>
              </w:rPr>
              <w:t>0,12</w:t>
            </w:r>
          </w:p>
        </w:tc>
      </w:tr>
      <w:tr w:rsidR="0022185E" w:rsidRPr="009A0397" w:rsidTr="007C3342">
        <w:trPr>
          <w:trHeight w:val="298"/>
        </w:trPr>
        <w:tc>
          <w:tcPr>
            <w:tcW w:w="2154" w:type="dxa"/>
            <w:hideMark/>
          </w:tcPr>
          <w:p w:rsidR="0022185E" w:rsidRPr="009A0397" w:rsidRDefault="0022185E" w:rsidP="007C3342">
            <w:r w:rsidRPr="009A0397">
              <w:t>Kedler til fast brændsel</w:t>
            </w:r>
          </w:p>
        </w:tc>
        <w:tc>
          <w:tcPr>
            <w:tcW w:w="680" w:type="dxa"/>
            <w:vAlign w:val="bottom"/>
            <w:hideMark/>
          </w:tcPr>
          <w:p w:rsidR="0022185E" w:rsidRPr="009A0397" w:rsidRDefault="0022185E" w:rsidP="007C3342">
            <w:pPr>
              <w:jc w:val="right"/>
            </w:pPr>
            <w:r>
              <w:rPr>
                <w:rFonts w:ascii="Calibri" w:hAnsi="Calibri" w:cs="Calibri"/>
                <w:color w:val="000000"/>
              </w:rPr>
              <w:t>0,06</w:t>
            </w:r>
          </w:p>
        </w:tc>
      </w:tr>
      <w:tr w:rsidR="0022185E" w:rsidRPr="009A0397" w:rsidTr="007C3342">
        <w:trPr>
          <w:trHeight w:val="300"/>
        </w:trPr>
        <w:tc>
          <w:tcPr>
            <w:tcW w:w="2154" w:type="dxa"/>
          </w:tcPr>
          <w:p w:rsidR="0022185E" w:rsidRPr="009A0397" w:rsidRDefault="0022185E" w:rsidP="007C3342">
            <w:r w:rsidRPr="009A0397">
              <w:t>Solvarmeanlæg</w:t>
            </w:r>
          </w:p>
        </w:tc>
        <w:tc>
          <w:tcPr>
            <w:tcW w:w="680" w:type="dxa"/>
            <w:vAlign w:val="bottom"/>
          </w:tcPr>
          <w:p w:rsidR="0022185E" w:rsidRPr="009A0397" w:rsidRDefault="0022185E" w:rsidP="007C3342">
            <w:pPr>
              <w:jc w:val="right"/>
            </w:pPr>
            <w:r>
              <w:rPr>
                <w:rFonts w:ascii="Calibri" w:hAnsi="Calibri" w:cs="Calibri"/>
                <w:color w:val="000000"/>
              </w:rPr>
              <w:t>0,01</w:t>
            </w:r>
          </w:p>
        </w:tc>
      </w:tr>
      <w:tr w:rsidR="0022185E" w:rsidRPr="009A0397" w:rsidTr="007C3342">
        <w:trPr>
          <w:trHeight w:val="300"/>
        </w:trPr>
        <w:tc>
          <w:tcPr>
            <w:tcW w:w="2154" w:type="dxa"/>
          </w:tcPr>
          <w:p w:rsidR="0022185E" w:rsidRPr="009A0397" w:rsidRDefault="0022185E" w:rsidP="007C3342"/>
        </w:tc>
        <w:tc>
          <w:tcPr>
            <w:tcW w:w="680" w:type="dxa"/>
          </w:tcPr>
          <w:p w:rsidR="0022185E" w:rsidRPr="009A0397" w:rsidRDefault="0022185E" w:rsidP="007C3342">
            <w:pPr>
              <w:jc w:val="right"/>
              <w:rPr>
                <w:b/>
                <w:bCs/>
              </w:rPr>
            </w:pPr>
            <w:r w:rsidRPr="00777438">
              <w:rPr>
                <w:b/>
                <w:bCs/>
              </w:rPr>
              <w:t>1,85</w:t>
            </w:r>
          </w:p>
        </w:tc>
      </w:tr>
    </w:tbl>
    <w:p w:rsidR="0022185E" w:rsidRDefault="0022185E" w:rsidP="0022185E">
      <w:r>
        <w:t xml:space="preserve"> </w:t>
      </w:r>
    </w:p>
    <w:p w:rsidR="0022185E" w:rsidRDefault="0022185E" w:rsidP="0022185E">
      <w:pPr>
        <w:spacing w:after="120"/>
        <w:rPr>
          <w:b/>
          <w:iCs/>
        </w:rPr>
      </w:pPr>
      <w:r>
        <w:rPr>
          <w:b/>
          <w:iCs/>
        </w:rPr>
        <w:t xml:space="preserve">2) </w:t>
      </w:r>
      <w:r w:rsidRPr="00D24451">
        <w:rPr>
          <w:b/>
          <w:iCs/>
        </w:rPr>
        <w:t xml:space="preserve">Effekt af </w:t>
      </w:r>
      <w:r>
        <w:rPr>
          <w:b/>
          <w:iCs/>
        </w:rPr>
        <w:t>alternativt tiltag</w:t>
      </w:r>
    </w:p>
    <w:p w:rsidR="0022185E" w:rsidRPr="004F14EE" w:rsidRDefault="0022185E" w:rsidP="0022185E">
      <w:pPr>
        <w:rPr>
          <w:bCs/>
          <w:i/>
        </w:rPr>
      </w:pPr>
      <w:r>
        <w:rPr>
          <w:bCs/>
          <w:i/>
        </w:rPr>
        <w:t>Erhvervspuljen</w:t>
      </w:r>
      <w:r w:rsidRPr="004F14EE">
        <w:rPr>
          <w:bCs/>
          <w:i/>
        </w:rPr>
        <w:t xml:space="preserve"> </w:t>
      </w:r>
    </w:p>
    <w:p w:rsidR="0022185E" w:rsidRPr="004F14EE" w:rsidRDefault="0022185E" w:rsidP="0022185E">
      <w:pPr>
        <w:spacing w:after="120"/>
        <w:rPr>
          <w:bCs/>
          <w:iCs/>
        </w:rPr>
      </w:pPr>
      <w:r w:rsidRPr="004F14EE">
        <w:rPr>
          <w:bCs/>
          <w:iCs/>
        </w:rPr>
        <w:t xml:space="preserve">Erhvervspuljen </w:t>
      </w:r>
      <w:r>
        <w:rPr>
          <w:bCs/>
          <w:iCs/>
        </w:rPr>
        <w:t xml:space="preserve">giver danske virksomheder tilskud til projekter, som </w:t>
      </w:r>
      <w:r w:rsidRPr="004F14EE">
        <w:rPr>
          <w:bCs/>
          <w:iCs/>
        </w:rPr>
        <w:t>sparer energi og/eller CO</w:t>
      </w:r>
      <w:r w:rsidRPr="004F14EE">
        <w:rPr>
          <w:bCs/>
          <w:iCs/>
          <w:vertAlign w:val="subscript"/>
        </w:rPr>
        <w:t>2</w:t>
      </w:r>
      <w:r w:rsidRPr="004F14EE">
        <w:rPr>
          <w:bCs/>
          <w:iCs/>
        </w:rPr>
        <w:t xml:space="preserve">-udledning, </w:t>
      </w:r>
      <w:r>
        <w:rPr>
          <w:bCs/>
          <w:iCs/>
        </w:rPr>
        <w:t>der</w:t>
      </w:r>
      <w:r w:rsidRPr="004F14EE">
        <w:rPr>
          <w:bCs/>
          <w:iCs/>
        </w:rPr>
        <w:t xml:space="preserve"> skyldes energiforbrug</w:t>
      </w:r>
      <w:r>
        <w:rPr>
          <w:bCs/>
          <w:iCs/>
        </w:rPr>
        <w:t>, herunder også projekter vedr. varmeanlæg i erhvervsbygninger</w:t>
      </w:r>
      <w:r w:rsidRPr="004F14EE">
        <w:rPr>
          <w:bCs/>
          <w:iCs/>
        </w:rPr>
        <w:t xml:space="preserve">. </w:t>
      </w:r>
      <w:r>
        <w:rPr>
          <w:bCs/>
          <w:iCs/>
        </w:rPr>
        <w:t xml:space="preserve">Der er afsat midler til puljen i de kommende år frem til 2029. </w:t>
      </w:r>
      <w:r w:rsidRPr="004F14EE">
        <w:rPr>
          <w:bCs/>
          <w:iCs/>
        </w:rPr>
        <w:t xml:space="preserve"> </w:t>
      </w:r>
    </w:p>
    <w:p w:rsidR="0022185E" w:rsidRDefault="0022185E" w:rsidP="0022185E">
      <w:pPr>
        <w:spacing w:after="120"/>
        <w:rPr>
          <w:bCs/>
          <w:iCs/>
        </w:rPr>
      </w:pPr>
      <w:r w:rsidRPr="004F14EE">
        <w:rPr>
          <w:bCs/>
          <w:iCs/>
        </w:rPr>
        <w:t xml:space="preserve">I 2021 </w:t>
      </w:r>
      <w:r>
        <w:rPr>
          <w:bCs/>
          <w:iCs/>
        </w:rPr>
        <w:t xml:space="preserve">og 2022 </w:t>
      </w:r>
      <w:r w:rsidRPr="004F14EE">
        <w:rPr>
          <w:bCs/>
          <w:iCs/>
        </w:rPr>
        <w:t xml:space="preserve">blev der givet 60 </w:t>
      </w:r>
      <w:r>
        <w:rPr>
          <w:bCs/>
          <w:iCs/>
        </w:rPr>
        <w:t xml:space="preserve">hhv. 91 </w:t>
      </w:r>
      <w:r w:rsidRPr="004F14EE">
        <w:rPr>
          <w:bCs/>
          <w:iCs/>
        </w:rPr>
        <w:t xml:space="preserve">tilsagn vedrørende anlæg til bygningsopvarmning med en effekt på over 70 kW. </w:t>
      </w:r>
      <w:r>
        <w:rPr>
          <w:bCs/>
          <w:iCs/>
        </w:rPr>
        <w:t xml:space="preserve">Ifølge de oplysninger, som de pågældende virksomheder har indberettet, giver projekterne med tilsagn fra 2021 en samlet årlig besparelse på 166,5 TJ, mens det tilsvarende tal for projekterne med tilsagn fra 2022 er 274,8 TJ. </w:t>
      </w:r>
    </w:p>
    <w:p w:rsidR="0022185E" w:rsidRPr="00BD637D" w:rsidRDefault="0022185E" w:rsidP="0022185E">
      <w:pPr>
        <w:spacing w:after="120"/>
        <w:rPr>
          <w:bCs/>
          <w:iCs/>
        </w:rPr>
      </w:pPr>
      <w:r w:rsidRPr="00BD637D">
        <w:rPr>
          <w:bCs/>
          <w:iCs/>
        </w:rPr>
        <w:t>Det forventes, at der hvert år i perioden 2023 til 2026 gennemføres besparelses</w:t>
      </w:r>
      <w:r>
        <w:rPr>
          <w:bCs/>
          <w:iCs/>
        </w:rPr>
        <w:t>-</w:t>
      </w:r>
      <w:r w:rsidRPr="00BD637D">
        <w:rPr>
          <w:bCs/>
          <w:iCs/>
        </w:rPr>
        <w:t>projekter i et omfang, som mindst svarer til de projekter, der fik tilsagn i 2021. Projekter gennemført i det første år vil derfor give en besparelse på mindst 166,5 TJ i løbet af det andet år af perioden, og projekter gennemført i de to første år en besparelse på mindst 333 TJ i løbet af det tredje år af perioden. Sammenlagt vil der dermed være tale om en besparelse på mindst 499,5 TJ i rapportperioden.</w:t>
      </w:r>
    </w:p>
    <w:p w:rsidR="0022185E" w:rsidRPr="00BD637D" w:rsidRDefault="0022185E" w:rsidP="0022185E">
      <w:pPr>
        <w:spacing w:after="120"/>
        <w:rPr>
          <w:bCs/>
          <w:iCs/>
        </w:rPr>
      </w:pPr>
      <w:r w:rsidRPr="00BD637D">
        <w:rPr>
          <w:bCs/>
          <w:iCs/>
        </w:rPr>
        <w:t>Ovennævnte forventede energibesparelse fra den alternative foranstaltning er indsat i tabel 1 ovenfor.</w:t>
      </w:r>
    </w:p>
    <w:p w:rsidR="00BF507F" w:rsidRPr="0022185E" w:rsidRDefault="00BF507F" w:rsidP="00BF507F"/>
    <w:sectPr w:rsidR="00BF507F" w:rsidRPr="0022185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F94" w:rsidRDefault="00F96F94" w:rsidP="0022185E">
      <w:pPr>
        <w:spacing w:after="0" w:line="240" w:lineRule="auto"/>
      </w:pPr>
      <w:r>
        <w:separator/>
      </w:r>
    </w:p>
  </w:endnote>
  <w:endnote w:type="continuationSeparator" w:id="0">
    <w:p w:rsidR="00F96F94" w:rsidRDefault="00F96F94" w:rsidP="0022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F94" w:rsidRDefault="00F96F94" w:rsidP="0022185E">
      <w:pPr>
        <w:spacing w:after="0" w:line="240" w:lineRule="auto"/>
      </w:pPr>
      <w:r>
        <w:separator/>
      </w:r>
    </w:p>
  </w:footnote>
  <w:footnote w:type="continuationSeparator" w:id="0">
    <w:p w:rsidR="00F96F94" w:rsidRDefault="00F96F94" w:rsidP="0022185E">
      <w:pPr>
        <w:spacing w:after="0" w:line="240" w:lineRule="auto"/>
      </w:pPr>
      <w:r>
        <w:continuationSeparator/>
      </w:r>
    </w:p>
  </w:footnote>
  <w:footnote w:id="1">
    <w:p w:rsidR="0022185E" w:rsidRPr="00A4602E" w:rsidRDefault="0022185E" w:rsidP="0022185E">
      <w:pPr>
        <w:pStyle w:val="Fodnotetekst"/>
      </w:pPr>
      <w:r>
        <w:rPr>
          <w:rStyle w:val="Fodnotehenvisning"/>
        </w:rPr>
        <w:footnoteRef/>
      </w:r>
      <w:r w:rsidRPr="00A4602E">
        <w:t xml:space="preserve"> </w:t>
      </w:r>
      <w:r w:rsidRPr="00D07031">
        <w:rPr>
          <w:sz w:val="16"/>
          <w:szCs w:val="16"/>
        </w:rPr>
        <w:t xml:space="preserve">Jf. artikel 14, stk. 3, i direktiv </w:t>
      </w:r>
      <w:r w:rsidRPr="00D07031">
        <w:rPr>
          <w:rFonts w:cs="Arial"/>
          <w:bCs/>
          <w:iCs/>
          <w:sz w:val="16"/>
          <w:szCs w:val="16"/>
        </w:rPr>
        <w:t>2010/31/EU af 19. maj 2010 om bygningers energimæssige ydeevne</w:t>
      </w:r>
      <w:r>
        <w:rPr>
          <w:rFonts w:cs="Arial"/>
          <w:bCs/>
          <w:iCs/>
          <w:sz w:val="16"/>
          <w:szCs w:val="16"/>
        </w:rPr>
        <w:t xml:space="preserve"> (Bygningsdirektivet)</w:t>
      </w:r>
      <w:r w:rsidRPr="00D07031">
        <w:rPr>
          <w:rFonts w:cs="Arial"/>
          <w:bCs/>
          <w:iCs/>
          <w:sz w:val="16"/>
          <w:szCs w:val="16"/>
        </w:rPr>
        <w:t>, som senest ændret ved direktiv 2018/844/EU af 30. maj 2018.</w:t>
      </w:r>
    </w:p>
  </w:footnote>
  <w:footnote w:id="2">
    <w:p w:rsidR="0022185E" w:rsidRPr="0076367F" w:rsidRDefault="0022185E" w:rsidP="0022185E">
      <w:pPr>
        <w:spacing w:line="295" w:lineRule="auto"/>
        <w:ind w:right="150"/>
        <w:rPr>
          <w:sz w:val="16"/>
          <w:szCs w:val="16"/>
          <w:lang w:val="en-US"/>
        </w:rPr>
      </w:pPr>
      <w:r w:rsidRPr="0076367F">
        <w:rPr>
          <w:vertAlign w:val="superscript"/>
        </w:rPr>
        <w:footnoteRef/>
      </w:r>
      <w:r w:rsidRPr="0076367F">
        <w:rPr>
          <w:sz w:val="18"/>
          <w:vertAlign w:val="superscript"/>
          <w:lang w:val="en-US"/>
        </w:rPr>
        <w:t xml:space="preserve"> </w:t>
      </w:r>
      <w:r w:rsidRPr="0076367F">
        <w:rPr>
          <w:sz w:val="16"/>
          <w:szCs w:val="16"/>
          <w:lang w:val="en-US"/>
        </w:rPr>
        <w:t xml:space="preserve">Vibeke Hansen </w:t>
      </w:r>
      <w:proofErr w:type="spellStart"/>
      <w:r w:rsidRPr="0076367F">
        <w:rPr>
          <w:sz w:val="16"/>
          <w:szCs w:val="16"/>
          <w:lang w:val="en-US"/>
        </w:rPr>
        <w:t>Kjærbye</w:t>
      </w:r>
      <w:proofErr w:type="spellEnd"/>
      <w:r w:rsidRPr="0076367F">
        <w:rPr>
          <w:sz w:val="16"/>
          <w:szCs w:val="16"/>
          <w:lang w:val="en-US"/>
        </w:rPr>
        <w:t xml:space="preserve"> (2008)</w:t>
      </w:r>
      <w:proofErr w:type="gramStart"/>
      <w:r w:rsidRPr="0076367F">
        <w:rPr>
          <w:sz w:val="16"/>
          <w:szCs w:val="16"/>
          <w:lang w:val="en-US"/>
        </w:rPr>
        <w:t>:</w:t>
      </w:r>
      <w:r>
        <w:rPr>
          <w:sz w:val="16"/>
          <w:szCs w:val="16"/>
          <w:lang w:val="en-US"/>
        </w:rPr>
        <w:t xml:space="preserve"> </w:t>
      </w:r>
      <w:r w:rsidRPr="0076367F">
        <w:rPr>
          <w:sz w:val="16"/>
          <w:szCs w:val="16"/>
          <w:lang w:val="en-US"/>
        </w:rPr>
        <w:t>”Does</w:t>
      </w:r>
      <w:proofErr w:type="gramEnd"/>
      <w:r w:rsidRPr="0076367F">
        <w:rPr>
          <w:sz w:val="16"/>
          <w:szCs w:val="16"/>
          <w:lang w:val="en-US"/>
        </w:rPr>
        <w:t xml:space="preserve"> Energy Labelling on Residential Housing Cause Energy Savings?”, </w:t>
      </w:r>
      <w:r>
        <w:rPr>
          <w:sz w:val="16"/>
          <w:szCs w:val="16"/>
          <w:lang w:val="en-US"/>
        </w:rPr>
        <w:t>AKF</w:t>
      </w:r>
      <w:r w:rsidRPr="0076367F">
        <w:rPr>
          <w:sz w:val="16"/>
          <w:szCs w:val="16"/>
          <w:lang w:val="en-US"/>
        </w:rPr>
        <w:t xml:space="preserve"> working paper, </w:t>
      </w:r>
      <w:r w:rsidRPr="0076367F">
        <w:rPr>
          <w:color w:val="0000FF"/>
          <w:sz w:val="16"/>
          <w:szCs w:val="16"/>
          <w:u w:val="single" w:color="0000FF"/>
          <w:lang w:val="en-US"/>
        </w:rPr>
        <w:t>http://www.akf.dk/udgivelser/2008/pdf/energy_labelling.pdf/</w:t>
      </w:r>
      <w:r w:rsidRPr="0076367F">
        <w:rPr>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91EE2"/>
    <w:multiLevelType w:val="hybridMultilevel"/>
    <w:tmpl w:val="F3D60C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7394442"/>
    <w:multiLevelType w:val="hybridMultilevel"/>
    <w:tmpl w:val="C882DF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7F"/>
    <w:rsid w:val="001A629A"/>
    <w:rsid w:val="0022185E"/>
    <w:rsid w:val="005D65FA"/>
    <w:rsid w:val="00BB75DB"/>
    <w:rsid w:val="00BF507F"/>
    <w:rsid w:val="00CF7B34"/>
    <w:rsid w:val="00F96F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6FE8"/>
  <w15:chartTrackingRefBased/>
  <w15:docId w15:val="{B2530657-2C86-41E9-8366-142D5A8F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2185E"/>
    <w:pPr>
      <w:spacing w:after="0" w:line="280" w:lineRule="atLeast"/>
      <w:ind w:left="720"/>
      <w:contextualSpacing/>
    </w:pPr>
    <w:rPr>
      <w:rFonts w:ascii="Arial" w:hAnsi="Arial"/>
      <w:sz w:val="20"/>
    </w:rPr>
  </w:style>
  <w:style w:type="paragraph" w:styleId="Fodnotetekst">
    <w:name w:val="footnote text"/>
    <w:basedOn w:val="Normal"/>
    <w:link w:val="FodnotetekstTegn"/>
    <w:uiPriority w:val="99"/>
    <w:semiHidden/>
    <w:unhideWhenUsed/>
    <w:rsid w:val="0022185E"/>
    <w:pPr>
      <w:spacing w:after="0" w:line="240" w:lineRule="auto"/>
    </w:pPr>
    <w:rPr>
      <w:rFonts w:ascii="Arial" w:hAnsi="Arial"/>
      <w:sz w:val="20"/>
      <w:szCs w:val="20"/>
    </w:rPr>
  </w:style>
  <w:style w:type="character" w:customStyle="1" w:styleId="FodnotetekstTegn">
    <w:name w:val="Fodnotetekst Tegn"/>
    <w:basedOn w:val="Standardskrifttypeiafsnit"/>
    <w:link w:val="Fodnotetekst"/>
    <w:uiPriority w:val="99"/>
    <w:semiHidden/>
    <w:rsid w:val="0022185E"/>
    <w:rPr>
      <w:rFonts w:ascii="Arial" w:hAnsi="Arial"/>
      <w:sz w:val="20"/>
      <w:szCs w:val="20"/>
    </w:rPr>
  </w:style>
  <w:style w:type="character" w:styleId="Fodnotehenvisning">
    <w:name w:val="footnote reference"/>
    <w:basedOn w:val="Standardskrifttypeiafsnit"/>
    <w:uiPriority w:val="99"/>
    <w:semiHidden/>
    <w:unhideWhenUsed/>
    <w:rsid w:val="00221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96406">
      <w:bodyDiv w:val="1"/>
      <w:marLeft w:val="0"/>
      <w:marRight w:val="0"/>
      <w:marTop w:val="0"/>
      <w:marBottom w:val="0"/>
      <w:divBdr>
        <w:top w:val="none" w:sz="0" w:space="0" w:color="auto"/>
        <w:left w:val="none" w:sz="0" w:space="0" w:color="auto"/>
        <w:bottom w:val="none" w:sz="0" w:space="0" w:color="auto"/>
        <w:right w:val="none" w:sz="0" w:space="0" w:color="auto"/>
      </w:divBdr>
    </w:div>
    <w:div w:id="1877278901">
      <w:bodyDiv w:val="1"/>
      <w:marLeft w:val="0"/>
      <w:marRight w:val="0"/>
      <w:marTop w:val="0"/>
      <w:marBottom w:val="0"/>
      <w:divBdr>
        <w:top w:val="none" w:sz="0" w:space="0" w:color="auto"/>
        <w:left w:val="none" w:sz="0" w:space="0" w:color="auto"/>
        <w:bottom w:val="none" w:sz="0" w:space="0" w:color="auto"/>
        <w:right w:val="none" w:sz="0" w:space="0" w:color="auto"/>
      </w:divBdr>
    </w:div>
    <w:div w:id="19260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2551</Words>
  <Characters>14572</Characters>
  <Application>Microsoft Office Word</Application>
  <DocSecurity>0</DocSecurity>
  <Lines>355</Lines>
  <Paragraphs>174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Dahl</dc:creator>
  <cp:keywords/>
  <dc:description/>
  <cp:lastModifiedBy>Kristoffer Arden Tychsen</cp:lastModifiedBy>
  <cp:revision>3</cp:revision>
  <dcterms:created xsi:type="dcterms:W3CDTF">2023-03-20T09:45:00Z</dcterms:created>
  <dcterms:modified xsi:type="dcterms:W3CDTF">2023-05-16T14:35:00Z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