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2F41F8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4-03-28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D81180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28. marts 2014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r w:rsidR="0044459B">
              <w:t>13-0578850</w:t>
            </w:r>
            <w:bookmarkEnd w:id="0"/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094ABD" w:rsidTr="00C45EEB">
        <w:trPr>
          <w:trHeight w:hRule="exact" w:val="2835"/>
        </w:trPr>
        <w:tc>
          <w:tcPr>
            <w:tcW w:w="7655" w:type="dxa"/>
            <w:vAlign w:val="bottom"/>
          </w:tcPr>
          <w:p w:rsidR="00F37F63" w:rsidRPr="00094ABD" w:rsidRDefault="00FB1FE9" w:rsidP="00F37F63">
            <w:r w:rsidRPr="00FB1FE9">
              <w:t>Til Folketinget – Skatteudvalget</w:t>
            </w:r>
          </w:p>
        </w:tc>
      </w:tr>
    </w:tbl>
    <w:p w:rsidR="00F37F63" w:rsidRDefault="00F37F63" w:rsidP="00F37F63"/>
    <w:p w:rsidR="00FB1FE9" w:rsidRDefault="00600E3E" w:rsidP="00FB1FE9">
      <w:r w:rsidRPr="00684545">
        <w:t xml:space="preserve">Til udvalgets orientering </w:t>
      </w:r>
      <w:r>
        <w:t>vedlægges høringsskema samt de modtagne høringssvar vedr</w:t>
      </w:r>
      <w:r>
        <w:t>ø</w:t>
      </w:r>
      <w:r>
        <w:t>rende forslag til</w:t>
      </w:r>
      <w:r w:rsidRPr="00684545">
        <w:t xml:space="preserve"> </w:t>
      </w:r>
      <w:r w:rsidR="00971053">
        <w:t>lov om ændring af lov om en børne- og ungeydelse og lov om børneti</w:t>
      </w:r>
      <w:r w:rsidR="00971053">
        <w:t>l</w:t>
      </w:r>
      <w:r w:rsidR="00971053">
        <w:t>skud og forskudsvis udbetaling af børnebidrag (Lovfæstelse af ændret anvendelse af o</w:t>
      </w:r>
      <w:r w:rsidR="00971053">
        <w:t>p</w:t>
      </w:r>
      <w:r w:rsidR="00971053">
        <w:t>tjeningsprincippet</w:t>
      </w:r>
      <w:r w:rsidR="00006F66">
        <w:t>).</w:t>
      </w:r>
    </w:p>
    <w:p w:rsidR="00967833" w:rsidRDefault="00967833" w:rsidP="00967833"/>
    <w:p w:rsidR="00967833" w:rsidRDefault="00967833" w:rsidP="00967833"/>
    <w:p w:rsidR="00967833" w:rsidRDefault="00967833" w:rsidP="00967833">
      <w:pPr>
        <w:keepNext/>
        <w:keepLines/>
        <w:jc w:val="center"/>
      </w:pPr>
      <w:r>
        <w:t>Morten Østergaard</w:t>
      </w:r>
    </w:p>
    <w:p w:rsidR="00967833" w:rsidRDefault="00967833" w:rsidP="00967833">
      <w:pPr>
        <w:keepNext/>
        <w:keepLines/>
        <w:jc w:val="right"/>
      </w:pPr>
      <w:r>
        <w:t xml:space="preserve">/ </w:t>
      </w:r>
      <w:r w:rsidR="00971053">
        <w:t>Søren Schou</w:t>
      </w:r>
    </w:p>
    <w:p w:rsidR="00815F28" w:rsidRDefault="00815F28" w:rsidP="00815F28">
      <w:pPr>
        <w:spacing w:line="260" w:lineRule="atLeast"/>
      </w:pPr>
      <w:r>
        <w:br w:type="page"/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210"/>
        <w:gridCol w:w="3437"/>
        <w:gridCol w:w="227"/>
        <w:gridCol w:w="3417"/>
      </w:tblGrid>
      <w:tr w:rsidR="00600E3E" w:rsidTr="00755E70">
        <w:trPr>
          <w:tblHeader/>
        </w:trPr>
        <w:tc>
          <w:tcPr>
            <w:tcW w:w="2348" w:type="dxa"/>
            <w:shd w:val="clear" w:color="auto" w:fill="D1C5C3"/>
            <w:vAlign w:val="center"/>
          </w:tcPr>
          <w:p w:rsidR="00600E3E" w:rsidRDefault="00600E3E" w:rsidP="00B9508F">
            <w:pPr>
              <w:pStyle w:val="Tabel-KolonneOverskrift"/>
            </w:pPr>
            <w:r>
              <w:t>Organisation</w:t>
            </w:r>
          </w:p>
        </w:tc>
        <w:tc>
          <w:tcPr>
            <w:tcW w:w="210" w:type="dxa"/>
            <w:shd w:val="clear" w:color="auto" w:fill="FFFFFF" w:themeFill="background1"/>
            <w:vAlign w:val="center"/>
          </w:tcPr>
          <w:p w:rsidR="00600E3E" w:rsidRDefault="00600E3E" w:rsidP="00B9508F">
            <w:pPr>
              <w:keepNext/>
              <w:keepLines/>
            </w:pPr>
          </w:p>
        </w:tc>
        <w:tc>
          <w:tcPr>
            <w:tcW w:w="3437" w:type="dxa"/>
            <w:shd w:val="clear" w:color="auto" w:fill="D1C5C3" w:themeFill="accent3"/>
            <w:vAlign w:val="center"/>
          </w:tcPr>
          <w:p w:rsidR="00600E3E" w:rsidRDefault="00600E3E" w:rsidP="00B9508F">
            <w:pPr>
              <w:pStyle w:val="Tabel-KolonneOverskrift"/>
            </w:pPr>
            <w:r>
              <w:t>Bemærkninger</w:t>
            </w: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:rsidR="00600E3E" w:rsidRDefault="00600E3E" w:rsidP="00B9508F">
            <w:pPr>
              <w:keepNext/>
              <w:keepLines/>
            </w:pPr>
          </w:p>
        </w:tc>
        <w:tc>
          <w:tcPr>
            <w:tcW w:w="3417" w:type="dxa"/>
            <w:shd w:val="clear" w:color="auto" w:fill="14143C" w:themeFill="accent1"/>
            <w:vAlign w:val="center"/>
          </w:tcPr>
          <w:p w:rsidR="00600E3E" w:rsidRDefault="00600E3E" w:rsidP="00B9508F">
            <w:pPr>
              <w:pStyle w:val="Tabel-KolonneOverskriftHvid"/>
            </w:pPr>
            <w:r>
              <w:t>Kommentarer</w:t>
            </w:r>
          </w:p>
        </w:tc>
      </w:tr>
      <w:tr w:rsidR="00815F28" w:rsidRPr="00B5346F" w:rsidTr="00755E70">
        <w:tc>
          <w:tcPr>
            <w:tcW w:w="2348" w:type="dxa"/>
            <w:tcBorders>
              <w:bottom w:val="single" w:sz="4" w:space="0" w:color="D1C5C3" w:themeColor="accent3"/>
            </w:tcBorders>
            <w:shd w:val="clear" w:color="auto" w:fill="FBF9F9"/>
          </w:tcPr>
          <w:p w:rsidR="00815F28" w:rsidRPr="00320C3A" w:rsidRDefault="006B0CC7" w:rsidP="002F41F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Ankestyrelsen</w:t>
            </w:r>
          </w:p>
        </w:tc>
        <w:tc>
          <w:tcPr>
            <w:tcW w:w="210" w:type="dxa"/>
            <w:shd w:val="clear" w:color="auto" w:fill="FFFFFF" w:themeFill="background1"/>
          </w:tcPr>
          <w:p w:rsidR="00815F28" w:rsidRPr="00320C3A" w:rsidRDefault="00815F28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bottom w:val="single" w:sz="4" w:space="0" w:color="D1C5C3" w:themeColor="accent3"/>
            </w:tcBorders>
            <w:shd w:val="clear" w:color="auto" w:fill="FBF9F9"/>
          </w:tcPr>
          <w:p w:rsidR="00320C3A" w:rsidRDefault="00320C3A" w:rsidP="00320C3A">
            <w:pPr>
              <w:pStyle w:val="Tabel-BrdtekstmedafstandptekstGaramond"/>
              <w:rPr>
                <w:rFonts w:cs="Verdana"/>
                <w:color w:val="000000"/>
                <w:szCs w:val="22"/>
              </w:rPr>
            </w:pPr>
            <w:r w:rsidRPr="00320C3A">
              <w:rPr>
                <w:rFonts w:cs="Verdana"/>
                <w:color w:val="000000"/>
                <w:szCs w:val="22"/>
              </w:rPr>
              <w:t>Ankestyrelsen foreslår, at det i se</w:t>
            </w:r>
            <w:r w:rsidRPr="00320C3A">
              <w:rPr>
                <w:rFonts w:cs="Verdana"/>
                <w:color w:val="000000"/>
                <w:szCs w:val="22"/>
              </w:rPr>
              <w:t>l</w:t>
            </w:r>
            <w:r w:rsidRPr="00320C3A">
              <w:rPr>
                <w:rFonts w:cs="Verdana"/>
                <w:color w:val="000000"/>
                <w:szCs w:val="22"/>
              </w:rPr>
              <w:t xml:space="preserve">ve ikrafttrædelsesbestemmelsen anføres </w:t>
            </w:r>
            <w:r w:rsidRPr="00320C3A">
              <w:rPr>
                <w:rFonts w:cs="Times New Roman"/>
                <w:color w:val="000000"/>
                <w:szCs w:val="22"/>
              </w:rPr>
              <w:t>–</w:t>
            </w:r>
            <w:r w:rsidRPr="00320C3A">
              <w:rPr>
                <w:rFonts w:cs="Verdana"/>
                <w:color w:val="000000"/>
                <w:szCs w:val="22"/>
              </w:rPr>
              <w:t xml:space="preserve"> og således ikke alene fremgår af bemærkningerne til b</w:t>
            </w:r>
            <w:r w:rsidRPr="00320C3A">
              <w:rPr>
                <w:rFonts w:cs="Verdana"/>
                <w:color w:val="000000"/>
                <w:szCs w:val="22"/>
              </w:rPr>
              <w:t>e</w:t>
            </w:r>
            <w:r w:rsidRPr="00320C3A">
              <w:rPr>
                <w:rFonts w:cs="Verdana"/>
                <w:color w:val="000000"/>
                <w:szCs w:val="22"/>
              </w:rPr>
              <w:t xml:space="preserve">stemmelsen </w:t>
            </w:r>
            <w:r w:rsidRPr="00320C3A">
              <w:rPr>
                <w:rFonts w:cs="Times New Roman"/>
                <w:color w:val="000000"/>
                <w:szCs w:val="22"/>
              </w:rPr>
              <w:t>–</w:t>
            </w:r>
            <w:r w:rsidRPr="00320C3A">
              <w:rPr>
                <w:rFonts w:cs="Verdana"/>
                <w:color w:val="000000"/>
                <w:szCs w:val="22"/>
              </w:rPr>
              <w:t xml:space="preserve"> at administrationen af optjeningsprincippet blev æ</w:t>
            </w:r>
            <w:r w:rsidRPr="00320C3A">
              <w:rPr>
                <w:rFonts w:cs="Verdana"/>
                <w:color w:val="000000"/>
                <w:szCs w:val="22"/>
              </w:rPr>
              <w:t>n</w:t>
            </w:r>
            <w:r w:rsidRPr="00320C3A">
              <w:rPr>
                <w:rFonts w:cs="Verdana"/>
                <w:color w:val="000000"/>
                <w:szCs w:val="22"/>
              </w:rPr>
              <w:t>dret med tilbagevirkende kraft all</w:t>
            </w:r>
            <w:r w:rsidRPr="00320C3A">
              <w:rPr>
                <w:rFonts w:cs="Verdana"/>
                <w:color w:val="000000"/>
                <w:szCs w:val="22"/>
              </w:rPr>
              <w:t>e</w:t>
            </w:r>
            <w:r w:rsidRPr="00320C3A">
              <w:rPr>
                <w:rFonts w:cs="Verdana"/>
                <w:color w:val="000000"/>
                <w:szCs w:val="22"/>
              </w:rPr>
              <w:t xml:space="preserve">rede ved </w:t>
            </w:r>
            <w:r w:rsidR="0044459B">
              <w:rPr>
                <w:rFonts w:cs="Verdana"/>
                <w:color w:val="000000"/>
                <w:szCs w:val="22"/>
              </w:rPr>
              <w:t>S</w:t>
            </w:r>
            <w:r w:rsidRPr="00320C3A">
              <w:rPr>
                <w:rFonts w:cs="Verdana"/>
                <w:color w:val="000000"/>
                <w:szCs w:val="22"/>
              </w:rPr>
              <w:t>katteministeriets skrive</w:t>
            </w:r>
            <w:r w:rsidRPr="00320C3A">
              <w:rPr>
                <w:rFonts w:cs="Verdana"/>
                <w:color w:val="000000"/>
                <w:szCs w:val="22"/>
              </w:rPr>
              <w:t>l</w:t>
            </w:r>
            <w:r w:rsidRPr="00320C3A">
              <w:rPr>
                <w:rFonts w:cs="Verdana"/>
                <w:color w:val="000000"/>
                <w:szCs w:val="22"/>
              </w:rPr>
              <w:t>se nr. 9353 af 9. juli 2013 om æ</w:t>
            </w:r>
            <w:r w:rsidRPr="00320C3A">
              <w:rPr>
                <w:rFonts w:cs="Verdana"/>
                <w:color w:val="000000"/>
                <w:szCs w:val="22"/>
              </w:rPr>
              <w:t>n</w:t>
            </w:r>
            <w:r w:rsidRPr="00320C3A">
              <w:rPr>
                <w:rFonts w:cs="Verdana"/>
                <w:color w:val="000000"/>
                <w:szCs w:val="22"/>
              </w:rPr>
              <w:t>dret administration og genoptage</w:t>
            </w:r>
            <w:r w:rsidRPr="00320C3A">
              <w:rPr>
                <w:rFonts w:cs="Verdana"/>
                <w:color w:val="000000"/>
                <w:szCs w:val="22"/>
              </w:rPr>
              <w:t>l</w:t>
            </w:r>
            <w:r w:rsidRPr="00320C3A">
              <w:rPr>
                <w:rFonts w:cs="Verdana"/>
                <w:color w:val="000000"/>
                <w:szCs w:val="22"/>
              </w:rPr>
              <w:t>se af sager afgjort i henhold til lov nr. 1609 af 22. december 2010 om ændring af lov om en børnefam</w:t>
            </w:r>
            <w:r w:rsidRPr="00320C3A">
              <w:rPr>
                <w:rFonts w:cs="Verdana"/>
                <w:color w:val="000000"/>
                <w:szCs w:val="22"/>
              </w:rPr>
              <w:t>i</w:t>
            </w:r>
            <w:r w:rsidRPr="00320C3A">
              <w:rPr>
                <w:rFonts w:cs="Verdana"/>
                <w:color w:val="000000"/>
                <w:szCs w:val="22"/>
              </w:rPr>
              <w:t>lieydelse, lov om børnetilskud og forskudsvis udbetaling af børneb</w:t>
            </w:r>
            <w:r w:rsidRPr="00320C3A">
              <w:rPr>
                <w:rFonts w:cs="Verdana"/>
                <w:color w:val="000000"/>
                <w:szCs w:val="22"/>
              </w:rPr>
              <w:t>i</w:t>
            </w:r>
            <w:r w:rsidRPr="00320C3A">
              <w:rPr>
                <w:rFonts w:cs="Verdana"/>
                <w:color w:val="000000"/>
                <w:szCs w:val="22"/>
              </w:rPr>
              <w:t>drag og lov om et indkomstreg</w:t>
            </w:r>
            <w:r w:rsidRPr="00320C3A">
              <w:rPr>
                <w:rFonts w:cs="Verdana"/>
                <w:color w:val="000000"/>
                <w:szCs w:val="22"/>
              </w:rPr>
              <w:t>i</w:t>
            </w:r>
            <w:r w:rsidRPr="00320C3A">
              <w:rPr>
                <w:rFonts w:cs="Verdana"/>
                <w:color w:val="000000"/>
                <w:szCs w:val="22"/>
              </w:rPr>
              <w:t>ster.</w:t>
            </w:r>
          </w:p>
          <w:p w:rsidR="00320C3A" w:rsidRDefault="00320C3A" w:rsidP="00320C3A">
            <w:pPr>
              <w:pStyle w:val="Tabel-BrdtekstmedafstandptekstGaramond"/>
              <w:rPr>
                <w:rFonts w:cs="Verdana"/>
                <w:color w:val="000000"/>
                <w:szCs w:val="22"/>
              </w:rPr>
            </w:pPr>
          </w:p>
          <w:p w:rsidR="00320C3A" w:rsidRPr="00320C3A" w:rsidRDefault="00320C3A" w:rsidP="00320C3A">
            <w:pPr>
              <w:pStyle w:val="Tabel-BrdtekstmedafstandptekstGaramond"/>
              <w:rPr>
                <w:szCs w:val="22"/>
              </w:rPr>
            </w:pPr>
            <w:r w:rsidRPr="00320C3A">
              <w:rPr>
                <w:rFonts w:cs="Verdana"/>
                <w:color w:val="000000"/>
                <w:szCs w:val="22"/>
              </w:rPr>
              <w:t>Ankestyrelsen har ikke i øvrigt bemærkninger til lovudkastet.</w:t>
            </w:r>
          </w:p>
        </w:tc>
        <w:tc>
          <w:tcPr>
            <w:tcW w:w="227" w:type="dxa"/>
            <w:shd w:val="clear" w:color="auto" w:fill="FFFFFF" w:themeFill="background1"/>
          </w:tcPr>
          <w:p w:rsidR="00815F28" w:rsidRPr="00B5346F" w:rsidRDefault="00815F28" w:rsidP="002F41F8"/>
        </w:tc>
        <w:tc>
          <w:tcPr>
            <w:tcW w:w="3417" w:type="dxa"/>
            <w:tcBorders>
              <w:bottom w:val="single" w:sz="4" w:space="0" w:color="14143C" w:themeColor="accent1"/>
            </w:tcBorders>
            <w:shd w:val="clear" w:color="auto" w:fill="D2CED8"/>
          </w:tcPr>
          <w:p w:rsidR="00815F28" w:rsidRPr="00B5346F" w:rsidRDefault="003615EE" w:rsidP="00332478">
            <w:pPr>
              <w:pStyle w:val="Tabel-BrdtekstmedafstandptekstGaramond"/>
            </w:pPr>
            <w:r>
              <w:t xml:space="preserve">Skatteministeriet </w:t>
            </w:r>
            <w:r w:rsidR="00332478">
              <w:t>vil tage højde for bemærkningerne ved udformni</w:t>
            </w:r>
            <w:r w:rsidR="00332478">
              <w:t>n</w:t>
            </w:r>
            <w:r w:rsidR="00332478">
              <w:t>g</w:t>
            </w:r>
            <w:r w:rsidR="00DB6739">
              <w:t>en</w:t>
            </w:r>
            <w:r w:rsidR="00332478">
              <w:t xml:space="preserve"> af det endelige lovforslag.</w:t>
            </w:r>
            <w:r w:rsidR="0044459B">
              <w:t xml:space="preserve"> </w:t>
            </w:r>
          </w:p>
        </w:tc>
      </w:tr>
      <w:tr w:rsidR="00815F28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15F28" w:rsidRPr="00320C3A" w:rsidRDefault="006B0CC7" w:rsidP="002F41F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Børnesagens Fællesråd</w:t>
            </w:r>
          </w:p>
        </w:tc>
        <w:tc>
          <w:tcPr>
            <w:tcW w:w="210" w:type="dxa"/>
            <w:shd w:val="clear" w:color="auto" w:fill="FFFFFF" w:themeFill="background1"/>
          </w:tcPr>
          <w:p w:rsidR="00815F28" w:rsidRPr="00320C3A" w:rsidRDefault="00815F28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15F28" w:rsidRPr="00320C3A" w:rsidRDefault="006B0CC7" w:rsidP="002F41F8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>Børnesagens Fællesråd har ingen bemærkninger til forslaget.</w:t>
            </w:r>
          </w:p>
        </w:tc>
        <w:tc>
          <w:tcPr>
            <w:tcW w:w="227" w:type="dxa"/>
            <w:shd w:val="clear" w:color="auto" w:fill="FFFFFF" w:themeFill="background1"/>
          </w:tcPr>
          <w:p w:rsidR="00815F28" w:rsidRPr="00B5346F" w:rsidRDefault="00815F28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815F28" w:rsidRPr="00B5346F" w:rsidRDefault="00815F28" w:rsidP="002F41F8">
            <w:pPr>
              <w:pStyle w:val="Tabel-BrdtekstmedafstandptekstGaramond"/>
            </w:pPr>
          </w:p>
        </w:tc>
      </w:tr>
      <w:tr w:rsidR="006B0CC7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6B0CC7" w:rsidRPr="00320C3A" w:rsidRDefault="006B0CC7" w:rsidP="002F41F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Danmarks Vejlederfo</w:t>
            </w:r>
            <w:r w:rsidRPr="00320C3A">
              <w:rPr>
                <w:i/>
                <w:szCs w:val="22"/>
              </w:rPr>
              <w:t>r</w:t>
            </w:r>
            <w:r w:rsidRPr="00320C3A">
              <w:rPr>
                <w:i/>
                <w:szCs w:val="22"/>
              </w:rPr>
              <w:t>ening</w:t>
            </w:r>
          </w:p>
        </w:tc>
        <w:tc>
          <w:tcPr>
            <w:tcW w:w="210" w:type="dxa"/>
            <w:shd w:val="clear" w:color="auto" w:fill="FFFFFF" w:themeFill="background1"/>
          </w:tcPr>
          <w:p w:rsidR="006B0CC7" w:rsidRPr="00320C3A" w:rsidRDefault="006B0CC7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6B0CC7" w:rsidRPr="00320C3A" w:rsidRDefault="006B0CC7" w:rsidP="006B0CC7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>Danmarks Vejlederforening har ingen bemærkninger til forslaget.</w:t>
            </w:r>
          </w:p>
        </w:tc>
        <w:tc>
          <w:tcPr>
            <w:tcW w:w="227" w:type="dxa"/>
            <w:shd w:val="clear" w:color="auto" w:fill="FFFFFF" w:themeFill="background1"/>
          </w:tcPr>
          <w:p w:rsidR="006B0CC7" w:rsidRPr="00B5346F" w:rsidRDefault="006B0CC7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6B0CC7" w:rsidRPr="00B5346F" w:rsidRDefault="006B0CC7" w:rsidP="002F41F8">
            <w:pPr>
              <w:pStyle w:val="Tabel-BrdtekstmedafstandptekstGaramond"/>
            </w:pPr>
          </w:p>
        </w:tc>
      </w:tr>
      <w:tr w:rsidR="00815F28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15F28" w:rsidRPr="00320C3A" w:rsidRDefault="002F41F8" w:rsidP="002F41F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Dansk Aktionærforening</w:t>
            </w:r>
          </w:p>
        </w:tc>
        <w:tc>
          <w:tcPr>
            <w:tcW w:w="210" w:type="dxa"/>
            <w:shd w:val="clear" w:color="auto" w:fill="FFFFFF" w:themeFill="background1"/>
          </w:tcPr>
          <w:p w:rsidR="00815F28" w:rsidRPr="00320C3A" w:rsidRDefault="00815F28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15F28" w:rsidRPr="00320C3A" w:rsidRDefault="002F41F8" w:rsidP="002F41F8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>Dansk Aktionærforening har ingen bemærkninger til forslaget.</w:t>
            </w:r>
          </w:p>
        </w:tc>
        <w:tc>
          <w:tcPr>
            <w:tcW w:w="227" w:type="dxa"/>
            <w:shd w:val="clear" w:color="auto" w:fill="FFFFFF" w:themeFill="background1"/>
          </w:tcPr>
          <w:p w:rsidR="00815F28" w:rsidRPr="00B5346F" w:rsidRDefault="00815F28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815F28" w:rsidRPr="00B5346F" w:rsidRDefault="00815F28" w:rsidP="002F41F8">
            <w:pPr>
              <w:pStyle w:val="Tabel-BrdtekstmedafstandptekstGaramond"/>
            </w:pPr>
          </w:p>
        </w:tc>
      </w:tr>
      <w:tr w:rsidR="002F41F8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2F41F8" w:rsidRPr="00320C3A" w:rsidRDefault="002F41F8" w:rsidP="002F41F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Dansk Arbejdsgiverfo</w:t>
            </w:r>
            <w:r w:rsidRPr="00320C3A">
              <w:rPr>
                <w:i/>
                <w:szCs w:val="22"/>
              </w:rPr>
              <w:t>r</w:t>
            </w:r>
            <w:r w:rsidRPr="00320C3A">
              <w:rPr>
                <w:i/>
                <w:szCs w:val="22"/>
              </w:rPr>
              <w:t>ening</w:t>
            </w:r>
          </w:p>
        </w:tc>
        <w:tc>
          <w:tcPr>
            <w:tcW w:w="210" w:type="dxa"/>
            <w:shd w:val="clear" w:color="auto" w:fill="FFFFFF" w:themeFill="background1"/>
          </w:tcPr>
          <w:p w:rsidR="002F41F8" w:rsidRPr="00320C3A" w:rsidRDefault="002F41F8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2F41F8" w:rsidRPr="00320C3A" w:rsidRDefault="002F41F8" w:rsidP="00320C3A">
            <w:pPr>
              <w:pStyle w:val="Tabel-BrdtekstmedafstandptekstGaramond"/>
            </w:pPr>
            <w:r w:rsidRPr="00320C3A">
              <w:t>Den fri bevægelighed af kapital, tjenesteydelser, varer og arbejd</w:t>
            </w:r>
            <w:r w:rsidRPr="00320C3A">
              <w:t>s</w:t>
            </w:r>
            <w:r w:rsidRPr="00320C3A">
              <w:t>kraft er af stor værdi for Danmark og danske virksomheder. Da</w:t>
            </w:r>
            <w:r w:rsidRPr="00320C3A">
              <w:t>n</w:t>
            </w:r>
            <w:r w:rsidRPr="00320C3A">
              <w:t>mark skal fortsat være fortaler for fri bevægelighed og forsvare de</w:t>
            </w:r>
            <w:r w:rsidRPr="00320C3A">
              <w:t>n</w:t>
            </w:r>
            <w:r w:rsidRPr="00320C3A">
              <w:t xml:space="preserve">ne. </w:t>
            </w:r>
          </w:p>
          <w:p w:rsidR="002F41F8" w:rsidRDefault="002F41F8" w:rsidP="00320C3A">
            <w:pPr>
              <w:pStyle w:val="Tabel-BrdtekstmedafstandptekstGaramond"/>
            </w:pPr>
          </w:p>
          <w:p w:rsidR="00DB6739" w:rsidRPr="00320C3A" w:rsidRDefault="00DB6739" w:rsidP="00320C3A">
            <w:pPr>
              <w:pStyle w:val="Tabel-BrdtekstmedafstandptekstGaramond"/>
            </w:pPr>
          </w:p>
          <w:p w:rsidR="002F41F8" w:rsidRPr="00320C3A" w:rsidRDefault="002F41F8" w:rsidP="00320C3A">
            <w:pPr>
              <w:pStyle w:val="Tabel-BrdtekstmedafstandptekstGaramond"/>
            </w:pPr>
            <w:r w:rsidRPr="00320C3A">
              <w:t>En del af accepten af den fri b</w:t>
            </w:r>
            <w:r w:rsidRPr="00320C3A">
              <w:t>e</w:t>
            </w:r>
            <w:r w:rsidRPr="00320C3A">
              <w:t>vægelighed er, at man lever op til de lovgivningsmæssige krav, som medlemslandene i enighed har vedtaget i EU. Krav som unde</w:t>
            </w:r>
            <w:r w:rsidRPr="00320C3A">
              <w:t>r</w:t>
            </w:r>
            <w:r w:rsidRPr="00320C3A">
              <w:t>støtter den fri bevægelighed ved, at lønmodtagere ikke står uden</w:t>
            </w:r>
            <w:r w:rsidR="00320C3A">
              <w:t xml:space="preserve"> </w:t>
            </w:r>
            <w:r w:rsidRPr="00320C3A">
              <w:t>re</w:t>
            </w:r>
            <w:r w:rsidRPr="00320C3A">
              <w:t>t</w:t>
            </w:r>
            <w:r w:rsidRPr="00320C3A">
              <w:t>tigheder, blot fordi de arbejder i et andet EU-land, og samtidig r</w:t>
            </w:r>
            <w:r w:rsidRPr="00320C3A">
              <w:t>e</w:t>
            </w:r>
            <w:r w:rsidRPr="00320C3A">
              <w:t>spekterer medlemslandenes ret til at fastlægge deres velfærdssyst</w:t>
            </w:r>
            <w:r w:rsidRPr="00320C3A">
              <w:t>e</w:t>
            </w:r>
            <w:r w:rsidRPr="00320C3A">
              <w:t>mer. Danmark skal naturligvis h</w:t>
            </w:r>
            <w:r w:rsidRPr="00320C3A">
              <w:t>a</w:t>
            </w:r>
            <w:r w:rsidRPr="00320C3A">
              <w:t>ve nationale regler, der ikke ko</w:t>
            </w:r>
            <w:r w:rsidRPr="00320C3A">
              <w:t>n</w:t>
            </w:r>
            <w:r w:rsidRPr="00320C3A">
              <w:t>flikter med lovgivningen på EU-niveau.</w:t>
            </w:r>
          </w:p>
          <w:p w:rsidR="002F41F8" w:rsidRPr="00320C3A" w:rsidRDefault="002F41F8" w:rsidP="00320C3A">
            <w:pPr>
              <w:pStyle w:val="Tabel-BrdtekstmedafstandptekstGaramond"/>
            </w:pPr>
          </w:p>
          <w:p w:rsidR="002F41F8" w:rsidRPr="00320C3A" w:rsidRDefault="002F41F8" w:rsidP="00320C3A">
            <w:pPr>
              <w:pStyle w:val="Tabel-BrdtekstmedafstandptekstGaramond"/>
            </w:pPr>
            <w:r w:rsidRPr="00320C3A">
              <w:t>DA afgav i forbindelse med indf</w:t>
            </w:r>
            <w:r w:rsidRPr="00320C3A">
              <w:t>ø</w:t>
            </w:r>
            <w:r w:rsidRPr="00320C3A">
              <w:t>relse af optjeningsprincippet et h</w:t>
            </w:r>
            <w:r w:rsidRPr="00320C3A">
              <w:t>ø</w:t>
            </w:r>
            <w:r w:rsidRPr="00320C3A">
              <w:t>ringssvar i november 2010, hvoraf det fremgår, at DA kan tilslutte sig intentionerne om indførelse af et optjeningsprincip for børneydelse og børnetillæg.</w:t>
            </w:r>
          </w:p>
          <w:p w:rsidR="002F41F8" w:rsidRPr="00320C3A" w:rsidRDefault="002F41F8" w:rsidP="00320C3A">
            <w:pPr>
              <w:pStyle w:val="Tabel-BrdtekstmedafstandptekstGaramond"/>
            </w:pPr>
          </w:p>
          <w:p w:rsidR="002F41F8" w:rsidRPr="00320C3A" w:rsidRDefault="002F41F8" w:rsidP="00320C3A">
            <w:pPr>
              <w:pStyle w:val="Tabel-BrdtekstmedafstandptekstGaramond"/>
            </w:pPr>
            <w:r w:rsidRPr="00320C3A">
              <w:t>Regeringen vurderer nu, at to</w:t>
            </w:r>
            <w:r w:rsidR="00320C3A">
              <w:t xml:space="preserve"> d</w:t>
            </w:r>
            <w:r w:rsidRPr="00320C3A">
              <w:t>omme afsagt i henholdsvis 2011 og 2013 har bidraget til en ny fo</w:t>
            </w:r>
            <w:r w:rsidRPr="00320C3A">
              <w:t>r</w:t>
            </w:r>
            <w:r w:rsidRPr="00320C3A">
              <w:t>ståelse af rækkevidden af samme</w:t>
            </w:r>
            <w:r w:rsidRPr="00320C3A">
              <w:t>n</w:t>
            </w:r>
            <w:r w:rsidRPr="00320C3A">
              <w:t>lægningsprincippet i</w:t>
            </w:r>
            <w:r w:rsidR="00320C3A">
              <w:t xml:space="preserve"> </w:t>
            </w:r>
            <w:r w:rsidRPr="00320C3A">
              <w:t>forordning 883/2004. DA har derfor forståe</w:t>
            </w:r>
            <w:r w:rsidRPr="00320C3A">
              <w:t>l</w:t>
            </w:r>
            <w:r w:rsidRPr="00320C3A">
              <w:t>se for, at den danske lovgivning snarest muligt bringes i overen</w:t>
            </w:r>
            <w:r w:rsidRPr="00320C3A">
              <w:t>s</w:t>
            </w:r>
            <w:r w:rsidRPr="00320C3A">
              <w:t>stemmelse med EU-retten.</w:t>
            </w:r>
          </w:p>
          <w:p w:rsidR="002F41F8" w:rsidRPr="00320C3A" w:rsidRDefault="002F41F8" w:rsidP="00320C3A">
            <w:pPr>
              <w:pStyle w:val="Tabel-BrdtekstmedafstandptekstGaramond"/>
            </w:pPr>
          </w:p>
          <w:p w:rsidR="00320C3A" w:rsidRPr="00320C3A" w:rsidRDefault="002F41F8" w:rsidP="00320C3A">
            <w:pPr>
              <w:pStyle w:val="Tabel-BrdtekstmedafstandptekstGaramond"/>
              <w:rPr>
                <w:szCs w:val="22"/>
              </w:rPr>
            </w:pPr>
            <w:r w:rsidRPr="00320C3A">
              <w:t>DA henleder opmærksomheden på, at såfremt et flertal i Folketi</w:t>
            </w:r>
            <w:r w:rsidRPr="00320C3A">
              <w:t>n</w:t>
            </w:r>
            <w:r w:rsidRPr="00320C3A">
              <w:t>get finder behov for et stærkere værn mod utilsigtet udbetaling af børnecheck end det, som</w:t>
            </w:r>
            <w:r w:rsidR="00320C3A">
              <w:t xml:space="preserve"> </w:t>
            </w:r>
            <w:r w:rsidRPr="00320C3A">
              <w:t>EU-retten muliggør i forhold til den nuværende indretning som en del af skattesystemet, kan et udre</w:t>
            </w:r>
            <w:r w:rsidRPr="00320C3A">
              <w:t>d</w:t>
            </w:r>
            <w:r w:rsidRPr="00320C3A">
              <w:t>ningsarbejde f.eks. afklare om det er muligt at omlægge ordningen, så den i stedet bliver en social fora</w:t>
            </w:r>
            <w:r w:rsidRPr="00320C3A">
              <w:t>n</w:t>
            </w:r>
            <w:r w:rsidRPr="00320C3A">
              <w:t>staltning.</w:t>
            </w:r>
          </w:p>
        </w:tc>
        <w:tc>
          <w:tcPr>
            <w:tcW w:w="227" w:type="dxa"/>
            <w:shd w:val="clear" w:color="auto" w:fill="FFFFFF" w:themeFill="background1"/>
          </w:tcPr>
          <w:p w:rsidR="002F41F8" w:rsidRPr="00B5346F" w:rsidRDefault="002F41F8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2F41F8" w:rsidRDefault="002F41F8" w:rsidP="003615EE">
            <w:pPr>
              <w:pStyle w:val="Tabel-BrdtekstmedafstandptekstGaramond"/>
              <w:ind w:left="0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DB6739" w:rsidRDefault="00DB6739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3615EE" w:rsidP="002F41F8">
            <w:pPr>
              <w:pStyle w:val="Tabel-BrdtekstmedafstandptekstGaramond"/>
            </w:pPr>
            <w:r>
              <w:t>Lovforslaget har til formål at sikre, at danske nationale regler ikke er i konflikt med lovgivningen på EU-niveau. Regeringen deler således DA’s holdning hertil</w:t>
            </w:r>
            <w:r w:rsidR="00F36EDF">
              <w:t>.</w:t>
            </w: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Pr="00B5346F" w:rsidRDefault="0044459B" w:rsidP="0044459B">
            <w:pPr>
              <w:pStyle w:val="Tabel-BrdtekstmedafstandptekstGaramond"/>
            </w:pPr>
            <w:r>
              <w:t>Ska</w:t>
            </w:r>
            <w:r w:rsidR="00DB6739">
              <w:t xml:space="preserve">tteministeriet har noteret sig </w:t>
            </w:r>
            <w:proofErr w:type="spellStart"/>
            <w:r>
              <w:t>DAs</w:t>
            </w:r>
            <w:proofErr w:type="spellEnd"/>
            <w:r>
              <w:t xml:space="preserve"> forslag. </w:t>
            </w:r>
          </w:p>
        </w:tc>
      </w:tr>
      <w:tr w:rsidR="006B0CC7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6B0CC7" w:rsidRPr="00320C3A" w:rsidRDefault="006B0CC7" w:rsidP="002F41F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Dansk Byggeri</w:t>
            </w:r>
          </w:p>
        </w:tc>
        <w:tc>
          <w:tcPr>
            <w:tcW w:w="210" w:type="dxa"/>
            <w:shd w:val="clear" w:color="auto" w:fill="FFFFFF" w:themeFill="background1"/>
          </w:tcPr>
          <w:p w:rsidR="006B0CC7" w:rsidRPr="00320C3A" w:rsidRDefault="006B0CC7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6B0CC7" w:rsidRPr="00320C3A" w:rsidRDefault="006B0CC7" w:rsidP="006B0CC7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 xml:space="preserve">Dansk Byggeri henviser til </w:t>
            </w:r>
            <w:proofErr w:type="spellStart"/>
            <w:r w:rsidRPr="00320C3A">
              <w:rPr>
                <w:szCs w:val="22"/>
              </w:rPr>
              <w:t>DAs</w:t>
            </w:r>
            <w:proofErr w:type="spellEnd"/>
            <w:r w:rsidRPr="00320C3A">
              <w:rPr>
                <w:szCs w:val="22"/>
              </w:rPr>
              <w:t xml:space="preserve"> høringssvar.</w:t>
            </w:r>
          </w:p>
        </w:tc>
        <w:tc>
          <w:tcPr>
            <w:tcW w:w="227" w:type="dxa"/>
            <w:shd w:val="clear" w:color="auto" w:fill="FFFFFF" w:themeFill="background1"/>
          </w:tcPr>
          <w:p w:rsidR="006B0CC7" w:rsidRPr="00B5346F" w:rsidRDefault="006B0CC7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6B0CC7" w:rsidRPr="00B5346F" w:rsidRDefault="006B0CC7" w:rsidP="002F41F8">
            <w:pPr>
              <w:pStyle w:val="Tabel-BrdtekstmedafstandptekstGaramond"/>
            </w:pPr>
          </w:p>
        </w:tc>
      </w:tr>
      <w:tr w:rsidR="00815F28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15F28" w:rsidRPr="00320C3A" w:rsidRDefault="002F41F8" w:rsidP="002F41F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Dansk Erhverv</w:t>
            </w:r>
          </w:p>
        </w:tc>
        <w:tc>
          <w:tcPr>
            <w:tcW w:w="210" w:type="dxa"/>
            <w:shd w:val="clear" w:color="auto" w:fill="FFFFFF" w:themeFill="background1"/>
          </w:tcPr>
          <w:p w:rsidR="00815F28" w:rsidRPr="00320C3A" w:rsidRDefault="00815F28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15F28" w:rsidRPr="00320C3A" w:rsidRDefault="002F41F8" w:rsidP="006B0CC7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 xml:space="preserve">Dansk Erhverv </w:t>
            </w:r>
            <w:r w:rsidR="006B0CC7" w:rsidRPr="00320C3A">
              <w:rPr>
                <w:szCs w:val="22"/>
              </w:rPr>
              <w:t xml:space="preserve">henviser </w:t>
            </w:r>
            <w:proofErr w:type="spellStart"/>
            <w:r w:rsidRPr="00320C3A">
              <w:rPr>
                <w:szCs w:val="22"/>
              </w:rPr>
              <w:t>DAs</w:t>
            </w:r>
            <w:proofErr w:type="spellEnd"/>
            <w:r w:rsidRPr="00320C3A">
              <w:rPr>
                <w:szCs w:val="22"/>
              </w:rPr>
              <w:t xml:space="preserve"> h</w:t>
            </w:r>
            <w:r w:rsidRPr="00320C3A">
              <w:rPr>
                <w:szCs w:val="22"/>
              </w:rPr>
              <w:t>ø</w:t>
            </w:r>
            <w:r w:rsidRPr="00320C3A">
              <w:rPr>
                <w:szCs w:val="22"/>
              </w:rPr>
              <w:t>ringssvar</w:t>
            </w:r>
            <w:r w:rsidR="006B0CC7" w:rsidRPr="00320C3A">
              <w:rPr>
                <w:szCs w:val="22"/>
              </w:rPr>
              <w:t>.</w:t>
            </w:r>
            <w:r w:rsidRPr="00320C3A">
              <w:rPr>
                <w:szCs w:val="22"/>
              </w:rPr>
              <w:t xml:space="preserve"> </w:t>
            </w:r>
          </w:p>
        </w:tc>
        <w:tc>
          <w:tcPr>
            <w:tcW w:w="227" w:type="dxa"/>
            <w:shd w:val="clear" w:color="auto" w:fill="FFFFFF" w:themeFill="background1"/>
          </w:tcPr>
          <w:p w:rsidR="00815F28" w:rsidRPr="00B5346F" w:rsidRDefault="00815F28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815F28" w:rsidRPr="00B5346F" w:rsidRDefault="00815F28" w:rsidP="002F41F8">
            <w:pPr>
              <w:pStyle w:val="Tabel-BrdtekstmedafstandptekstGaramond"/>
            </w:pPr>
          </w:p>
        </w:tc>
      </w:tr>
      <w:tr w:rsidR="00815F28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15F28" w:rsidRPr="00320C3A" w:rsidRDefault="002F41F8" w:rsidP="002F41F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Dansk Industri</w:t>
            </w:r>
          </w:p>
        </w:tc>
        <w:tc>
          <w:tcPr>
            <w:tcW w:w="210" w:type="dxa"/>
            <w:shd w:val="clear" w:color="auto" w:fill="FFFFFF" w:themeFill="background1"/>
          </w:tcPr>
          <w:p w:rsidR="00815F28" w:rsidRPr="00320C3A" w:rsidRDefault="00815F28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815F28" w:rsidRPr="00320C3A" w:rsidRDefault="002F41F8" w:rsidP="006B0CC7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>Dansk Industri hen</w:t>
            </w:r>
            <w:r w:rsidR="006B0CC7" w:rsidRPr="00320C3A">
              <w:rPr>
                <w:szCs w:val="22"/>
              </w:rPr>
              <w:t xml:space="preserve">viser </w:t>
            </w:r>
            <w:r w:rsidRPr="00320C3A">
              <w:rPr>
                <w:szCs w:val="22"/>
              </w:rPr>
              <w:t xml:space="preserve">til </w:t>
            </w:r>
            <w:proofErr w:type="spellStart"/>
            <w:r w:rsidRPr="00320C3A">
              <w:rPr>
                <w:szCs w:val="22"/>
              </w:rPr>
              <w:t>DAs</w:t>
            </w:r>
            <w:proofErr w:type="spellEnd"/>
            <w:r w:rsidRPr="00320C3A">
              <w:rPr>
                <w:szCs w:val="22"/>
              </w:rPr>
              <w:t xml:space="preserve"> høringssvar.</w:t>
            </w:r>
          </w:p>
        </w:tc>
        <w:tc>
          <w:tcPr>
            <w:tcW w:w="227" w:type="dxa"/>
            <w:shd w:val="clear" w:color="auto" w:fill="FFFFFF" w:themeFill="background1"/>
          </w:tcPr>
          <w:p w:rsidR="00815F28" w:rsidRPr="00B5346F" w:rsidRDefault="00815F28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815F28" w:rsidRPr="00B5346F" w:rsidRDefault="00815F28" w:rsidP="002F41F8">
            <w:pPr>
              <w:pStyle w:val="Tabel-BrdtekstmedafstandptekstGaramond"/>
            </w:pPr>
          </w:p>
        </w:tc>
      </w:tr>
      <w:tr w:rsidR="00BF1460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BF1460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Danske Erhvervsskoler</w:t>
            </w:r>
          </w:p>
        </w:tc>
        <w:tc>
          <w:tcPr>
            <w:tcW w:w="210" w:type="dxa"/>
            <w:shd w:val="clear" w:color="auto" w:fill="FFFFFF" w:themeFill="background1"/>
          </w:tcPr>
          <w:p w:rsidR="00BF1460" w:rsidRPr="00320C3A" w:rsidRDefault="00BF1460" w:rsidP="00BF1460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18740F" w:rsidRDefault="00BF1460" w:rsidP="0018740F">
            <w:pPr>
              <w:pStyle w:val="Tabel-BrdtekstmedafstandptekstGaramond"/>
            </w:pPr>
            <w:r w:rsidRPr="0018740F">
              <w:t>Danske Erhvervsskoler – Bestyre</w:t>
            </w:r>
            <w:r w:rsidRPr="0018740F">
              <w:t>l</w:t>
            </w:r>
            <w:r w:rsidRPr="0018740F">
              <w:t>serne (DE-B) og Danske E</w:t>
            </w:r>
            <w:r w:rsidRPr="0018740F">
              <w:t>r</w:t>
            </w:r>
            <w:r w:rsidRPr="0018740F">
              <w:t>hvervsskoler – Lederne (DE-L) har ingen bemærkninger til forsl</w:t>
            </w:r>
            <w:r w:rsidRPr="0018740F">
              <w:t>a</w:t>
            </w:r>
            <w:r w:rsidRPr="0018740F">
              <w:t>get.</w:t>
            </w:r>
          </w:p>
        </w:tc>
        <w:tc>
          <w:tcPr>
            <w:tcW w:w="227" w:type="dxa"/>
            <w:shd w:val="clear" w:color="auto" w:fill="FFFFFF" w:themeFill="background1"/>
          </w:tcPr>
          <w:p w:rsidR="00BF1460" w:rsidRPr="00B5346F" w:rsidRDefault="00BF1460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BF1460" w:rsidRPr="00B5346F" w:rsidRDefault="00BF1460" w:rsidP="002F41F8">
            <w:pPr>
              <w:pStyle w:val="Tabel-BrdtekstmedafstandptekstGaramond"/>
            </w:pPr>
          </w:p>
        </w:tc>
      </w:tr>
      <w:tr w:rsidR="00BF1460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815F2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Danske Universiteter</w:t>
            </w:r>
          </w:p>
        </w:tc>
        <w:tc>
          <w:tcPr>
            <w:tcW w:w="210" w:type="dxa"/>
            <w:shd w:val="clear" w:color="auto" w:fill="FFFFFF" w:themeFill="background1"/>
          </w:tcPr>
          <w:p w:rsidR="00BF1460" w:rsidRPr="00320C3A" w:rsidRDefault="00BF1460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6B0CC7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>Danske Universiteter har ingen bemærkninger til forslaget.</w:t>
            </w:r>
          </w:p>
        </w:tc>
        <w:tc>
          <w:tcPr>
            <w:tcW w:w="227" w:type="dxa"/>
            <w:shd w:val="clear" w:color="auto" w:fill="FFFFFF" w:themeFill="background1"/>
          </w:tcPr>
          <w:p w:rsidR="00BF1460" w:rsidRPr="00B5346F" w:rsidRDefault="00BF1460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BF1460" w:rsidRPr="00B5346F" w:rsidRDefault="00BF1460" w:rsidP="002F41F8">
            <w:pPr>
              <w:pStyle w:val="Tabel-BrdtekstmedafstandptekstGaramond"/>
            </w:pPr>
          </w:p>
        </w:tc>
      </w:tr>
      <w:tr w:rsidR="00BF1460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815F2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Datatilsynet</w:t>
            </w:r>
          </w:p>
        </w:tc>
        <w:tc>
          <w:tcPr>
            <w:tcW w:w="210" w:type="dxa"/>
            <w:shd w:val="clear" w:color="auto" w:fill="FFFFFF" w:themeFill="background1"/>
          </w:tcPr>
          <w:p w:rsidR="00BF1460" w:rsidRPr="00320C3A" w:rsidRDefault="00BF1460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6B0CC7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>Datatilsynet har ingen bemærkni</w:t>
            </w:r>
            <w:r w:rsidRPr="00320C3A">
              <w:rPr>
                <w:szCs w:val="22"/>
              </w:rPr>
              <w:t>n</w:t>
            </w:r>
            <w:r w:rsidRPr="00320C3A">
              <w:rPr>
                <w:szCs w:val="22"/>
              </w:rPr>
              <w:t>ger til forslaget.</w:t>
            </w:r>
          </w:p>
        </w:tc>
        <w:tc>
          <w:tcPr>
            <w:tcW w:w="227" w:type="dxa"/>
            <w:shd w:val="clear" w:color="auto" w:fill="FFFFFF" w:themeFill="background1"/>
          </w:tcPr>
          <w:p w:rsidR="00BF1460" w:rsidRPr="00B5346F" w:rsidRDefault="00BF1460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BF1460" w:rsidRPr="00B5346F" w:rsidRDefault="00BF1460" w:rsidP="002F41F8">
            <w:pPr>
              <w:pStyle w:val="Tabel-BrdtekstmedafstandptekstGaramond"/>
            </w:pPr>
          </w:p>
        </w:tc>
      </w:tr>
      <w:tr w:rsidR="00BF1460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18740F" w:rsidRDefault="00BF1460" w:rsidP="00815F28">
            <w:pPr>
              <w:pStyle w:val="Tabel-BrdtekstmedafstandptekstGaramond"/>
              <w:rPr>
                <w:i/>
                <w:szCs w:val="22"/>
              </w:rPr>
            </w:pPr>
            <w:r w:rsidRPr="0018740F">
              <w:rPr>
                <w:rFonts w:cs="Times New Roman"/>
                <w:i/>
                <w:color w:val="000000"/>
                <w:szCs w:val="22"/>
              </w:rPr>
              <w:t>Departementet for Fam</w:t>
            </w:r>
            <w:r w:rsidRPr="0018740F">
              <w:rPr>
                <w:rFonts w:cs="Times New Roman"/>
                <w:i/>
                <w:color w:val="000000"/>
                <w:szCs w:val="22"/>
              </w:rPr>
              <w:t>i</w:t>
            </w:r>
            <w:r w:rsidRPr="0018740F">
              <w:rPr>
                <w:rFonts w:cs="Times New Roman"/>
                <w:i/>
                <w:color w:val="000000"/>
                <w:szCs w:val="22"/>
              </w:rPr>
              <w:t>lie og Justitsvæsen i Grø</w:t>
            </w:r>
            <w:r w:rsidRPr="0018740F">
              <w:rPr>
                <w:rFonts w:cs="Times New Roman"/>
                <w:i/>
                <w:color w:val="000000"/>
                <w:szCs w:val="22"/>
              </w:rPr>
              <w:t>n</w:t>
            </w:r>
            <w:r w:rsidRPr="0018740F">
              <w:rPr>
                <w:rFonts w:cs="Times New Roman"/>
                <w:i/>
                <w:color w:val="000000"/>
                <w:szCs w:val="22"/>
              </w:rPr>
              <w:t>land</w:t>
            </w:r>
          </w:p>
        </w:tc>
        <w:tc>
          <w:tcPr>
            <w:tcW w:w="210" w:type="dxa"/>
            <w:shd w:val="clear" w:color="auto" w:fill="FFFFFF" w:themeFill="background1"/>
          </w:tcPr>
          <w:p w:rsidR="00BF1460" w:rsidRPr="00320C3A" w:rsidRDefault="00BF1460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2F41F8">
            <w:pPr>
              <w:pStyle w:val="Tabel-BrdtekstmedafstandptekstGaramond"/>
              <w:rPr>
                <w:szCs w:val="22"/>
              </w:rPr>
            </w:pPr>
            <w:r w:rsidRPr="00320C3A">
              <w:rPr>
                <w:rFonts w:cs="Times New Roman"/>
                <w:color w:val="000000"/>
                <w:szCs w:val="22"/>
              </w:rPr>
              <w:t>Departementet for Familie og J</w:t>
            </w:r>
            <w:r w:rsidRPr="00320C3A">
              <w:rPr>
                <w:rFonts w:cs="Times New Roman"/>
                <w:color w:val="000000"/>
                <w:szCs w:val="22"/>
              </w:rPr>
              <w:t>u</w:t>
            </w:r>
            <w:r w:rsidRPr="00320C3A">
              <w:rPr>
                <w:rFonts w:cs="Times New Roman"/>
                <w:color w:val="000000"/>
                <w:szCs w:val="22"/>
              </w:rPr>
              <w:t xml:space="preserve">stitsvæsen </w:t>
            </w:r>
            <w:r w:rsidRPr="00320C3A">
              <w:rPr>
                <w:szCs w:val="22"/>
              </w:rPr>
              <w:t>har ingen bemærkninger til forslaget.</w:t>
            </w:r>
          </w:p>
        </w:tc>
        <w:tc>
          <w:tcPr>
            <w:tcW w:w="227" w:type="dxa"/>
            <w:shd w:val="clear" w:color="auto" w:fill="FFFFFF" w:themeFill="background1"/>
          </w:tcPr>
          <w:p w:rsidR="00BF1460" w:rsidRPr="00B5346F" w:rsidRDefault="00BF1460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BF1460" w:rsidRPr="00B5346F" w:rsidRDefault="00BF1460" w:rsidP="002F41F8">
            <w:pPr>
              <w:pStyle w:val="Tabel-BrdtekstmedafstandptekstGaramond"/>
            </w:pPr>
          </w:p>
        </w:tc>
      </w:tr>
      <w:tr w:rsidR="00BF1460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18740F" w:rsidRDefault="00BF1460" w:rsidP="00815F28">
            <w:pPr>
              <w:pStyle w:val="Tabel-BrdtekstmedafstandptekstGaramond"/>
              <w:rPr>
                <w:rFonts w:cs="Times New Roman"/>
                <w:i/>
                <w:color w:val="000000"/>
                <w:szCs w:val="22"/>
              </w:rPr>
            </w:pPr>
            <w:r w:rsidRPr="0018740F">
              <w:rPr>
                <w:rFonts w:cs="Times New Roman"/>
                <w:i/>
                <w:color w:val="000000"/>
                <w:szCs w:val="22"/>
              </w:rPr>
              <w:t>Det Kriminalpræventive Råd</w:t>
            </w:r>
          </w:p>
        </w:tc>
        <w:tc>
          <w:tcPr>
            <w:tcW w:w="210" w:type="dxa"/>
            <w:shd w:val="clear" w:color="auto" w:fill="FFFFFF" w:themeFill="background1"/>
          </w:tcPr>
          <w:p w:rsidR="00BF1460" w:rsidRPr="00320C3A" w:rsidRDefault="00BF1460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2F41F8">
            <w:pPr>
              <w:pStyle w:val="Tabel-BrdtekstmedafstandptekstGaramond"/>
              <w:rPr>
                <w:rFonts w:cs="Times New Roman"/>
                <w:color w:val="000000"/>
                <w:szCs w:val="22"/>
              </w:rPr>
            </w:pPr>
            <w:r w:rsidRPr="00320C3A">
              <w:rPr>
                <w:rFonts w:cs="Times New Roman"/>
                <w:color w:val="000000"/>
                <w:szCs w:val="22"/>
              </w:rPr>
              <w:t>Det Kriminalpræventive Råd</w:t>
            </w:r>
            <w:r w:rsidRPr="00320C3A">
              <w:rPr>
                <w:szCs w:val="22"/>
              </w:rPr>
              <w:t xml:space="preserve"> har ingen bemærkninger til forslaget.</w:t>
            </w:r>
          </w:p>
        </w:tc>
        <w:tc>
          <w:tcPr>
            <w:tcW w:w="227" w:type="dxa"/>
            <w:shd w:val="clear" w:color="auto" w:fill="FFFFFF" w:themeFill="background1"/>
          </w:tcPr>
          <w:p w:rsidR="00BF1460" w:rsidRPr="00B5346F" w:rsidRDefault="00BF1460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BF1460" w:rsidRPr="00B5346F" w:rsidRDefault="00BF1460" w:rsidP="002F41F8">
            <w:pPr>
              <w:pStyle w:val="Tabel-BrdtekstmedafstandptekstGaramond"/>
            </w:pPr>
          </w:p>
        </w:tc>
      </w:tr>
      <w:tr w:rsidR="00BF1460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18740F" w:rsidRDefault="00BF1460" w:rsidP="00815F28">
            <w:pPr>
              <w:pStyle w:val="Tabel-BrdtekstmedafstandptekstGaramond"/>
              <w:rPr>
                <w:rFonts w:cs="Times New Roman"/>
                <w:i/>
                <w:color w:val="000000"/>
                <w:szCs w:val="22"/>
              </w:rPr>
            </w:pPr>
            <w:r w:rsidRPr="0018740F">
              <w:rPr>
                <w:rFonts w:cs="Times New Roman"/>
                <w:i/>
                <w:color w:val="000000"/>
                <w:szCs w:val="22"/>
              </w:rPr>
              <w:t>Erhvervsstyrelsen</w:t>
            </w:r>
          </w:p>
        </w:tc>
        <w:tc>
          <w:tcPr>
            <w:tcW w:w="210" w:type="dxa"/>
            <w:shd w:val="clear" w:color="auto" w:fill="FFFFFF" w:themeFill="background1"/>
          </w:tcPr>
          <w:p w:rsidR="00BF1460" w:rsidRPr="00320C3A" w:rsidRDefault="00BF1460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BF1460">
            <w:pPr>
              <w:pStyle w:val="Tabel-BrdtekstmedafstandptekstGaramond"/>
              <w:rPr>
                <w:rFonts w:cs="Times New Roman"/>
                <w:color w:val="000000"/>
                <w:szCs w:val="22"/>
              </w:rPr>
            </w:pPr>
            <w:r w:rsidRPr="00320C3A">
              <w:rPr>
                <w:rFonts w:cs="Times New Roman"/>
                <w:color w:val="000000"/>
                <w:szCs w:val="22"/>
              </w:rPr>
              <w:t xml:space="preserve">Erhvervsstyrelsen (herunder TER) </w:t>
            </w:r>
            <w:r w:rsidRPr="00320C3A">
              <w:rPr>
                <w:szCs w:val="22"/>
              </w:rPr>
              <w:t>har ingen bemærkninger til forsl</w:t>
            </w:r>
            <w:r w:rsidRPr="00320C3A">
              <w:rPr>
                <w:szCs w:val="22"/>
              </w:rPr>
              <w:t>a</w:t>
            </w:r>
            <w:r w:rsidRPr="00320C3A">
              <w:rPr>
                <w:szCs w:val="22"/>
              </w:rPr>
              <w:t>get.</w:t>
            </w:r>
          </w:p>
        </w:tc>
        <w:tc>
          <w:tcPr>
            <w:tcW w:w="227" w:type="dxa"/>
            <w:shd w:val="clear" w:color="auto" w:fill="FFFFFF" w:themeFill="background1"/>
          </w:tcPr>
          <w:p w:rsidR="00BF1460" w:rsidRPr="00B5346F" w:rsidRDefault="00BF1460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BF1460" w:rsidRPr="00B5346F" w:rsidRDefault="00BF1460" w:rsidP="002F41F8">
            <w:pPr>
              <w:pStyle w:val="Tabel-BrdtekstmedafstandptekstGaramond"/>
            </w:pPr>
          </w:p>
        </w:tc>
      </w:tr>
      <w:tr w:rsidR="00BF1460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18740F" w:rsidRDefault="00BF1460" w:rsidP="00815F28">
            <w:pPr>
              <w:pStyle w:val="Tabel-BrdtekstmedafstandptekstGaramond"/>
              <w:rPr>
                <w:rFonts w:cs="Times New Roman"/>
                <w:i/>
                <w:color w:val="000000"/>
                <w:szCs w:val="22"/>
              </w:rPr>
            </w:pPr>
            <w:r w:rsidRPr="0018740F">
              <w:rPr>
                <w:rFonts w:cs="Times New Roman"/>
                <w:i/>
                <w:color w:val="000000"/>
                <w:szCs w:val="22"/>
              </w:rPr>
              <w:t>Finanssektorens A</w:t>
            </w:r>
            <w:r w:rsidRPr="0018740F">
              <w:rPr>
                <w:rFonts w:cs="Times New Roman"/>
                <w:i/>
                <w:color w:val="000000"/>
                <w:szCs w:val="22"/>
              </w:rPr>
              <w:t>r</w:t>
            </w:r>
            <w:r w:rsidRPr="0018740F">
              <w:rPr>
                <w:rFonts w:cs="Times New Roman"/>
                <w:i/>
                <w:color w:val="000000"/>
                <w:szCs w:val="22"/>
              </w:rPr>
              <w:t>bejdsgiverforening</w:t>
            </w:r>
          </w:p>
        </w:tc>
        <w:tc>
          <w:tcPr>
            <w:tcW w:w="210" w:type="dxa"/>
            <w:shd w:val="clear" w:color="auto" w:fill="FFFFFF" w:themeFill="background1"/>
          </w:tcPr>
          <w:p w:rsidR="00BF1460" w:rsidRPr="00320C3A" w:rsidRDefault="00BF1460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BF1460">
            <w:pPr>
              <w:pStyle w:val="Tabel-BrdtekstmedafstandptekstGaramond"/>
              <w:rPr>
                <w:rFonts w:cs="Times New Roman"/>
                <w:color w:val="000000"/>
                <w:szCs w:val="22"/>
              </w:rPr>
            </w:pPr>
            <w:r w:rsidRPr="00320C3A">
              <w:rPr>
                <w:rFonts w:cs="Times New Roman"/>
                <w:color w:val="000000"/>
                <w:szCs w:val="22"/>
              </w:rPr>
              <w:t>Finanssektorens Arbejdsgiverfo</w:t>
            </w:r>
            <w:r w:rsidRPr="00320C3A">
              <w:rPr>
                <w:rFonts w:cs="Times New Roman"/>
                <w:color w:val="000000"/>
                <w:szCs w:val="22"/>
              </w:rPr>
              <w:t>r</w:t>
            </w:r>
            <w:r w:rsidRPr="00320C3A">
              <w:rPr>
                <w:rFonts w:cs="Times New Roman"/>
                <w:color w:val="000000"/>
                <w:szCs w:val="22"/>
              </w:rPr>
              <w:t>ening støtter, at den danske lo</w:t>
            </w:r>
            <w:r w:rsidRPr="00320C3A">
              <w:rPr>
                <w:rFonts w:cs="Times New Roman"/>
                <w:color w:val="000000"/>
                <w:szCs w:val="22"/>
              </w:rPr>
              <w:t>v</w:t>
            </w:r>
            <w:r w:rsidRPr="00320C3A">
              <w:rPr>
                <w:rFonts w:cs="Times New Roman"/>
                <w:color w:val="000000"/>
                <w:szCs w:val="22"/>
              </w:rPr>
              <w:t>givning bringes i overensstemme</w:t>
            </w:r>
            <w:r w:rsidRPr="00320C3A">
              <w:rPr>
                <w:rFonts w:cs="Times New Roman"/>
                <w:color w:val="000000"/>
                <w:szCs w:val="22"/>
              </w:rPr>
              <w:t>l</w:t>
            </w:r>
            <w:r w:rsidRPr="00320C3A">
              <w:rPr>
                <w:rFonts w:cs="Times New Roman"/>
                <w:color w:val="000000"/>
                <w:szCs w:val="22"/>
              </w:rPr>
              <w:t>se med EU-retten. Finanssekt</w:t>
            </w:r>
            <w:r w:rsidRPr="00320C3A">
              <w:rPr>
                <w:rFonts w:cs="Times New Roman"/>
                <w:color w:val="000000"/>
                <w:szCs w:val="22"/>
              </w:rPr>
              <w:t>o</w:t>
            </w:r>
            <w:r w:rsidRPr="00320C3A">
              <w:rPr>
                <w:rFonts w:cs="Times New Roman"/>
                <w:color w:val="000000"/>
                <w:szCs w:val="22"/>
              </w:rPr>
              <w:t>rens Arbejdsgiverforening skal i den forbindelse pege på, at der kan være behov for lovgivningsmæss</w:t>
            </w:r>
            <w:r w:rsidRPr="00320C3A">
              <w:rPr>
                <w:rFonts w:cs="Times New Roman"/>
                <w:color w:val="000000"/>
                <w:szCs w:val="22"/>
              </w:rPr>
              <w:t>i</w:t>
            </w:r>
            <w:r w:rsidRPr="00320C3A">
              <w:rPr>
                <w:rFonts w:cs="Times New Roman"/>
                <w:color w:val="000000"/>
                <w:szCs w:val="22"/>
              </w:rPr>
              <w:t>ge tiltag, der i højere grad sikrer, at modtagerne af de pågældende ydelser reelt opfylder betingelserne for at modtage ydelsen, herunder kravet om ophold i Danmark. Der kan i den forbindelse peges på m</w:t>
            </w:r>
            <w:r w:rsidRPr="00320C3A">
              <w:rPr>
                <w:rFonts w:cs="Times New Roman"/>
                <w:color w:val="000000"/>
                <w:szCs w:val="22"/>
              </w:rPr>
              <w:t>u</w:t>
            </w:r>
            <w:r w:rsidRPr="00320C3A">
              <w:rPr>
                <w:rFonts w:cs="Times New Roman"/>
                <w:color w:val="000000"/>
                <w:szCs w:val="22"/>
              </w:rPr>
              <w:t>ligheden for at omlægge udbet</w:t>
            </w:r>
            <w:r w:rsidRPr="00320C3A">
              <w:rPr>
                <w:rFonts w:cs="Times New Roman"/>
                <w:color w:val="000000"/>
                <w:szCs w:val="22"/>
              </w:rPr>
              <w:t>a</w:t>
            </w:r>
            <w:r w:rsidRPr="00320C3A">
              <w:rPr>
                <w:rFonts w:cs="Times New Roman"/>
                <w:color w:val="000000"/>
                <w:szCs w:val="22"/>
              </w:rPr>
              <w:t xml:space="preserve">lingen til månedsvis bagud. </w:t>
            </w:r>
          </w:p>
        </w:tc>
        <w:tc>
          <w:tcPr>
            <w:tcW w:w="227" w:type="dxa"/>
            <w:shd w:val="clear" w:color="auto" w:fill="FFFFFF" w:themeFill="background1"/>
          </w:tcPr>
          <w:p w:rsidR="00BF1460" w:rsidRPr="00B5346F" w:rsidRDefault="00BF1460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BF1460" w:rsidRDefault="00F36EDF" w:rsidP="00F36EDF">
            <w:pPr>
              <w:pStyle w:val="Tabel-BrdtekstmedafstandptekstGaramond"/>
            </w:pPr>
            <w:r>
              <w:t xml:space="preserve">Skatteministeriet er </w:t>
            </w:r>
            <w:proofErr w:type="gramStart"/>
            <w:r>
              <w:t>enig</w:t>
            </w:r>
            <w:proofErr w:type="gramEnd"/>
            <w:r>
              <w:t xml:space="preserve"> i, at en omlægning af udbetalingen til at være månedsvis og bagudrettet kan medvirke til i højere grad at sikre, at modtagerne opfylder b</w:t>
            </w:r>
            <w:r>
              <w:t>e</w:t>
            </w:r>
            <w:r>
              <w:t>tingelserne for at modtage ydelsen.</w:t>
            </w:r>
          </w:p>
          <w:p w:rsidR="00F36EDF" w:rsidRPr="00B5346F" w:rsidRDefault="00F36EDF" w:rsidP="00F36EDF">
            <w:pPr>
              <w:pStyle w:val="Tabel-BrdtekstmedafstandptekstGaramond"/>
            </w:pPr>
            <w:r>
              <w:t>Skatteministeriet vil undersøge muligheden nærmere.</w:t>
            </w:r>
          </w:p>
        </w:tc>
      </w:tr>
      <w:tr w:rsidR="00EE450B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EE450B" w:rsidRPr="00320C3A" w:rsidRDefault="00EE450B" w:rsidP="00815F2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Finanstilsynet</w:t>
            </w:r>
          </w:p>
        </w:tc>
        <w:tc>
          <w:tcPr>
            <w:tcW w:w="210" w:type="dxa"/>
            <w:shd w:val="clear" w:color="auto" w:fill="FFFFFF" w:themeFill="background1"/>
          </w:tcPr>
          <w:p w:rsidR="00EE450B" w:rsidRPr="00320C3A" w:rsidRDefault="00EE450B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EE450B" w:rsidRPr="00320C3A" w:rsidRDefault="00EE450B" w:rsidP="00971053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>Finanstilsynet har ingen bemær</w:t>
            </w:r>
            <w:r w:rsidRPr="00320C3A">
              <w:rPr>
                <w:szCs w:val="22"/>
              </w:rPr>
              <w:t>k</w:t>
            </w:r>
            <w:r w:rsidRPr="00320C3A">
              <w:rPr>
                <w:szCs w:val="22"/>
              </w:rPr>
              <w:t>ninger til forslaget.</w:t>
            </w:r>
          </w:p>
        </w:tc>
        <w:tc>
          <w:tcPr>
            <w:tcW w:w="227" w:type="dxa"/>
            <w:shd w:val="clear" w:color="auto" w:fill="FFFFFF" w:themeFill="background1"/>
          </w:tcPr>
          <w:p w:rsidR="00EE450B" w:rsidRPr="00B5346F" w:rsidRDefault="00EE450B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EE450B" w:rsidRPr="00B5346F" w:rsidRDefault="00EE450B" w:rsidP="002F41F8">
            <w:pPr>
              <w:pStyle w:val="Tabel-BrdtekstmedafstandptekstGaramond"/>
            </w:pPr>
          </w:p>
        </w:tc>
      </w:tr>
      <w:tr w:rsidR="00EE450B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EE450B" w:rsidRPr="00320C3A" w:rsidRDefault="00EE450B" w:rsidP="00815F2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FSR – danske revisorer</w:t>
            </w:r>
          </w:p>
        </w:tc>
        <w:tc>
          <w:tcPr>
            <w:tcW w:w="210" w:type="dxa"/>
            <w:shd w:val="clear" w:color="auto" w:fill="FFFFFF" w:themeFill="background1"/>
          </w:tcPr>
          <w:p w:rsidR="00EE450B" w:rsidRPr="00320C3A" w:rsidRDefault="00EE450B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EE450B" w:rsidRPr="00320C3A" w:rsidRDefault="00EE450B" w:rsidP="00971053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>FSR – danske revisorer har ingen bemærkninger til forslaget.</w:t>
            </w:r>
          </w:p>
        </w:tc>
        <w:tc>
          <w:tcPr>
            <w:tcW w:w="227" w:type="dxa"/>
            <w:shd w:val="clear" w:color="auto" w:fill="FFFFFF" w:themeFill="background1"/>
          </w:tcPr>
          <w:p w:rsidR="00EE450B" w:rsidRPr="00B5346F" w:rsidRDefault="00EE450B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EE450B" w:rsidRPr="00B5346F" w:rsidRDefault="00EE450B" w:rsidP="002F41F8">
            <w:pPr>
              <w:pStyle w:val="Tabel-BrdtekstmedafstandptekstGaramond"/>
            </w:pPr>
          </w:p>
        </w:tc>
      </w:tr>
      <w:tr w:rsidR="00EE450B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EE450B" w:rsidRPr="0018740F" w:rsidRDefault="00EE450B" w:rsidP="00815F28">
            <w:pPr>
              <w:pStyle w:val="Tabel-BrdtekstmedafstandptekstGaramond"/>
              <w:rPr>
                <w:i/>
                <w:szCs w:val="22"/>
              </w:rPr>
            </w:pPr>
            <w:r w:rsidRPr="0018740F">
              <w:rPr>
                <w:i/>
                <w:szCs w:val="22"/>
              </w:rPr>
              <w:t>IT-Universitet i Købe</w:t>
            </w:r>
            <w:r w:rsidRPr="0018740F">
              <w:rPr>
                <w:i/>
                <w:szCs w:val="22"/>
              </w:rPr>
              <w:t>n</w:t>
            </w:r>
            <w:r w:rsidRPr="0018740F">
              <w:rPr>
                <w:i/>
                <w:szCs w:val="22"/>
              </w:rPr>
              <w:t>havn</w:t>
            </w:r>
          </w:p>
        </w:tc>
        <w:tc>
          <w:tcPr>
            <w:tcW w:w="210" w:type="dxa"/>
            <w:shd w:val="clear" w:color="auto" w:fill="FFFFFF" w:themeFill="background1"/>
          </w:tcPr>
          <w:p w:rsidR="00EE450B" w:rsidRPr="00320C3A" w:rsidRDefault="00EE450B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EE450B" w:rsidRPr="00320C3A" w:rsidRDefault="00EE450B" w:rsidP="00971053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>IT-Universitet i København har ingen bemærkninger til forslaget.</w:t>
            </w:r>
          </w:p>
        </w:tc>
        <w:tc>
          <w:tcPr>
            <w:tcW w:w="227" w:type="dxa"/>
            <w:shd w:val="clear" w:color="auto" w:fill="FFFFFF" w:themeFill="background1"/>
          </w:tcPr>
          <w:p w:rsidR="00EE450B" w:rsidRPr="00B5346F" w:rsidRDefault="00EE450B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EE450B" w:rsidRPr="00B5346F" w:rsidRDefault="00EE450B" w:rsidP="002F41F8">
            <w:pPr>
              <w:pStyle w:val="Tabel-BrdtekstmedafstandptekstGaramond"/>
            </w:pPr>
          </w:p>
        </w:tc>
      </w:tr>
      <w:tr w:rsidR="00BF1460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815F2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KL</w:t>
            </w:r>
          </w:p>
        </w:tc>
        <w:tc>
          <w:tcPr>
            <w:tcW w:w="210" w:type="dxa"/>
            <w:shd w:val="clear" w:color="auto" w:fill="FFFFFF" w:themeFill="background1"/>
          </w:tcPr>
          <w:p w:rsidR="00BF1460" w:rsidRPr="00320C3A" w:rsidRDefault="00BF1460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971053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 xml:space="preserve">Det har ikke været muligt at få </w:t>
            </w:r>
            <w:proofErr w:type="spellStart"/>
            <w:r w:rsidRPr="00320C3A">
              <w:rPr>
                <w:szCs w:val="22"/>
              </w:rPr>
              <w:t>KLs</w:t>
            </w:r>
            <w:proofErr w:type="spellEnd"/>
            <w:r w:rsidRPr="00320C3A">
              <w:rPr>
                <w:szCs w:val="22"/>
              </w:rPr>
              <w:t xml:space="preserve"> høringssvar politisk behandlet inden fristen. KL har derfor fre</w:t>
            </w:r>
            <w:r w:rsidRPr="00320C3A">
              <w:rPr>
                <w:szCs w:val="22"/>
              </w:rPr>
              <w:t>m</w:t>
            </w:r>
            <w:r w:rsidRPr="00320C3A">
              <w:rPr>
                <w:szCs w:val="22"/>
              </w:rPr>
              <w:t xml:space="preserve">sendt et foreløbigt høringssvar og vil fremsende eventuelle yderligere bemærkninger, når sagen har været politisk behandlet. </w:t>
            </w:r>
          </w:p>
          <w:p w:rsidR="00BF1460" w:rsidRPr="00320C3A" w:rsidRDefault="00BF1460" w:rsidP="00971053">
            <w:pPr>
              <w:pStyle w:val="Tabel-BrdtekstmedafstandptekstGaramond"/>
              <w:rPr>
                <w:szCs w:val="22"/>
              </w:rPr>
            </w:pPr>
          </w:p>
          <w:p w:rsidR="00BF1460" w:rsidRPr="00320C3A" w:rsidRDefault="00BF1460" w:rsidP="00971053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>KL tager forbehold for de øk</w:t>
            </w:r>
            <w:r w:rsidRPr="00320C3A">
              <w:rPr>
                <w:szCs w:val="22"/>
              </w:rPr>
              <w:t>o</w:t>
            </w:r>
            <w:r w:rsidRPr="00320C3A">
              <w:rPr>
                <w:szCs w:val="22"/>
              </w:rPr>
              <w:t xml:space="preserve">nomiske konsekvenser i henhold til DUT princippet. </w:t>
            </w:r>
          </w:p>
          <w:p w:rsidR="00BF1460" w:rsidRPr="00320C3A" w:rsidRDefault="00BF1460" w:rsidP="00971053">
            <w:pPr>
              <w:pStyle w:val="Tabel-BrdtekstmedafstandptekstGaramond"/>
              <w:rPr>
                <w:szCs w:val="22"/>
              </w:rPr>
            </w:pPr>
          </w:p>
          <w:p w:rsidR="00BF1460" w:rsidRPr="00320C3A" w:rsidRDefault="00BF1460" w:rsidP="00971053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 xml:space="preserve">KL har ingen bemærkninger til forslaget. </w:t>
            </w:r>
          </w:p>
        </w:tc>
        <w:tc>
          <w:tcPr>
            <w:tcW w:w="227" w:type="dxa"/>
            <w:shd w:val="clear" w:color="auto" w:fill="FFFFFF" w:themeFill="background1"/>
          </w:tcPr>
          <w:p w:rsidR="00BF1460" w:rsidRPr="00B5346F" w:rsidRDefault="00BF1460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BF1460" w:rsidRDefault="00BF1460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Pr="00B5346F" w:rsidRDefault="0044459B" w:rsidP="002F41F8">
            <w:pPr>
              <w:pStyle w:val="Tabel-BrdtekstmedafstandptekstGaramond"/>
            </w:pPr>
          </w:p>
        </w:tc>
      </w:tr>
      <w:tr w:rsidR="00EE450B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EE450B" w:rsidRPr="00320C3A" w:rsidRDefault="00EE450B" w:rsidP="00815F2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Kommunale Tjenest</w:t>
            </w:r>
            <w:r w:rsidRPr="00320C3A">
              <w:rPr>
                <w:i/>
                <w:szCs w:val="22"/>
              </w:rPr>
              <w:t>e</w:t>
            </w:r>
            <w:r w:rsidRPr="00320C3A">
              <w:rPr>
                <w:i/>
                <w:szCs w:val="22"/>
              </w:rPr>
              <w:t>mænd og Overenskoms</w:t>
            </w:r>
            <w:r w:rsidRPr="00320C3A">
              <w:rPr>
                <w:i/>
                <w:szCs w:val="22"/>
              </w:rPr>
              <w:t>t</w:t>
            </w:r>
            <w:r w:rsidRPr="00320C3A">
              <w:rPr>
                <w:i/>
                <w:szCs w:val="22"/>
              </w:rPr>
              <w:t>ansatte</w:t>
            </w:r>
          </w:p>
        </w:tc>
        <w:tc>
          <w:tcPr>
            <w:tcW w:w="210" w:type="dxa"/>
            <w:shd w:val="clear" w:color="auto" w:fill="FFFFFF" w:themeFill="background1"/>
          </w:tcPr>
          <w:p w:rsidR="00EE450B" w:rsidRPr="00320C3A" w:rsidRDefault="00EE450B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EE450B" w:rsidRPr="00320C3A" w:rsidRDefault="00EE450B" w:rsidP="0018740F">
            <w:pPr>
              <w:pStyle w:val="Tabel-BrdtekstmedafstandptekstGaramond"/>
            </w:pPr>
            <w:r w:rsidRPr="00320C3A">
              <w:t>KTO</w:t>
            </w:r>
            <w:r w:rsidRPr="00320C3A">
              <w:rPr>
                <w:i/>
              </w:rPr>
              <w:t xml:space="preserve"> </w:t>
            </w:r>
            <w:r w:rsidRPr="00320C3A">
              <w:t>har ingen bemærkninger til forslaget, idet det skønnes, at æ</w:t>
            </w:r>
            <w:r w:rsidRPr="00320C3A">
              <w:t>n</w:t>
            </w:r>
            <w:r w:rsidRPr="00320C3A">
              <w:t>dringerne ikke har løn- og ansæ</w:t>
            </w:r>
            <w:r w:rsidRPr="00320C3A">
              <w:t>t</w:t>
            </w:r>
            <w:r w:rsidRPr="00320C3A">
              <w:t xml:space="preserve">telsesmæssige konsekvenser for ansatte i kommuner og regioner. </w:t>
            </w:r>
          </w:p>
          <w:p w:rsidR="00EE450B" w:rsidRPr="00320C3A" w:rsidRDefault="00EE450B" w:rsidP="0018740F">
            <w:pPr>
              <w:pStyle w:val="Tabel-BrdtekstmedafstandptekstGaramond"/>
              <w:rPr>
                <w:szCs w:val="22"/>
              </w:rPr>
            </w:pPr>
            <w:r w:rsidRPr="00320C3A">
              <w:t>KTO henviser til eventuelle h</w:t>
            </w:r>
            <w:r w:rsidRPr="00320C3A">
              <w:t>ø</w:t>
            </w:r>
            <w:r w:rsidRPr="00320C3A">
              <w:t>ringssvar fra LO, FTF og Akad</w:t>
            </w:r>
            <w:r w:rsidRPr="00320C3A">
              <w:t>e</w:t>
            </w:r>
            <w:r w:rsidRPr="00320C3A">
              <w:t xml:space="preserve">mikerne samt fra </w:t>
            </w:r>
            <w:proofErr w:type="spellStart"/>
            <w:r w:rsidRPr="00320C3A">
              <w:t>KTOs</w:t>
            </w:r>
            <w:proofErr w:type="spellEnd"/>
            <w:r w:rsidRPr="00320C3A">
              <w:t xml:space="preserve"> medlem</w:t>
            </w:r>
            <w:r w:rsidRPr="00320C3A">
              <w:t>s</w:t>
            </w:r>
            <w:r w:rsidRPr="00320C3A">
              <w:t xml:space="preserve">organisationer. </w:t>
            </w:r>
          </w:p>
        </w:tc>
        <w:tc>
          <w:tcPr>
            <w:tcW w:w="227" w:type="dxa"/>
            <w:shd w:val="clear" w:color="auto" w:fill="FFFFFF" w:themeFill="background1"/>
          </w:tcPr>
          <w:p w:rsidR="00EE450B" w:rsidRPr="00B5346F" w:rsidRDefault="00EE450B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EE450B" w:rsidRPr="00B5346F" w:rsidRDefault="00EE450B" w:rsidP="002F41F8">
            <w:pPr>
              <w:pStyle w:val="Tabel-BrdtekstmedafstandptekstGaramond"/>
            </w:pPr>
          </w:p>
        </w:tc>
      </w:tr>
      <w:tr w:rsidR="00BF1460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815F2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LO</w:t>
            </w:r>
          </w:p>
        </w:tc>
        <w:tc>
          <w:tcPr>
            <w:tcW w:w="210" w:type="dxa"/>
            <w:shd w:val="clear" w:color="auto" w:fill="FFFFFF" w:themeFill="background1"/>
          </w:tcPr>
          <w:p w:rsidR="00BF1460" w:rsidRPr="00320C3A" w:rsidRDefault="00BF1460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Default="00BF1460" w:rsidP="0018740F">
            <w:pPr>
              <w:pStyle w:val="Tabel-BrdtekstmedafstandptekstGaramond"/>
            </w:pPr>
            <w:r w:rsidRPr="00320C3A">
              <w:t>LO har modtaget lovforslag ve</w:t>
            </w:r>
            <w:r w:rsidRPr="00320C3A">
              <w:t>d</w:t>
            </w:r>
            <w:r w:rsidRPr="00320C3A">
              <w:t xml:space="preserve">rørende børne- og ungeydelse </w:t>
            </w:r>
            <w:r w:rsidR="0018740F">
              <w:t>s</w:t>
            </w:r>
            <w:r w:rsidRPr="00320C3A">
              <w:t>amt lov om børnetil</w:t>
            </w:r>
            <w:r w:rsidRPr="00320C3A">
              <w:softHyphen/>
              <w:t>skud og fo</w:t>
            </w:r>
            <w:r w:rsidRPr="00320C3A">
              <w:t>r</w:t>
            </w:r>
            <w:r w:rsidRPr="00320C3A">
              <w:t>skudsvis udbetaling af børnebidrag i høring.</w:t>
            </w:r>
          </w:p>
          <w:p w:rsidR="0018740F" w:rsidRPr="00320C3A" w:rsidRDefault="0018740F" w:rsidP="0018740F">
            <w:pPr>
              <w:pStyle w:val="Tabel-BrdtekstmedafstandptekstGaramond"/>
            </w:pPr>
          </w:p>
          <w:p w:rsidR="00BF1460" w:rsidRDefault="00BF1460" w:rsidP="0018740F">
            <w:pPr>
              <w:pStyle w:val="Tabel-BrdtekstmedafstandptekstGaramond"/>
            </w:pPr>
            <w:r w:rsidRPr="00320C3A">
              <w:t>Lovforslaget lovfæster den allerede ændrede administration af optj</w:t>
            </w:r>
            <w:r w:rsidRPr="00320C3A">
              <w:t>e</w:t>
            </w:r>
            <w:r w:rsidRPr="00320C3A">
              <w:t>ningsprincippet. Den ændrede praksis skyldtes en EU-forordning, der betød, at man ikke længere kunne opretholde et krav om b</w:t>
            </w:r>
            <w:r w:rsidRPr="00320C3A">
              <w:t>e</w:t>
            </w:r>
            <w:r w:rsidRPr="00320C3A">
              <w:t>skæftigelse- eller bopælsperiode i Danmark.</w:t>
            </w:r>
          </w:p>
          <w:p w:rsidR="0018740F" w:rsidRPr="00320C3A" w:rsidRDefault="0018740F" w:rsidP="0018740F">
            <w:pPr>
              <w:pStyle w:val="Tabel-BrdtekstmedafstandptekstGaramond"/>
            </w:pPr>
          </w:p>
          <w:p w:rsidR="00BF1460" w:rsidRDefault="00BF1460" w:rsidP="0018740F">
            <w:pPr>
              <w:pStyle w:val="Tabel-BrdtekstmedafstandptekstGaramond"/>
            </w:pPr>
            <w:r w:rsidRPr="00320C3A">
              <w:t>En forordning har forrang for n</w:t>
            </w:r>
            <w:r w:rsidRPr="00320C3A">
              <w:t>a</w:t>
            </w:r>
            <w:r w:rsidRPr="00320C3A">
              <w:t>tional lovgivning, hvorfor admin</w:t>
            </w:r>
            <w:r w:rsidRPr="00320C3A">
              <w:t>i</w:t>
            </w:r>
            <w:r w:rsidRPr="00320C3A">
              <w:t>strationen allerede er ændret. Den ændrede administration bibeholder kravet til beskæftigelse og bopæl. Men man kan nu medregne b</w:t>
            </w:r>
            <w:r w:rsidRPr="00320C3A">
              <w:t>o</w:t>
            </w:r>
            <w:r w:rsidRPr="00320C3A">
              <w:t xml:space="preserve">pælsperiode og beskæftigelse i hjemlandet. </w:t>
            </w:r>
          </w:p>
          <w:p w:rsidR="0018740F" w:rsidRPr="00320C3A" w:rsidRDefault="0018740F" w:rsidP="0018740F">
            <w:pPr>
              <w:pStyle w:val="Tabel-BrdtekstmedafstandptekstGaramond"/>
            </w:pPr>
          </w:p>
          <w:p w:rsidR="00BF1460" w:rsidRDefault="00BF1460" w:rsidP="0018740F">
            <w:pPr>
              <w:pStyle w:val="Tabel-BrdtekstmedafstandptekstGaramond"/>
            </w:pPr>
            <w:r w:rsidRPr="00320C3A">
              <w:t>Dermed får langt de fleste EØS-borgere, der kommer til Danmark, fuld ydelse, hvis de i øvrigt opfy</w:t>
            </w:r>
            <w:r w:rsidRPr="00320C3A">
              <w:t>l</w:t>
            </w:r>
            <w:r w:rsidRPr="00320C3A">
              <w:t>der betingelserne (forældremy</w:t>
            </w:r>
            <w:r w:rsidRPr="00320C3A">
              <w:t>n</w:t>
            </w:r>
            <w:r w:rsidRPr="00320C3A">
              <w:t>dighed over barn og fuld skatt</w:t>
            </w:r>
            <w:r w:rsidRPr="00320C3A">
              <w:t>e</w:t>
            </w:r>
            <w:r w:rsidRPr="00320C3A">
              <w:t>pligtig i Danmark).</w:t>
            </w:r>
          </w:p>
          <w:p w:rsidR="0018740F" w:rsidRPr="00320C3A" w:rsidRDefault="0018740F" w:rsidP="0018740F">
            <w:pPr>
              <w:pStyle w:val="Tabel-BrdtekstmedafstandptekstGaramond"/>
            </w:pPr>
          </w:p>
          <w:p w:rsidR="00BF1460" w:rsidRDefault="00BF1460" w:rsidP="0018740F">
            <w:pPr>
              <w:pStyle w:val="Tabel-BrdtekstmedafstandptekstGaramond"/>
            </w:pPr>
            <w:r w:rsidRPr="00320C3A">
              <w:t>LO er opmærksom på sager, hvor ansatte fra Østeuropa er blevet modregnet i lønnen, når de har modtaget børne- og ungeydelse. Eftersom udgifterne til børn b</w:t>
            </w:r>
            <w:r w:rsidRPr="00320C3A">
              <w:t>o</w:t>
            </w:r>
            <w:r w:rsidRPr="00320C3A">
              <w:t>ende i hjemlandet typisk er meget lavere, end i Danmark, så vil bø</w:t>
            </w:r>
            <w:r w:rsidRPr="00320C3A">
              <w:t>r</w:t>
            </w:r>
            <w:r w:rsidRPr="00320C3A">
              <w:t>ne- og ungeydelsen kunne medvi</w:t>
            </w:r>
            <w:r w:rsidRPr="00320C3A">
              <w:t>r</w:t>
            </w:r>
            <w:r w:rsidRPr="00320C3A">
              <w:t>ke til unfair konkurrence på a</w:t>
            </w:r>
            <w:r w:rsidRPr="00320C3A">
              <w:t>r</w:t>
            </w:r>
            <w:r w:rsidRPr="00320C3A">
              <w:t>bejdsmarkedet.</w:t>
            </w:r>
          </w:p>
          <w:p w:rsidR="0018740F" w:rsidRPr="00320C3A" w:rsidRDefault="0018740F" w:rsidP="0018740F">
            <w:pPr>
              <w:pStyle w:val="Tabel-BrdtekstmedafstandptekstGaramond"/>
            </w:pPr>
          </w:p>
          <w:p w:rsidR="00BF1460" w:rsidRDefault="00BF1460" w:rsidP="0018740F">
            <w:pPr>
              <w:pStyle w:val="Tabel-BrdtekstmedafstandptekstGaramond"/>
            </w:pPr>
            <w:r w:rsidRPr="00320C3A">
              <w:t>Der er dog dokumentation for, at det stadig er et meget begrænset antal, der modtager de pågældende ydelser. Der blev således i 2012 kun udbetalt 60 mio. kr. i børne- og ungeydelse til borgere fra EU eller EØS, der boede uden for Danmark, og som havde børn b</w:t>
            </w:r>
            <w:r w:rsidRPr="00320C3A">
              <w:t>o</w:t>
            </w:r>
            <w:r w:rsidRPr="00320C3A">
              <w:t>ende uden for Danmark. Udbet</w:t>
            </w:r>
            <w:r w:rsidRPr="00320C3A">
              <w:t>a</w:t>
            </w:r>
            <w:r w:rsidRPr="00320C3A">
              <w:t>ling Danmark har oplyst, at man har ca. 9.000 sager, hvor man u</w:t>
            </w:r>
            <w:r w:rsidRPr="00320C3A">
              <w:t>d</w:t>
            </w:r>
            <w:r w:rsidRPr="00320C3A">
              <w:t>betaler børnecheck til EU/EØS-borgere. Omkring halvdelen af modtagerne er svenskere, en tre</w:t>
            </w:r>
            <w:r w:rsidRPr="00320C3A">
              <w:t>d</w:t>
            </w:r>
            <w:r w:rsidRPr="00320C3A">
              <w:t>jedel er polakker, mens resten er tyskere og øvrige EØS-borgere.</w:t>
            </w:r>
          </w:p>
          <w:p w:rsidR="0018740F" w:rsidRPr="00320C3A" w:rsidRDefault="0018740F" w:rsidP="0018740F">
            <w:pPr>
              <w:pStyle w:val="Tabel-BrdtekstmedafstandptekstGaramond"/>
            </w:pPr>
          </w:p>
          <w:p w:rsidR="00BF1460" w:rsidRDefault="00BF1460" w:rsidP="0018740F">
            <w:pPr>
              <w:pStyle w:val="Tabel-BrdtekstmedafstandptekstGaramond"/>
            </w:pPr>
            <w:r w:rsidRPr="00320C3A">
              <w:t>I lovforslaget vurderes den ændr</w:t>
            </w:r>
            <w:r w:rsidRPr="00320C3A">
              <w:t>e</w:t>
            </w:r>
            <w:r w:rsidRPr="00320C3A">
              <w:t>de praksis at have betydning for en endnu mindre gruppe af personer. Den samlede merudbetaling vu</w:t>
            </w:r>
            <w:r w:rsidRPr="00320C3A">
              <w:t>r</w:t>
            </w:r>
            <w:r w:rsidRPr="00320C3A">
              <w:t xml:space="preserve">deres at udgøre 20 mio. kr., hvoraf nogle vil returnere til de offentlige kasser gennem et øget forbrug. </w:t>
            </w:r>
            <w:proofErr w:type="spellStart"/>
            <w:r w:rsidRPr="00320C3A">
              <w:t>Nettoef</w:t>
            </w:r>
            <w:r w:rsidRPr="00320C3A">
              <w:softHyphen/>
              <w:t>fekten</w:t>
            </w:r>
            <w:proofErr w:type="spellEnd"/>
            <w:r w:rsidRPr="00320C3A">
              <w:t xml:space="preserve"> for den offentlige økonomi skønnes derfor kun at være 15 mio. kr. </w:t>
            </w:r>
          </w:p>
          <w:p w:rsidR="0018740F" w:rsidRPr="00320C3A" w:rsidRDefault="0018740F" w:rsidP="0018740F">
            <w:pPr>
              <w:pStyle w:val="Tabel-BrdtekstmedafstandptekstGaramond"/>
            </w:pPr>
          </w:p>
          <w:p w:rsidR="00BF1460" w:rsidRPr="00320C3A" w:rsidRDefault="00BF1460" w:rsidP="0018740F">
            <w:pPr>
              <w:pStyle w:val="Tabel-BrdtekstmedafstandptekstGaramond"/>
            </w:pPr>
            <w:r w:rsidRPr="00320C3A">
              <w:t>LO kan dog være bekymret for et stadigt større pres på de danske velfærdsydelser fremadrettet.</w:t>
            </w:r>
          </w:p>
          <w:p w:rsidR="00BF1460" w:rsidRDefault="00BF1460" w:rsidP="0018740F">
            <w:pPr>
              <w:pStyle w:val="Tabel-BrdtekstmedafstandptekstGaramond"/>
            </w:pPr>
            <w:r w:rsidRPr="00320C3A">
              <w:t xml:space="preserve">Det taler for, at man skal følge området tæt. Det skal sikres, at reglerne ikke bliver misbrugt til at underbyde danske arbejdskraft gennem social dumping. </w:t>
            </w:r>
          </w:p>
          <w:p w:rsidR="0018740F" w:rsidRPr="00320C3A" w:rsidRDefault="0018740F" w:rsidP="0018740F">
            <w:pPr>
              <w:pStyle w:val="Tabel-BrdtekstmedafstandptekstGaramond"/>
            </w:pPr>
          </w:p>
          <w:p w:rsidR="00BF1460" w:rsidRDefault="00BF1460" w:rsidP="0018740F">
            <w:pPr>
              <w:pStyle w:val="Tabel-BrdtekstmedafstandptekstGaramond"/>
            </w:pPr>
            <w:r w:rsidRPr="00320C3A">
              <w:t>I debatten er der blevet fremsat en lang række hurtige løsninger på problemet. Det skal selvfølgelig sikres, at den danske velfærdsm</w:t>
            </w:r>
            <w:r w:rsidRPr="00320C3A">
              <w:t>o</w:t>
            </w:r>
            <w:r w:rsidRPr="00320C3A">
              <w:t>del ikke undergraves; Men der er tid til at analysere problemstilli</w:t>
            </w:r>
            <w:r w:rsidRPr="00320C3A">
              <w:t>n</w:t>
            </w:r>
            <w:r w:rsidRPr="00320C3A">
              <w:t>gen grundigt, og der er tid til at sikre fornuftige løs</w:t>
            </w:r>
            <w:r w:rsidRPr="00320C3A">
              <w:softHyphen/>
              <w:t>ninger. Løsni</w:t>
            </w:r>
            <w:r w:rsidRPr="00320C3A">
              <w:t>n</w:t>
            </w:r>
            <w:r w:rsidRPr="00320C3A">
              <w:t>gerne skal samtidig have fokus på at fastholde og styrke tryghed og lighed i det danske velfærdssa</w:t>
            </w:r>
            <w:r w:rsidRPr="00320C3A">
              <w:t>m</w:t>
            </w:r>
            <w:r w:rsidRPr="00320C3A">
              <w:t>fund.</w:t>
            </w:r>
          </w:p>
          <w:p w:rsidR="0018740F" w:rsidRPr="00320C3A" w:rsidRDefault="0018740F" w:rsidP="0018740F">
            <w:pPr>
              <w:pStyle w:val="Tabel-BrdtekstmedafstandptekstGaramond"/>
            </w:pPr>
          </w:p>
          <w:p w:rsidR="00BF1460" w:rsidRPr="00320C3A" w:rsidRDefault="00BF1460" w:rsidP="0018740F">
            <w:pPr>
              <w:pStyle w:val="Tabel-BrdtekstmedafstandptekstGaramond"/>
              <w:rPr>
                <w:szCs w:val="22"/>
              </w:rPr>
            </w:pPr>
            <w:r w:rsidRPr="00320C3A">
              <w:t>LO mener desuden, at kontrollen med udbetaling af ydelser til va</w:t>
            </w:r>
            <w:r w:rsidRPr="00320C3A">
              <w:t>n</w:t>
            </w:r>
            <w:r w:rsidRPr="00320C3A">
              <w:t>drede arbejdstagere skal være så effektiv som muligt, selvfølgelig under hensyntagen til EU-reglerne, og at de danske myndigheder i tæt samarbejde med oprindelseslandet sikrer, at ydelserne beregnes ko</w:t>
            </w:r>
            <w:r w:rsidRPr="00320C3A">
              <w:t>r</w:t>
            </w:r>
            <w:r w:rsidRPr="00320C3A">
              <w:t>rekt til de personer, der har ret til den</w:t>
            </w:r>
            <w:r w:rsidR="0018740F">
              <w:t>.</w:t>
            </w:r>
          </w:p>
        </w:tc>
        <w:tc>
          <w:tcPr>
            <w:tcW w:w="227" w:type="dxa"/>
            <w:shd w:val="clear" w:color="auto" w:fill="FFFFFF" w:themeFill="background1"/>
          </w:tcPr>
          <w:p w:rsidR="00BF1460" w:rsidRPr="00B5346F" w:rsidRDefault="00BF1460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BF1460" w:rsidRDefault="00BF1460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2746A9" w:rsidRDefault="002746A9" w:rsidP="002F41F8">
            <w:pPr>
              <w:pStyle w:val="Tabel-BrdtekstmedafstandptekstGaramond"/>
            </w:pPr>
          </w:p>
          <w:p w:rsidR="002746A9" w:rsidRDefault="002746A9" w:rsidP="002F41F8">
            <w:pPr>
              <w:pStyle w:val="Tabel-BrdtekstmedafstandptekstGaramond"/>
            </w:pPr>
            <w:r>
              <w:t>Skatteministeriet skal gøre o</w:t>
            </w:r>
            <w:r>
              <w:t>p</w:t>
            </w:r>
            <w:r>
              <w:t>mærksom på, at det ikke er muligt at håndhæve kravet om fuld ska</w:t>
            </w:r>
            <w:r>
              <w:t>t</w:t>
            </w:r>
            <w:r>
              <w:t>tepligt overfor personer om</w:t>
            </w:r>
            <w:r w:rsidR="003A0E0E">
              <w:t xml:space="preserve">fattet af forordning nr. </w:t>
            </w:r>
            <w:r>
              <w:t>883/04 om k</w:t>
            </w:r>
            <w:r>
              <w:t>o</w:t>
            </w:r>
            <w:r>
              <w:t>ordinering af sociale sikringsyde</w:t>
            </w:r>
            <w:r>
              <w:t>l</w:t>
            </w:r>
            <w:r>
              <w:t xml:space="preserve">ser. Dette er for god ordens skyld fastsat i lov om en </w:t>
            </w:r>
            <w:proofErr w:type="spellStart"/>
            <w:r>
              <w:t>børne</w:t>
            </w:r>
            <w:proofErr w:type="spellEnd"/>
            <w:r>
              <w:t>-og ung</w:t>
            </w:r>
            <w:r>
              <w:t>e</w:t>
            </w:r>
            <w:r>
              <w:t>ydelse § 13, stk. 1, jf. bekendtg</w:t>
            </w:r>
            <w:r>
              <w:t>ø</w:t>
            </w:r>
            <w:r>
              <w:t>relse om børne- og ungeydelsens § 15.</w:t>
            </w: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2746A9" w:rsidP="002746A9">
            <w:pPr>
              <w:pStyle w:val="Tabel-BrdtekstmedafstandptekstGaramond"/>
              <w:ind w:left="0"/>
            </w:pPr>
            <w:r>
              <w:t xml:space="preserve"> </w:t>
            </w: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44459B">
            <w:pPr>
              <w:pStyle w:val="Tabel-BrdtekstmedafstandptekstGaramond"/>
            </w:pPr>
            <w:r>
              <w:t>Regeringen</w:t>
            </w:r>
            <w:r w:rsidR="004F054D">
              <w:t xml:space="preserve"> er enig i, at området skal følges tæt og vil i øvrigt arbe</w:t>
            </w:r>
            <w:r w:rsidR="004F054D">
              <w:t>j</w:t>
            </w:r>
            <w:r w:rsidR="004F054D">
              <w:t>de for at fremme at arbejde i Danmark udføres efter dansk</w:t>
            </w:r>
            <w:r w:rsidR="00434ADC">
              <w:t>e</w:t>
            </w:r>
            <w:r w:rsidR="004F054D">
              <w:t xml:space="preserve"> løn- og arbejdsvilkår.</w:t>
            </w:r>
          </w:p>
          <w:p w:rsidR="0044459B" w:rsidRDefault="0044459B" w:rsidP="0044459B">
            <w:pPr>
              <w:pStyle w:val="Style0"/>
              <w:rPr>
                <w:color w:val="000000"/>
                <w:sz w:val="20"/>
                <w:szCs w:val="20"/>
              </w:rPr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Default="0044459B" w:rsidP="002F41F8">
            <w:pPr>
              <w:pStyle w:val="Tabel-BrdtekstmedafstandptekstGaramond"/>
            </w:pPr>
          </w:p>
          <w:p w:rsidR="0044459B" w:rsidRPr="00B5346F" w:rsidRDefault="00FE1923" w:rsidP="002F41F8">
            <w:pPr>
              <w:pStyle w:val="Tabel-BrdtekstmedafstandptekstGaramond"/>
            </w:pPr>
            <w:r>
              <w:t>Regeringen er enig i, at kontrollen skal være så effektiv som mulig. Regeringen har fokus på dette. S</w:t>
            </w:r>
            <w:r>
              <w:t>e</w:t>
            </w:r>
            <w:r>
              <w:t>nest har regeringen bebudet en skærpelse af kontrollen på da</w:t>
            </w:r>
            <w:r>
              <w:t>g</w:t>
            </w:r>
            <w:r>
              <w:t>pengeområdet.</w:t>
            </w:r>
          </w:p>
        </w:tc>
      </w:tr>
      <w:tr w:rsidR="00BF1460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815F2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Rigsrevisionen</w:t>
            </w:r>
          </w:p>
        </w:tc>
        <w:tc>
          <w:tcPr>
            <w:tcW w:w="210" w:type="dxa"/>
            <w:shd w:val="clear" w:color="auto" w:fill="FFFFFF" w:themeFill="background1"/>
          </w:tcPr>
          <w:p w:rsidR="00BF1460" w:rsidRPr="00320C3A" w:rsidRDefault="00BF1460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2F41F8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 xml:space="preserve">Rigsrevisionen har gennemgået udkastet for bestemmelser om regnskab, revision samt placering af ansvar for økonomistyring. Rigsrevisionen har konstateret, at der ikke er sådanne bestemmelser i udkastet til lovforslag. </w:t>
            </w:r>
          </w:p>
          <w:p w:rsidR="00BF1460" w:rsidRPr="00320C3A" w:rsidRDefault="00BF1460" w:rsidP="002F41F8">
            <w:pPr>
              <w:pStyle w:val="Tabel-BrdtekstmedafstandptekstGaramond"/>
              <w:rPr>
                <w:szCs w:val="22"/>
              </w:rPr>
            </w:pPr>
          </w:p>
          <w:p w:rsidR="00BF1460" w:rsidRPr="00320C3A" w:rsidRDefault="00BF1460" w:rsidP="002F41F8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 xml:space="preserve">Rigsrevisionen har herefter ingen bemærkninger til udkastet. </w:t>
            </w:r>
          </w:p>
        </w:tc>
        <w:tc>
          <w:tcPr>
            <w:tcW w:w="227" w:type="dxa"/>
            <w:shd w:val="clear" w:color="auto" w:fill="FFFFFF" w:themeFill="background1"/>
          </w:tcPr>
          <w:p w:rsidR="00BF1460" w:rsidRPr="00B5346F" w:rsidRDefault="00BF1460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BF1460" w:rsidRPr="00B5346F" w:rsidRDefault="00BF1460" w:rsidP="002F41F8">
            <w:pPr>
              <w:pStyle w:val="Tabel-BrdtekstmedafstandptekstGaramond"/>
            </w:pPr>
          </w:p>
        </w:tc>
      </w:tr>
      <w:tr w:rsidR="00BF1460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815F2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Rådet for Socialt Udsatte</w:t>
            </w:r>
          </w:p>
        </w:tc>
        <w:tc>
          <w:tcPr>
            <w:tcW w:w="210" w:type="dxa"/>
            <w:shd w:val="clear" w:color="auto" w:fill="FFFFFF" w:themeFill="background1"/>
          </w:tcPr>
          <w:p w:rsidR="00BF1460" w:rsidRPr="00320C3A" w:rsidRDefault="00BF1460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2F41F8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>Rådet for Socialt Udsatte har i</w:t>
            </w:r>
            <w:r w:rsidRPr="00320C3A">
              <w:rPr>
                <w:szCs w:val="22"/>
              </w:rPr>
              <w:t>n</w:t>
            </w:r>
            <w:r w:rsidRPr="00320C3A">
              <w:rPr>
                <w:szCs w:val="22"/>
              </w:rPr>
              <w:t>gen bemærkninger til forslaget.</w:t>
            </w:r>
          </w:p>
        </w:tc>
        <w:tc>
          <w:tcPr>
            <w:tcW w:w="227" w:type="dxa"/>
            <w:shd w:val="clear" w:color="auto" w:fill="FFFFFF" w:themeFill="background1"/>
          </w:tcPr>
          <w:p w:rsidR="00BF1460" w:rsidRPr="00B5346F" w:rsidRDefault="00BF1460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BF1460" w:rsidRPr="00B5346F" w:rsidRDefault="00BF1460" w:rsidP="002F41F8">
            <w:pPr>
              <w:pStyle w:val="Tabel-BrdtekstmedafstandptekstGaramond"/>
            </w:pPr>
          </w:p>
        </w:tc>
      </w:tr>
      <w:tr w:rsidR="00BF1460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815F2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SRF Skattefaglig Fo</w:t>
            </w:r>
            <w:r w:rsidRPr="00320C3A">
              <w:rPr>
                <w:i/>
                <w:szCs w:val="22"/>
              </w:rPr>
              <w:t>r</w:t>
            </w:r>
            <w:r w:rsidRPr="00320C3A">
              <w:rPr>
                <w:i/>
                <w:szCs w:val="22"/>
              </w:rPr>
              <w:t>ening</w:t>
            </w:r>
          </w:p>
        </w:tc>
        <w:tc>
          <w:tcPr>
            <w:tcW w:w="210" w:type="dxa"/>
            <w:shd w:val="clear" w:color="auto" w:fill="FFFFFF" w:themeFill="background1"/>
          </w:tcPr>
          <w:p w:rsidR="00BF1460" w:rsidRPr="00320C3A" w:rsidRDefault="00BF1460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2F41F8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>SRF Skattefaglig Forening har i</w:t>
            </w:r>
            <w:r w:rsidRPr="00320C3A">
              <w:rPr>
                <w:szCs w:val="22"/>
              </w:rPr>
              <w:t>n</w:t>
            </w:r>
            <w:r w:rsidRPr="00320C3A">
              <w:rPr>
                <w:szCs w:val="22"/>
              </w:rPr>
              <w:t xml:space="preserve">gen bemærkninger til forslaget. </w:t>
            </w:r>
          </w:p>
        </w:tc>
        <w:tc>
          <w:tcPr>
            <w:tcW w:w="227" w:type="dxa"/>
            <w:shd w:val="clear" w:color="auto" w:fill="FFFFFF" w:themeFill="background1"/>
          </w:tcPr>
          <w:p w:rsidR="00BF1460" w:rsidRPr="00B5346F" w:rsidRDefault="00BF1460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BF1460" w:rsidRPr="00B5346F" w:rsidRDefault="00BF1460" w:rsidP="002F41F8">
            <w:pPr>
              <w:pStyle w:val="Tabel-BrdtekstmedafstandptekstGaramond"/>
            </w:pPr>
          </w:p>
        </w:tc>
      </w:tr>
      <w:tr w:rsidR="00BF1460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EE450B" w:rsidP="00815F2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Statsforvaltningen</w:t>
            </w:r>
          </w:p>
        </w:tc>
        <w:tc>
          <w:tcPr>
            <w:tcW w:w="210" w:type="dxa"/>
            <w:shd w:val="clear" w:color="auto" w:fill="FFFFFF" w:themeFill="background1"/>
          </w:tcPr>
          <w:p w:rsidR="00BF1460" w:rsidRPr="00320C3A" w:rsidRDefault="00BF1460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EE450B" w:rsidP="00EE450B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>Statsforvaltningen har ingen b</w:t>
            </w:r>
            <w:r w:rsidRPr="00320C3A">
              <w:rPr>
                <w:szCs w:val="22"/>
              </w:rPr>
              <w:t>e</w:t>
            </w:r>
            <w:r w:rsidRPr="00320C3A">
              <w:rPr>
                <w:szCs w:val="22"/>
              </w:rPr>
              <w:t>mærkninger til forslaget.</w:t>
            </w:r>
          </w:p>
        </w:tc>
        <w:tc>
          <w:tcPr>
            <w:tcW w:w="227" w:type="dxa"/>
            <w:shd w:val="clear" w:color="auto" w:fill="FFFFFF" w:themeFill="background1"/>
          </w:tcPr>
          <w:p w:rsidR="00BF1460" w:rsidRPr="00B5346F" w:rsidRDefault="00BF1460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BF1460" w:rsidRPr="00B5346F" w:rsidRDefault="00BF1460" w:rsidP="002F41F8">
            <w:pPr>
              <w:pStyle w:val="Tabel-BrdtekstmedafstandptekstGaramond"/>
            </w:pPr>
          </w:p>
        </w:tc>
      </w:tr>
      <w:tr w:rsidR="00BF1460" w:rsidRPr="00B5346F" w:rsidTr="00755E70">
        <w:tc>
          <w:tcPr>
            <w:tcW w:w="2348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815F28">
            <w:pPr>
              <w:pStyle w:val="Tabel-BrdtekstmedafstandptekstGaramond"/>
              <w:rPr>
                <w:i/>
                <w:szCs w:val="22"/>
              </w:rPr>
            </w:pPr>
            <w:r w:rsidRPr="00320C3A">
              <w:rPr>
                <w:i/>
                <w:szCs w:val="22"/>
              </w:rPr>
              <w:t>Udbetaling Danmark</w:t>
            </w:r>
          </w:p>
        </w:tc>
        <w:tc>
          <w:tcPr>
            <w:tcW w:w="210" w:type="dxa"/>
            <w:shd w:val="clear" w:color="auto" w:fill="FFFFFF" w:themeFill="background1"/>
          </w:tcPr>
          <w:p w:rsidR="00BF1460" w:rsidRPr="00320C3A" w:rsidRDefault="00BF1460" w:rsidP="002F41F8">
            <w:pPr>
              <w:rPr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D1C5C3" w:themeColor="accent3"/>
              <w:bottom w:val="single" w:sz="4" w:space="0" w:color="D1C5C3" w:themeColor="accent3"/>
            </w:tcBorders>
            <w:shd w:val="clear" w:color="auto" w:fill="FBF9F9"/>
          </w:tcPr>
          <w:p w:rsidR="00BF1460" w:rsidRPr="00320C3A" w:rsidRDefault="00BF1460" w:rsidP="002F41F8">
            <w:pPr>
              <w:pStyle w:val="Tabel-BrdtekstmedafstandptekstGaramond"/>
              <w:rPr>
                <w:szCs w:val="22"/>
              </w:rPr>
            </w:pPr>
            <w:r w:rsidRPr="00320C3A">
              <w:rPr>
                <w:szCs w:val="22"/>
              </w:rPr>
              <w:t>Udbetaling Danmark har ingen bemærkninger til forslaget.</w:t>
            </w:r>
          </w:p>
        </w:tc>
        <w:tc>
          <w:tcPr>
            <w:tcW w:w="227" w:type="dxa"/>
            <w:shd w:val="clear" w:color="auto" w:fill="FFFFFF" w:themeFill="background1"/>
          </w:tcPr>
          <w:p w:rsidR="00BF1460" w:rsidRPr="00B5346F" w:rsidRDefault="00BF1460" w:rsidP="002F41F8"/>
        </w:tc>
        <w:tc>
          <w:tcPr>
            <w:tcW w:w="3417" w:type="dxa"/>
            <w:tcBorders>
              <w:top w:val="single" w:sz="4" w:space="0" w:color="14143C" w:themeColor="accent1"/>
              <w:bottom w:val="single" w:sz="4" w:space="0" w:color="14143C" w:themeColor="accent1"/>
            </w:tcBorders>
            <w:shd w:val="clear" w:color="auto" w:fill="D2CED8"/>
          </w:tcPr>
          <w:p w:rsidR="00BF1460" w:rsidRPr="00B5346F" w:rsidRDefault="00BF1460" w:rsidP="002F41F8">
            <w:pPr>
              <w:pStyle w:val="Tabel-BrdtekstmedafstandptekstGaramond"/>
            </w:pPr>
          </w:p>
        </w:tc>
      </w:tr>
    </w:tbl>
    <w:p w:rsidR="00600E3E" w:rsidRPr="00F37F63" w:rsidRDefault="00600E3E" w:rsidP="002B3C73">
      <w:pPr>
        <w:keepNext/>
        <w:keepLines/>
      </w:pPr>
    </w:p>
    <w:sectPr w:rsidR="00600E3E" w:rsidRPr="00F37F63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C3" w:rsidRDefault="00C65AC3" w:rsidP="009E4B94">
      <w:pPr>
        <w:spacing w:line="240" w:lineRule="auto"/>
      </w:pPr>
      <w:r>
        <w:separator/>
      </w:r>
    </w:p>
  </w:endnote>
  <w:endnote w:type="continuationSeparator" w:id="0">
    <w:p w:rsidR="00C65AC3" w:rsidRDefault="00C65AC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A9" w:rsidRDefault="002746A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A9" w:rsidRPr="00681D83" w:rsidRDefault="002746A9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46A9" w:rsidRPr="00094ABD" w:rsidRDefault="002746A9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81180">
                            <w:rPr>
                              <w:rStyle w:val="Sidetal"/>
                              <w:noProof/>
                            </w:rPr>
                            <w:t>9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81180">
                            <w:rPr>
                              <w:rStyle w:val="Sidetal"/>
                              <w:noProof/>
                            </w:rPr>
                            <w:t>9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2746A9" w:rsidRPr="00094ABD" w:rsidRDefault="002746A9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81180">
                      <w:rPr>
                        <w:rStyle w:val="Sidetal"/>
                        <w:noProof/>
                      </w:rPr>
                      <w:t>9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81180">
                      <w:rPr>
                        <w:rStyle w:val="Sidetal"/>
                        <w:noProof/>
                      </w:rPr>
                      <w:t>9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A9" w:rsidRPr="00094ABD" w:rsidRDefault="002746A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C3" w:rsidRDefault="00C65AC3" w:rsidP="009E4B94">
      <w:pPr>
        <w:spacing w:line="240" w:lineRule="auto"/>
      </w:pPr>
      <w:r>
        <w:separator/>
      </w:r>
    </w:p>
  </w:footnote>
  <w:footnote w:type="continuationSeparator" w:id="0">
    <w:p w:rsidR="00C65AC3" w:rsidRDefault="00C65AC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A9" w:rsidRDefault="002746A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A9" w:rsidRDefault="002746A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A9" w:rsidRDefault="002746A9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6F66"/>
    <w:rsid w:val="0000703F"/>
    <w:rsid w:val="0001534C"/>
    <w:rsid w:val="00017063"/>
    <w:rsid w:val="00017586"/>
    <w:rsid w:val="0002656E"/>
    <w:rsid w:val="00030F87"/>
    <w:rsid w:val="0003160E"/>
    <w:rsid w:val="000423FF"/>
    <w:rsid w:val="00045E50"/>
    <w:rsid w:val="00062109"/>
    <w:rsid w:val="00066A26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2FDC"/>
    <w:rsid w:val="001863A7"/>
    <w:rsid w:val="0018740F"/>
    <w:rsid w:val="001A2678"/>
    <w:rsid w:val="001D0093"/>
    <w:rsid w:val="001D6BD9"/>
    <w:rsid w:val="001E79D1"/>
    <w:rsid w:val="001F374B"/>
    <w:rsid w:val="00203DE6"/>
    <w:rsid w:val="00207BEC"/>
    <w:rsid w:val="0022582F"/>
    <w:rsid w:val="002301C3"/>
    <w:rsid w:val="00244D70"/>
    <w:rsid w:val="0026468A"/>
    <w:rsid w:val="00267514"/>
    <w:rsid w:val="002746A9"/>
    <w:rsid w:val="002870F4"/>
    <w:rsid w:val="002B3C73"/>
    <w:rsid w:val="002C258E"/>
    <w:rsid w:val="002E233E"/>
    <w:rsid w:val="002E30A1"/>
    <w:rsid w:val="002E6B15"/>
    <w:rsid w:val="002E74A4"/>
    <w:rsid w:val="002F41F8"/>
    <w:rsid w:val="00302887"/>
    <w:rsid w:val="003075A8"/>
    <w:rsid w:val="00320C3A"/>
    <w:rsid w:val="00332478"/>
    <w:rsid w:val="00351C70"/>
    <w:rsid w:val="003615EE"/>
    <w:rsid w:val="00381C01"/>
    <w:rsid w:val="003A0E0E"/>
    <w:rsid w:val="003B35B0"/>
    <w:rsid w:val="003C4F9F"/>
    <w:rsid w:val="003C60F1"/>
    <w:rsid w:val="003D4CE7"/>
    <w:rsid w:val="003F52AC"/>
    <w:rsid w:val="00404BF7"/>
    <w:rsid w:val="004141C6"/>
    <w:rsid w:val="00415896"/>
    <w:rsid w:val="00416196"/>
    <w:rsid w:val="00424709"/>
    <w:rsid w:val="00425F90"/>
    <w:rsid w:val="00434ADC"/>
    <w:rsid w:val="0044459B"/>
    <w:rsid w:val="00446687"/>
    <w:rsid w:val="00455537"/>
    <w:rsid w:val="00466136"/>
    <w:rsid w:val="00484640"/>
    <w:rsid w:val="00491D5C"/>
    <w:rsid w:val="004A5600"/>
    <w:rsid w:val="004B5150"/>
    <w:rsid w:val="004C01B2"/>
    <w:rsid w:val="004D0057"/>
    <w:rsid w:val="004D0A20"/>
    <w:rsid w:val="004D2BD7"/>
    <w:rsid w:val="004D46CB"/>
    <w:rsid w:val="004E5FA3"/>
    <w:rsid w:val="004F054D"/>
    <w:rsid w:val="00503680"/>
    <w:rsid w:val="00504882"/>
    <w:rsid w:val="00522DA7"/>
    <w:rsid w:val="00525897"/>
    <w:rsid w:val="00530A82"/>
    <w:rsid w:val="005316DD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00E3E"/>
    <w:rsid w:val="00622C50"/>
    <w:rsid w:val="00637CAF"/>
    <w:rsid w:val="00642CBC"/>
    <w:rsid w:val="00655B49"/>
    <w:rsid w:val="0067143B"/>
    <w:rsid w:val="0067386E"/>
    <w:rsid w:val="00681D83"/>
    <w:rsid w:val="006900C2"/>
    <w:rsid w:val="00694421"/>
    <w:rsid w:val="006B0CC7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327A9"/>
    <w:rsid w:val="007546AF"/>
    <w:rsid w:val="00755E70"/>
    <w:rsid w:val="00765934"/>
    <w:rsid w:val="00770410"/>
    <w:rsid w:val="00773919"/>
    <w:rsid w:val="00775409"/>
    <w:rsid w:val="00786FCF"/>
    <w:rsid w:val="0078774E"/>
    <w:rsid w:val="007A1B96"/>
    <w:rsid w:val="007A2D34"/>
    <w:rsid w:val="007E0E19"/>
    <w:rsid w:val="007E2CF5"/>
    <w:rsid w:val="007E373C"/>
    <w:rsid w:val="00801F34"/>
    <w:rsid w:val="00815F28"/>
    <w:rsid w:val="00824115"/>
    <w:rsid w:val="008531FB"/>
    <w:rsid w:val="00864D45"/>
    <w:rsid w:val="008662D3"/>
    <w:rsid w:val="00892D08"/>
    <w:rsid w:val="00893791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47BA0"/>
    <w:rsid w:val="00951B25"/>
    <w:rsid w:val="00967833"/>
    <w:rsid w:val="009678F1"/>
    <w:rsid w:val="00971053"/>
    <w:rsid w:val="00983B74"/>
    <w:rsid w:val="00986D8F"/>
    <w:rsid w:val="00990263"/>
    <w:rsid w:val="009A2571"/>
    <w:rsid w:val="009A4CCC"/>
    <w:rsid w:val="009D200D"/>
    <w:rsid w:val="009E4B94"/>
    <w:rsid w:val="009F18F2"/>
    <w:rsid w:val="009F53D4"/>
    <w:rsid w:val="00A239DF"/>
    <w:rsid w:val="00A262CF"/>
    <w:rsid w:val="00A30808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BF1460"/>
    <w:rsid w:val="00C173F9"/>
    <w:rsid w:val="00C2169F"/>
    <w:rsid w:val="00C217E3"/>
    <w:rsid w:val="00C2782C"/>
    <w:rsid w:val="00C310A8"/>
    <w:rsid w:val="00C31791"/>
    <w:rsid w:val="00C45EEB"/>
    <w:rsid w:val="00C51167"/>
    <w:rsid w:val="00C605DF"/>
    <w:rsid w:val="00C62DBD"/>
    <w:rsid w:val="00C65AC3"/>
    <w:rsid w:val="00C71C8E"/>
    <w:rsid w:val="00C86D85"/>
    <w:rsid w:val="00C949AA"/>
    <w:rsid w:val="00CA61D4"/>
    <w:rsid w:val="00CB33DF"/>
    <w:rsid w:val="00CC0BE2"/>
    <w:rsid w:val="00CC342E"/>
    <w:rsid w:val="00CC6322"/>
    <w:rsid w:val="00CD5714"/>
    <w:rsid w:val="00CE262C"/>
    <w:rsid w:val="00CE5C53"/>
    <w:rsid w:val="00CF73BA"/>
    <w:rsid w:val="00D0360E"/>
    <w:rsid w:val="00D243BB"/>
    <w:rsid w:val="00D25933"/>
    <w:rsid w:val="00D35090"/>
    <w:rsid w:val="00D3786F"/>
    <w:rsid w:val="00D42FEE"/>
    <w:rsid w:val="00D66542"/>
    <w:rsid w:val="00D66E2C"/>
    <w:rsid w:val="00D81180"/>
    <w:rsid w:val="00D96141"/>
    <w:rsid w:val="00DB31AF"/>
    <w:rsid w:val="00DB6739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4A82"/>
    <w:rsid w:val="00E66240"/>
    <w:rsid w:val="00E75ED1"/>
    <w:rsid w:val="00EB4FE6"/>
    <w:rsid w:val="00EB603A"/>
    <w:rsid w:val="00ED7096"/>
    <w:rsid w:val="00EE450B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6EDF"/>
    <w:rsid w:val="00F37F63"/>
    <w:rsid w:val="00F45445"/>
    <w:rsid w:val="00F540A8"/>
    <w:rsid w:val="00F6027B"/>
    <w:rsid w:val="00F63834"/>
    <w:rsid w:val="00F94967"/>
    <w:rsid w:val="00FA6475"/>
    <w:rsid w:val="00FB1FE9"/>
    <w:rsid w:val="00FC4E3D"/>
    <w:rsid w:val="00FC511D"/>
    <w:rsid w:val="00FC6B3E"/>
    <w:rsid w:val="00FC7F59"/>
    <w:rsid w:val="00FE1923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qFormat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Brdtekst">
    <w:name w:val="Body Text"/>
    <w:basedOn w:val="Normal"/>
    <w:link w:val="BrdtekstTegn"/>
    <w:qFormat/>
    <w:rsid w:val="00971053"/>
    <w:pPr>
      <w:spacing w:before="120" w:line="294" w:lineRule="exac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7105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6B0CC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0">
    <w:name w:val="Style0"/>
    <w:basedOn w:val="Normal"/>
    <w:uiPriority w:val="99"/>
    <w:rsid w:val="0044459B"/>
    <w:pPr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Body1">
    <w:name w:val="Body 1"/>
    <w:basedOn w:val="Normal"/>
    <w:uiPriority w:val="99"/>
    <w:rsid w:val="0044459B"/>
    <w:pPr>
      <w:spacing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qFormat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Brdtekst">
    <w:name w:val="Body Text"/>
    <w:basedOn w:val="Normal"/>
    <w:link w:val="BrdtekstTegn"/>
    <w:qFormat/>
    <w:rsid w:val="00971053"/>
    <w:pPr>
      <w:spacing w:before="120" w:line="294" w:lineRule="exac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7105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6B0CC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0">
    <w:name w:val="Style0"/>
    <w:basedOn w:val="Normal"/>
    <w:uiPriority w:val="99"/>
    <w:rsid w:val="0044459B"/>
    <w:pPr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Body1">
    <w:name w:val="Body 1"/>
    <w:basedOn w:val="Normal"/>
    <w:uiPriority w:val="99"/>
    <w:rsid w:val="0044459B"/>
    <w:pPr>
      <w:spacing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6D2201" w:rsidP="006D2201">
          <w:pPr>
            <w:pStyle w:val="1102700AAA9243BFBFA7499DA621CF991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1B697B"/>
    <w:rsid w:val="001C729D"/>
    <w:rsid w:val="001F06EB"/>
    <w:rsid w:val="002B55D2"/>
    <w:rsid w:val="003531BE"/>
    <w:rsid w:val="00491717"/>
    <w:rsid w:val="006068AD"/>
    <w:rsid w:val="006D2201"/>
    <w:rsid w:val="007752DF"/>
    <w:rsid w:val="00795A2C"/>
    <w:rsid w:val="007B5A3D"/>
    <w:rsid w:val="00835B8C"/>
    <w:rsid w:val="008C6D5A"/>
    <w:rsid w:val="00C1191D"/>
    <w:rsid w:val="00D431C0"/>
    <w:rsid w:val="00D85309"/>
    <w:rsid w:val="00DB3F47"/>
    <w:rsid w:val="00EB0B7B"/>
    <w:rsid w:val="00E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C729D"/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  <w:style w:type="paragraph" w:customStyle="1" w:styleId="9B624697CB6342D0B3824363A62F23F9">
    <w:name w:val="9B624697CB6342D0B3824363A62F23F9"/>
    <w:rsid w:val="006D2201"/>
  </w:style>
  <w:style w:type="paragraph" w:customStyle="1" w:styleId="1102700AAA9243BFBFA7499DA621CF991">
    <w:name w:val="1102700AAA9243BFBFA7499DA621CF991"/>
    <w:rsid w:val="006D2201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B624697CB6342D0B3824363A62F23F91">
    <w:name w:val="9B624697CB6342D0B3824363A62F23F91"/>
    <w:rsid w:val="006D2201"/>
    <w:pPr>
      <w:spacing w:after="0" w:line="280" w:lineRule="atLeast"/>
    </w:pPr>
    <w:rPr>
      <w:rFonts w:ascii="Garamond" w:eastAsiaTheme="minorHAnsi" w:hAnsi="Garamond"/>
      <w:szCs w:val="18"/>
      <w:lang w:eastAsia="en-US"/>
    </w:rPr>
  </w:style>
  <w:style w:type="paragraph" w:customStyle="1" w:styleId="56E19A9A13AD4F0E97DF33B7C20F73D6">
    <w:name w:val="56E19A9A13AD4F0E97DF33B7C20F73D6"/>
    <w:rsid w:val="00EC1A68"/>
  </w:style>
  <w:style w:type="paragraph" w:customStyle="1" w:styleId="CD131A304EC146C9A8EEBB78B9564B56">
    <w:name w:val="CD131A304EC146C9A8EEBB78B9564B56"/>
    <w:rsid w:val="00EC1A68"/>
  </w:style>
  <w:style w:type="paragraph" w:customStyle="1" w:styleId="1E2CA45C219D4104A613B99F54C69A42">
    <w:name w:val="1E2CA45C219D4104A613B99F54C69A42"/>
    <w:rsid w:val="00EC1A68"/>
  </w:style>
  <w:style w:type="paragraph" w:customStyle="1" w:styleId="797ABB5B8C2049BDBA7B16C20687CDE3">
    <w:name w:val="797ABB5B8C2049BDBA7B16C20687CDE3"/>
    <w:rsid w:val="001C729D"/>
  </w:style>
  <w:style w:type="paragraph" w:customStyle="1" w:styleId="D37D6FCCA7794345802D61BCC8506938">
    <w:name w:val="D37D6FCCA7794345802D61BCC8506938"/>
    <w:rsid w:val="001C72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C729D"/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  <w:style w:type="paragraph" w:customStyle="1" w:styleId="9B624697CB6342D0B3824363A62F23F9">
    <w:name w:val="9B624697CB6342D0B3824363A62F23F9"/>
    <w:rsid w:val="006D2201"/>
  </w:style>
  <w:style w:type="paragraph" w:customStyle="1" w:styleId="1102700AAA9243BFBFA7499DA621CF991">
    <w:name w:val="1102700AAA9243BFBFA7499DA621CF991"/>
    <w:rsid w:val="006D2201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B624697CB6342D0B3824363A62F23F91">
    <w:name w:val="9B624697CB6342D0B3824363A62F23F91"/>
    <w:rsid w:val="006D2201"/>
    <w:pPr>
      <w:spacing w:after="0" w:line="280" w:lineRule="atLeast"/>
    </w:pPr>
    <w:rPr>
      <w:rFonts w:ascii="Garamond" w:eastAsiaTheme="minorHAnsi" w:hAnsi="Garamond"/>
      <w:szCs w:val="18"/>
      <w:lang w:eastAsia="en-US"/>
    </w:rPr>
  </w:style>
  <w:style w:type="paragraph" w:customStyle="1" w:styleId="56E19A9A13AD4F0E97DF33B7C20F73D6">
    <w:name w:val="56E19A9A13AD4F0E97DF33B7C20F73D6"/>
    <w:rsid w:val="00EC1A68"/>
  </w:style>
  <w:style w:type="paragraph" w:customStyle="1" w:styleId="CD131A304EC146C9A8EEBB78B9564B56">
    <w:name w:val="CD131A304EC146C9A8EEBB78B9564B56"/>
    <w:rsid w:val="00EC1A68"/>
  </w:style>
  <w:style w:type="paragraph" w:customStyle="1" w:styleId="1E2CA45C219D4104A613B99F54C69A42">
    <w:name w:val="1E2CA45C219D4104A613B99F54C69A42"/>
    <w:rsid w:val="00EC1A68"/>
  </w:style>
  <w:style w:type="paragraph" w:customStyle="1" w:styleId="797ABB5B8C2049BDBA7B16C20687CDE3">
    <w:name w:val="797ABB5B8C2049BDBA7B16C20687CDE3"/>
    <w:rsid w:val="001C729D"/>
  </w:style>
  <w:style w:type="paragraph" w:customStyle="1" w:styleId="D37D6FCCA7794345802D61BCC8506938">
    <w:name w:val="D37D6FCCA7794345802D61BCC8506938"/>
    <w:rsid w:val="001C7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1412</Words>
  <Characters>8614</Characters>
  <Application>Microsoft Office Word</Application>
  <DocSecurity>0</DocSecurity>
  <Lines>71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2014-03-27T08:39:00Z</dcterms:created>
  <dcterms:modified xsi:type="dcterms:W3CDTF">2014-03-28T15:28:00Z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Høringsskema (DOK39783607) (DOK39873954)</vt:lpwstr>
  </property>
  <property fmtid="{D5CDD505-2E9C-101B-9397-08002B2CF9AE}" pid="4" name="path">
    <vt:lpwstr>C:\Users\w17771\AppData\Local\Temp\Scanjour\Captia\SJ20140328152714539 [DOK39873954].DOCX</vt:lpwstr>
  </property>
  <property fmtid="{D5CDD505-2E9C-101B-9397-08002B2CF9AE}" pid="5" name="command">
    <vt:lpwstr>&amp;x_infomerge=1</vt:lpwstr>
  </property>
</Properties>
</file>