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CE0E80" w14:paraId="0BB8A159" w14:textId="77777777" w:rsidTr="003F319A">
        <w:trPr>
          <w:cantSplit/>
          <w:trHeight w:val="2600"/>
        </w:trPr>
        <w:tc>
          <w:tcPr>
            <w:tcW w:w="7116" w:type="dxa"/>
          </w:tcPr>
          <w:p w14:paraId="0332862A" w14:textId="77777777" w:rsidR="007F73B3" w:rsidRPr="00CE0E80" w:rsidRDefault="007F73B3" w:rsidP="008432EE"/>
        </w:tc>
        <w:tc>
          <w:tcPr>
            <w:tcW w:w="1939" w:type="dxa"/>
          </w:tcPr>
          <w:p w14:paraId="4451A876" w14:textId="77777777" w:rsidR="005271D6" w:rsidRPr="00CE0E80" w:rsidRDefault="005271D6" w:rsidP="00557A69"/>
        </w:tc>
      </w:tr>
      <w:tr w:rsidR="00541D1B" w:rsidRPr="00CE0E80" w14:paraId="115A37B6" w14:textId="77777777" w:rsidTr="003F319A">
        <w:trPr>
          <w:cantSplit/>
        </w:trPr>
        <w:tc>
          <w:tcPr>
            <w:tcW w:w="7116" w:type="dxa"/>
          </w:tcPr>
          <w:p w14:paraId="45127BB8" w14:textId="77777777" w:rsidR="00541D1B" w:rsidRPr="00CE0E80" w:rsidRDefault="008432EE" w:rsidP="00541D1B">
            <w:pPr>
              <w:pStyle w:val="DocumentHeading"/>
            </w:pPr>
            <w:r w:rsidRPr="00E343E5">
              <w:t>Høringsnotat: Ekstern høring vedr. bekendtgørelse om kvalitetskrav til miljømålinger</w:t>
            </w:r>
            <w:r>
              <w:t xml:space="preserve"> </w:t>
            </w:r>
          </w:p>
          <w:p w14:paraId="71211802" w14:textId="77777777" w:rsidR="00541D1B" w:rsidRPr="00CE0E80" w:rsidRDefault="00541D1B" w:rsidP="00541D1B"/>
        </w:tc>
        <w:tc>
          <w:tcPr>
            <w:tcW w:w="1939" w:type="dxa"/>
          </w:tcPr>
          <w:p w14:paraId="1DA30096" w14:textId="77777777" w:rsidR="00541D1B" w:rsidRPr="00CE0E80" w:rsidRDefault="00541D1B" w:rsidP="00557A69"/>
        </w:tc>
      </w:tr>
    </w:tbl>
    <w:p w14:paraId="4D1803F4" w14:textId="77777777" w:rsidR="008432EE" w:rsidRDefault="008432EE" w:rsidP="008432EE">
      <w:pPr>
        <w:pStyle w:val="Overskrift1"/>
        <w:rPr>
          <w:b w:val="0"/>
        </w:rPr>
      </w:pPr>
      <w:r w:rsidRPr="008432EE">
        <w:rPr>
          <w:b w:val="0"/>
        </w:rPr>
        <w:t xml:space="preserve">Udkast til ny bekendtgørelse om vandkvalitet og tilsyn med vandforsyningsanlæg (drikkevandsbekendtgørelsen) og ny bekendtgørelse om kvalitetskrav til miljømålinger (analysekvalitetsbekendtgørelsen) har været i ekstern høring d. </w:t>
      </w:r>
      <w:r>
        <w:rPr>
          <w:b w:val="0"/>
        </w:rPr>
        <w:t>15</w:t>
      </w:r>
      <w:r w:rsidRPr="008432EE">
        <w:rPr>
          <w:b w:val="0"/>
        </w:rPr>
        <w:t xml:space="preserve">. </w:t>
      </w:r>
      <w:r>
        <w:rPr>
          <w:b w:val="0"/>
        </w:rPr>
        <w:t>marts – 11</w:t>
      </w:r>
      <w:r w:rsidRPr="008432EE">
        <w:rPr>
          <w:b w:val="0"/>
        </w:rPr>
        <w:t xml:space="preserve">. </w:t>
      </w:r>
      <w:r>
        <w:rPr>
          <w:b w:val="0"/>
        </w:rPr>
        <w:t>april</w:t>
      </w:r>
      <w:r w:rsidRPr="008432EE">
        <w:rPr>
          <w:b w:val="0"/>
        </w:rPr>
        <w:t xml:space="preserve"> 202</w:t>
      </w:r>
      <w:r>
        <w:rPr>
          <w:b w:val="0"/>
        </w:rPr>
        <w:t>3</w:t>
      </w:r>
      <w:r w:rsidRPr="008432EE">
        <w:rPr>
          <w:b w:val="0"/>
        </w:rPr>
        <w:t xml:space="preserve">. </w:t>
      </w:r>
    </w:p>
    <w:p w14:paraId="2D5C8261" w14:textId="77777777" w:rsidR="008432EE" w:rsidRDefault="008432EE" w:rsidP="008432EE">
      <w:pPr>
        <w:pStyle w:val="Overskrift1"/>
        <w:rPr>
          <w:b w:val="0"/>
        </w:rPr>
      </w:pPr>
    </w:p>
    <w:p w14:paraId="51029BCE" w14:textId="77777777" w:rsidR="008432EE" w:rsidRDefault="008432EE" w:rsidP="008432EE">
      <w:pPr>
        <w:pStyle w:val="Overskrift1"/>
        <w:rPr>
          <w:b w:val="0"/>
        </w:rPr>
      </w:pPr>
      <w:r>
        <w:rPr>
          <w:b w:val="0"/>
        </w:rPr>
        <w:t xml:space="preserve">Dette høringsnotat behandler </w:t>
      </w:r>
      <w:r w:rsidR="003F183B">
        <w:rPr>
          <w:b w:val="0"/>
        </w:rPr>
        <w:t xml:space="preserve">eksterne </w:t>
      </w:r>
      <w:r>
        <w:rPr>
          <w:b w:val="0"/>
        </w:rPr>
        <w:t>høringssvar der vedrør</w:t>
      </w:r>
      <w:r w:rsidR="00D01229">
        <w:rPr>
          <w:b w:val="0"/>
        </w:rPr>
        <w:t>er</w:t>
      </w:r>
      <w:r>
        <w:rPr>
          <w:b w:val="0"/>
        </w:rPr>
        <w:t xml:space="preserve"> analysekvalitetsbekendtgørelsen.</w:t>
      </w:r>
    </w:p>
    <w:p w14:paraId="6C1FFC22" w14:textId="77777777" w:rsidR="008432EE" w:rsidRPr="008432EE" w:rsidRDefault="008432EE" w:rsidP="008432EE">
      <w:pPr>
        <w:pStyle w:val="Overskrift1"/>
        <w:rPr>
          <w:b w:val="0"/>
        </w:rPr>
      </w:pPr>
    </w:p>
    <w:p w14:paraId="22189D70" w14:textId="77777777" w:rsidR="00BC1C77" w:rsidRDefault="008432EE" w:rsidP="008432EE">
      <w:pPr>
        <w:pStyle w:val="Overskrift1"/>
        <w:rPr>
          <w:b w:val="0"/>
        </w:rPr>
      </w:pPr>
      <w:r w:rsidRPr="008432EE">
        <w:rPr>
          <w:b w:val="0"/>
        </w:rPr>
        <w:t xml:space="preserve">Der er modtaget </w:t>
      </w:r>
      <w:r w:rsidR="006336CF">
        <w:rPr>
          <w:b w:val="0"/>
        </w:rPr>
        <w:t>6</w:t>
      </w:r>
      <w:r w:rsidR="00251652">
        <w:rPr>
          <w:b w:val="0"/>
        </w:rPr>
        <w:t xml:space="preserve"> eksterne høringssvar:</w:t>
      </w:r>
    </w:p>
    <w:p w14:paraId="255C998C" w14:textId="77777777" w:rsidR="00E560E9" w:rsidRDefault="00E560E9" w:rsidP="00E560E9"/>
    <w:p w14:paraId="6C7B4AC0" w14:textId="77777777" w:rsidR="00E560E9" w:rsidRPr="00E560E9" w:rsidRDefault="00E560E9" w:rsidP="00E560E9">
      <w:pPr>
        <w:pStyle w:val="Listeafsnit"/>
        <w:numPr>
          <w:ilvl w:val="0"/>
          <w:numId w:val="15"/>
        </w:numPr>
        <w:rPr>
          <w:b/>
        </w:rPr>
      </w:pPr>
      <w:r w:rsidRPr="00E560E9">
        <w:rPr>
          <w:b/>
        </w:rPr>
        <w:t>DonsLab</w:t>
      </w:r>
    </w:p>
    <w:p w14:paraId="50EF9F1C" w14:textId="77777777" w:rsidR="00E560E9" w:rsidRPr="00E560E9" w:rsidRDefault="00E560E9" w:rsidP="00E560E9">
      <w:pPr>
        <w:pStyle w:val="Listeafsnit"/>
        <w:rPr>
          <w:i/>
        </w:rPr>
      </w:pPr>
      <w:r w:rsidRPr="00E560E9">
        <w:rPr>
          <w:i/>
        </w:rPr>
        <w:t xml:space="preserve">Af Drik.bek. Bilag 1 c er inkluderet krav om analyse af Iltforbrug. </w:t>
      </w:r>
    </w:p>
    <w:p w14:paraId="13B7DCA7" w14:textId="77777777" w:rsidR="00E560E9" w:rsidRPr="00E560E9" w:rsidRDefault="00E560E9" w:rsidP="00E560E9">
      <w:pPr>
        <w:pStyle w:val="Listeafsnit"/>
        <w:rPr>
          <w:i/>
        </w:rPr>
      </w:pPr>
      <w:r w:rsidRPr="00E560E9">
        <w:rPr>
          <w:i/>
        </w:rPr>
        <w:t>Denne parameter indgår ikke i Kval.bek. Bilag 1.4 Drikkevandskontrol, og burde vel have været inkluderet i Kval.bek. da Iltforbrug blev inkluderet i BEK nr 1110 af 30/05/2021.</w:t>
      </w:r>
    </w:p>
    <w:p w14:paraId="0F98A03A" w14:textId="77777777" w:rsidR="00E560E9" w:rsidRPr="00E560E9" w:rsidRDefault="00E560E9" w:rsidP="00E560E9">
      <w:pPr>
        <w:pStyle w:val="Listeafsnit"/>
        <w:rPr>
          <w:i/>
        </w:rPr>
      </w:pPr>
      <w:r w:rsidRPr="00E560E9">
        <w:rPr>
          <w:i/>
        </w:rPr>
        <w:t>Krav i EU Drik.Dir. er Referencemetode: EN ISO 8467: Permanganat Index.</w:t>
      </w:r>
    </w:p>
    <w:p w14:paraId="6D479554" w14:textId="77777777" w:rsidR="00E560E9" w:rsidRPr="00E560E9" w:rsidRDefault="00E560E9" w:rsidP="00E560E9">
      <w:pPr>
        <w:pStyle w:val="Listeafsnit"/>
        <w:rPr>
          <w:i/>
        </w:rPr>
      </w:pPr>
      <w:r w:rsidRPr="00E560E9">
        <w:rPr>
          <w:i/>
        </w:rPr>
        <w:t>Og nej - den kommer nok ikke til at blive brugt i Danmark........hvor vi jo de sidste 20 - 30 år har brugt NVOC i stedet.</w:t>
      </w:r>
    </w:p>
    <w:p w14:paraId="6E38A38F" w14:textId="77777777" w:rsidR="00E560E9" w:rsidRDefault="00E560E9" w:rsidP="00E560E9">
      <w:pPr>
        <w:pStyle w:val="Listeafsnit"/>
      </w:pPr>
    </w:p>
    <w:p w14:paraId="0DE7A275" w14:textId="77777777" w:rsidR="003F183B" w:rsidRDefault="00E560E9" w:rsidP="003F183B">
      <w:pPr>
        <w:pStyle w:val="Listeafsnit"/>
      </w:pPr>
      <w:r w:rsidRPr="00E560E9">
        <w:rPr>
          <w:b/>
        </w:rPr>
        <w:t>Miljøstyrelsens svar:</w:t>
      </w:r>
      <w:r>
        <w:t xml:space="preserve"> Som konstateret af DonsLab, findes der et krav om måling af iltforbrug i drikkevandsbekendtgørelsens bilag 1c. Kravet er behæftet med note 7 – ”</w:t>
      </w:r>
      <w:r w:rsidRPr="00E560E9">
        <w:rPr>
          <w:i/>
        </w:rPr>
        <w:t>Denne parameter skal ikke måles, såfremt parameteren NVOC analyseres</w:t>
      </w:r>
      <w:r>
        <w:t xml:space="preserve">”. NVOC er en obligatorisk parameter i bilag 1c, hvorfor kravet om måling af iltforbrug </w:t>
      </w:r>
      <w:r w:rsidR="003F183B">
        <w:t xml:space="preserve">vurderes at være </w:t>
      </w:r>
      <w:r>
        <w:t>ikke relevant.</w:t>
      </w:r>
      <w:r w:rsidR="003F183B">
        <w:t xml:space="preserve"> </w:t>
      </w:r>
      <w:r>
        <w:t xml:space="preserve">Miljøstyrelsen vurderer at svaret </w:t>
      </w:r>
      <w:r w:rsidR="003F183B">
        <w:t xml:space="preserve">for nuværende </w:t>
      </w:r>
      <w:r>
        <w:t>ikke giver anledning til yderligere ændringer.</w:t>
      </w:r>
      <w:r w:rsidR="003F183B">
        <w:t xml:space="preserve"> Miljøstyrelsen vil dog undersøge hvor hyppigt parameteren måles og vurdere behovet for at indføre metodekrav i en senere opdatering af bekendtgørelsen.</w:t>
      </w:r>
    </w:p>
    <w:p w14:paraId="0A501F93" w14:textId="77777777" w:rsidR="00E560E9" w:rsidRDefault="00E560E9" w:rsidP="00E560E9">
      <w:pPr>
        <w:pStyle w:val="Listeafsnit"/>
      </w:pPr>
    </w:p>
    <w:p w14:paraId="3ED7FF4D" w14:textId="77777777" w:rsidR="00E560E9" w:rsidRDefault="00E560E9" w:rsidP="00E560E9">
      <w:pPr>
        <w:pStyle w:val="Listeafsnit"/>
      </w:pPr>
    </w:p>
    <w:p w14:paraId="7F6A0FF3" w14:textId="77777777" w:rsidR="00E560E9" w:rsidRPr="00EB0E76" w:rsidRDefault="00EB0E76" w:rsidP="00E560E9">
      <w:pPr>
        <w:pStyle w:val="Listeafsnit"/>
        <w:numPr>
          <w:ilvl w:val="0"/>
          <w:numId w:val="15"/>
        </w:numPr>
        <w:rPr>
          <w:b/>
        </w:rPr>
      </w:pPr>
      <w:r w:rsidRPr="00EB0E76">
        <w:rPr>
          <w:b/>
        </w:rPr>
        <w:t>DANVA</w:t>
      </w:r>
    </w:p>
    <w:p w14:paraId="22F2DB75" w14:textId="77777777" w:rsidR="00E560E9" w:rsidRDefault="00EB0E76" w:rsidP="00E560E9">
      <w:pPr>
        <w:pStyle w:val="Listeafsnit"/>
      </w:pPr>
      <w:r w:rsidRPr="00EB0E76">
        <w:t>DANVA</w:t>
      </w:r>
      <w:r w:rsidR="00251652">
        <w:t xml:space="preserve"> har</w:t>
      </w:r>
      <w:r w:rsidRPr="00EB0E76">
        <w:t xml:space="preserve"> ikke bemærkninger til bekendtgørelse om </w:t>
      </w:r>
      <w:r>
        <w:t xml:space="preserve">kvalitetskrav til </w:t>
      </w:r>
      <w:r w:rsidRPr="00EB0E76">
        <w:t>miljømålinger</w:t>
      </w:r>
      <w:r w:rsidR="00E560E9">
        <w:t>.</w:t>
      </w:r>
    </w:p>
    <w:p w14:paraId="59D9ECD9" w14:textId="77777777" w:rsidR="003A5F35" w:rsidRDefault="003A5F35" w:rsidP="00E560E9">
      <w:pPr>
        <w:pStyle w:val="Listeafsnit"/>
      </w:pPr>
    </w:p>
    <w:p w14:paraId="18601667" w14:textId="77777777" w:rsidR="00E560E9" w:rsidRPr="00C947AF" w:rsidRDefault="00E560E9" w:rsidP="00E560E9">
      <w:pPr>
        <w:pStyle w:val="Listeafsnit"/>
        <w:numPr>
          <w:ilvl w:val="0"/>
          <w:numId w:val="15"/>
        </w:numPr>
        <w:rPr>
          <w:b/>
        </w:rPr>
      </w:pPr>
      <w:r w:rsidRPr="00C947AF">
        <w:rPr>
          <w:b/>
        </w:rPr>
        <w:t>ALS Denmark</w:t>
      </w:r>
    </w:p>
    <w:p w14:paraId="39483187" w14:textId="77777777" w:rsidR="00C947AF" w:rsidRPr="00C947AF" w:rsidRDefault="00C947AF" w:rsidP="00C947AF">
      <w:pPr>
        <w:pStyle w:val="Listeafsnit"/>
        <w:rPr>
          <w:i/>
        </w:rPr>
      </w:pPr>
      <w:r w:rsidRPr="00C947AF">
        <w:rPr>
          <w:i/>
        </w:rPr>
        <w:t>ALS Denmark har nedenstående høringssvar:</w:t>
      </w:r>
    </w:p>
    <w:p w14:paraId="21A0E628" w14:textId="77777777" w:rsidR="00C947AF" w:rsidRPr="00C947AF" w:rsidRDefault="00C947AF" w:rsidP="00C947AF">
      <w:pPr>
        <w:pStyle w:val="Listeafsnit"/>
        <w:rPr>
          <w:i/>
        </w:rPr>
      </w:pPr>
    </w:p>
    <w:p w14:paraId="34AA4567" w14:textId="77777777" w:rsidR="00C947AF" w:rsidRPr="00C947AF" w:rsidRDefault="00C947AF" w:rsidP="005361D1">
      <w:pPr>
        <w:pStyle w:val="Listeafsnit"/>
        <w:numPr>
          <w:ilvl w:val="0"/>
          <w:numId w:val="16"/>
        </w:numPr>
        <w:rPr>
          <w:i/>
        </w:rPr>
      </w:pPr>
      <w:r w:rsidRPr="00C947AF">
        <w:rPr>
          <w:i/>
        </w:rPr>
        <w:t>I Drikkevandsbekendtgørelsen er defineret grænseværdi for Halogenerede Eddikesyrer (monochlor-, dichlor-, og trichlorethansyre samt dibromethansyre). Der mangler definition af kvalitetskrav for stofferne i Kvalbek.</w:t>
      </w:r>
    </w:p>
    <w:p w14:paraId="03355517" w14:textId="77777777" w:rsidR="00C947AF" w:rsidRPr="00C947AF" w:rsidRDefault="00C947AF" w:rsidP="002F08E0">
      <w:pPr>
        <w:pStyle w:val="Listeafsnit"/>
        <w:numPr>
          <w:ilvl w:val="0"/>
          <w:numId w:val="16"/>
        </w:numPr>
        <w:rPr>
          <w:i/>
        </w:rPr>
      </w:pPr>
      <w:r w:rsidRPr="00C947AF">
        <w:rPr>
          <w:i/>
        </w:rPr>
        <w:lastRenderedPageBreak/>
        <w:t xml:space="preserve">I Drikkevandsbekendtgørelsen er defineret grænseværdi for Bisphenol A. Der mangler definition af kvalitetskrav for stoffet i Kvalbek. </w:t>
      </w:r>
    </w:p>
    <w:p w14:paraId="300E1093" w14:textId="77777777" w:rsidR="003A5F35" w:rsidRPr="00C947AF" w:rsidRDefault="00C947AF" w:rsidP="00C947AF">
      <w:pPr>
        <w:pStyle w:val="Listeafsnit"/>
        <w:numPr>
          <w:ilvl w:val="0"/>
          <w:numId w:val="16"/>
        </w:numPr>
        <w:rPr>
          <w:i/>
        </w:rPr>
      </w:pPr>
      <w:r w:rsidRPr="00C947AF">
        <w:rPr>
          <w:i/>
        </w:rPr>
        <w:t>Hvorfor er Uabs for PPU (IN70941) og Pentachlorbenzen sat til 0,03 µg/l, når de andre pesticider har en Uabs på 0,05 µg/l?</w:t>
      </w:r>
    </w:p>
    <w:p w14:paraId="269E9A3E" w14:textId="77777777" w:rsidR="00C947AF" w:rsidRPr="005B36E8" w:rsidRDefault="00C947AF" w:rsidP="00C947AF">
      <w:pPr>
        <w:pStyle w:val="Listeafsnit"/>
        <w:numPr>
          <w:ilvl w:val="0"/>
          <w:numId w:val="16"/>
        </w:numPr>
      </w:pPr>
      <w:r w:rsidRPr="00C947AF">
        <w:rPr>
          <w:i/>
        </w:rPr>
        <w:t>I Drikkevandsbekendtgørelsen er defineret grænseværdi for Microcystin-LR. Der mangler definition af kvalitetskrav for stoffet i Kvalbek.</w:t>
      </w:r>
    </w:p>
    <w:p w14:paraId="2D9007E7" w14:textId="77777777" w:rsidR="005B36E8" w:rsidRDefault="005B36E8" w:rsidP="005B36E8">
      <w:pPr>
        <w:ind w:left="720"/>
        <w:rPr>
          <w:b/>
        </w:rPr>
      </w:pPr>
    </w:p>
    <w:p w14:paraId="098BF86C" w14:textId="77777777" w:rsidR="005B36E8" w:rsidRDefault="005B36E8" w:rsidP="005B36E8">
      <w:pPr>
        <w:ind w:left="720"/>
        <w:rPr>
          <w:b/>
        </w:rPr>
      </w:pPr>
      <w:r w:rsidRPr="003A5F35">
        <w:rPr>
          <w:b/>
        </w:rPr>
        <w:t>Miljøstyrelsens svar:</w:t>
      </w:r>
    </w:p>
    <w:p w14:paraId="59C5EFFE" w14:textId="77777777" w:rsidR="00991800" w:rsidRDefault="00A97092" w:rsidP="005B36E8">
      <w:pPr>
        <w:ind w:left="720"/>
      </w:pPr>
      <w:r w:rsidRPr="00AE4365">
        <w:rPr>
          <w:b/>
        </w:rPr>
        <w:t>Ad</w:t>
      </w:r>
      <w:r w:rsidR="00251652" w:rsidRPr="00AE4365">
        <w:rPr>
          <w:b/>
        </w:rPr>
        <w:t xml:space="preserve"> 1, 2 og 4.</w:t>
      </w:r>
      <w:r w:rsidR="003F183B" w:rsidRPr="00AE4365">
        <w:t xml:space="preserve"> De halogenerede eddikesyrer, bisphenol A og microcystin-LR er tre nye parametre tilføjet drikkevandsbekendtgørelsens bilag 1b med en note om at ”Vandforsyningen skal måle for parameteren senest den 12. januar 2026</w:t>
      </w:r>
      <w:r w:rsidR="00AE4365" w:rsidRPr="00AE4365">
        <w:t>.</w:t>
      </w:r>
      <w:r w:rsidR="003F183B" w:rsidRPr="00AE4365">
        <w:t xml:space="preserve">” </w:t>
      </w:r>
    </w:p>
    <w:p w14:paraId="1994DC49" w14:textId="77777777" w:rsidR="00251652" w:rsidRDefault="00991800" w:rsidP="005B36E8">
      <w:pPr>
        <w:ind w:left="720"/>
      </w:pPr>
      <w:r w:rsidRPr="00991800">
        <w:t>Analysekv</w:t>
      </w:r>
      <w:r>
        <w:t xml:space="preserve">alitetskrav for de nye stoffer </w:t>
      </w:r>
      <w:r w:rsidRPr="00991800">
        <w:t>er ikke tilføjet udkastet af analysekvalitetsbekendtgørelsen,</w:t>
      </w:r>
      <w:r>
        <w:t xml:space="preserve"> men laboratorierne skal tilstræbe at opfylde </w:t>
      </w:r>
      <w:r w:rsidR="003E030F">
        <w:t xml:space="preserve">de mindstekrav til analysemetoders ydeevne defineret i Artikel 4 </w:t>
      </w:r>
      <w:r w:rsidR="00A97092">
        <w:t>stk.</w:t>
      </w:r>
      <w:r w:rsidR="003E030F">
        <w:t xml:space="preserve"> 1 i Kvalitetsdirektivet (KOMMISSIONENS DIREKTIV 2009/90/EF af 31. juli 2009 om tekniske specifikationer for kemisk analyse og kontrol af vandets tilstand som omhandlet i Europa-Parlamentets og Rådets direktiv 2000/60/EF). Dvs. at måle med en detektionsgrænse på 10% af kravværdien og en måleusikkerhed på højst 50%. Analysekvalitetskrav vil </w:t>
      </w:r>
      <w:r w:rsidR="00D01229">
        <w:t>senere blive fastsat i analysek</w:t>
      </w:r>
      <w:r w:rsidR="003E030F">
        <w:t>valitetsbekendtgørelsen efter en vurdering af laboratoriernes</w:t>
      </w:r>
      <w:r w:rsidRPr="00991800">
        <w:t xml:space="preserve"> teknisk</w:t>
      </w:r>
      <w:r w:rsidR="003E030F">
        <w:t>e</w:t>
      </w:r>
      <w:r w:rsidRPr="00991800">
        <w:t xml:space="preserve"> formåen </w:t>
      </w:r>
      <w:r w:rsidR="003E030F">
        <w:t xml:space="preserve">i forhold til Artikel 4 </w:t>
      </w:r>
      <w:r w:rsidR="00A77445">
        <w:t>stk.</w:t>
      </w:r>
      <w:r w:rsidR="003E030F">
        <w:t xml:space="preserve"> 1</w:t>
      </w:r>
      <w:r w:rsidRPr="00991800">
        <w:t>.</w:t>
      </w:r>
    </w:p>
    <w:p w14:paraId="7ED39D67" w14:textId="77777777" w:rsidR="00AE4365" w:rsidRPr="00AE4365" w:rsidRDefault="00AE4365" w:rsidP="005B36E8">
      <w:pPr>
        <w:ind w:left="720"/>
      </w:pPr>
    </w:p>
    <w:p w14:paraId="174A8429" w14:textId="77777777" w:rsidR="00251652" w:rsidRPr="00F02141" w:rsidRDefault="00A97092" w:rsidP="005B36E8">
      <w:pPr>
        <w:ind w:left="720"/>
      </w:pPr>
      <w:r w:rsidRPr="00F02141">
        <w:rPr>
          <w:b/>
        </w:rPr>
        <w:t>Ad</w:t>
      </w:r>
      <w:r w:rsidR="00251652" w:rsidRPr="00F02141">
        <w:rPr>
          <w:b/>
        </w:rPr>
        <w:t xml:space="preserve"> 3</w:t>
      </w:r>
      <w:r w:rsidR="00251652" w:rsidRPr="00F02141">
        <w:t>. Der ønske</w:t>
      </w:r>
      <w:r w:rsidR="00F02141">
        <w:t>s</w:t>
      </w:r>
      <w:r w:rsidR="00251652" w:rsidRPr="00F02141">
        <w:t xml:space="preserve"> så lav en </w:t>
      </w:r>
      <w:r w:rsidR="00F02141">
        <w:t>analyse</w:t>
      </w:r>
      <w:r w:rsidR="00251652" w:rsidRPr="00F02141">
        <w:t xml:space="preserve">usikkerhed på </w:t>
      </w:r>
      <w:r w:rsidR="00F02141" w:rsidRPr="00F02141">
        <w:t>lavt niveau som muligt</w:t>
      </w:r>
      <w:r w:rsidR="00F02141">
        <w:t>,</w:t>
      </w:r>
      <w:r w:rsidR="00F02141" w:rsidRPr="00F02141">
        <w:t xml:space="preserve"> i forhold til at </w:t>
      </w:r>
      <w:r w:rsidR="00F02141">
        <w:t xml:space="preserve">der </w:t>
      </w:r>
      <w:r w:rsidR="009B3D82">
        <w:t>kan</w:t>
      </w:r>
      <w:r w:rsidR="00F02141" w:rsidRPr="00F02141">
        <w:t xml:space="preserve"> træffe</w:t>
      </w:r>
      <w:r w:rsidR="00F02141">
        <w:t>s</w:t>
      </w:r>
      <w:r w:rsidR="00F02141" w:rsidRPr="00F02141">
        <w:t xml:space="preserve"> afgørelser om overskridelser på et sikkert fagligt grundlag. Miljøstyrelsens Referencelaboratorium for Kemiske og Mikrobiologiske Miljømålinger har foretaget en faglig vurdering, hvori de vurderer at 0,03 µg/L er et realistisk krav at overholde. </w:t>
      </w:r>
      <w:r w:rsidR="00251652" w:rsidRPr="00F02141">
        <w:t xml:space="preserve">Uabs er for mange af pesticiderne i drikkevandskontrollen (bilag 1.4) </w:t>
      </w:r>
      <w:r w:rsidR="00F02141" w:rsidRPr="00F02141">
        <w:t xml:space="preserve">ligeledes </w:t>
      </w:r>
      <w:r w:rsidR="00251652" w:rsidRPr="00F02141">
        <w:t xml:space="preserve">sat til 0,03 µg/L. </w:t>
      </w:r>
    </w:p>
    <w:p w14:paraId="20BCE998" w14:textId="77777777" w:rsidR="00C947AF" w:rsidRDefault="00C947AF" w:rsidP="00C947AF">
      <w:pPr>
        <w:pStyle w:val="Listeafsnit"/>
        <w:ind w:left="1080"/>
      </w:pPr>
    </w:p>
    <w:p w14:paraId="0A5A37C0" w14:textId="77777777" w:rsidR="00E560E9" w:rsidRPr="005B36E8" w:rsidRDefault="00E560E9" w:rsidP="00E560E9">
      <w:pPr>
        <w:pStyle w:val="Listeafsnit"/>
        <w:numPr>
          <w:ilvl w:val="0"/>
          <w:numId w:val="15"/>
        </w:numPr>
        <w:rPr>
          <w:b/>
        </w:rPr>
      </w:pPr>
      <w:r w:rsidRPr="005B36E8">
        <w:rPr>
          <w:b/>
        </w:rPr>
        <w:t>Eurofins Miljø</w:t>
      </w:r>
    </w:p>
    <w:p w14:paraId="421977D3" w14:textId="77777777" w:rsidR="00B059FA" w:rsidRPr="003E7D53" w:rsidRDefault="00B059FA" w:rsidP="00B059FA">
      <w:pPr>
        <w:pStyle w:val="Listeafsnit"/>
        <w:rPr>
          <w:i/>
        </w:rPr>
      </w:pPr>
      <w:r w:rsidRPr="003E7D53">
        <w:rPr>
          <w:i/>
        </w:rPr>
        <w:t>Eurofins Miljø A/S fremsender hermed høringssvar til: Ændring af Analysekvalitetsbekendtgørelsen. Eurofins Miljø A/S har følgende bemærkninger:</w:t>
      </w:r>
    </w:p>
    <w:p w14:paraId="6616A088" w14:textId="77777777" w:rsidR="00B059FA" w:rsidRPr="003E7D53" w:rsidRDefault="00B059FA" w:rsidP="005B36E8">
      <w:pPr>
        <w:pStyle w:val="Listeafsnit"/>
        <w:numPr>
          <w:ilvl w:val="0"/>
          <w:numId w:val="17"/>
        </w:numPr>
        <w:rPr>
          <w:i/>
        </w:rPr>
      </w:pPr>
      <w:r w:rsidRPr="003E7D53">
        <w:rPr>
          <w:i/>
        </w:rPr>
        <w:t>Der savnes kvalitetskrav til Bisphenol A, Halogenerede eddikesyrer og Microcystin-LR i drikkevand, da disse parametre indføres jvf. udkast til Drikkevandsbekendtgørelsen.</w:t>
      </w:r>
    </w:p>
    <w:p w14:paraId="0D197B2B" w14:textId="77777777" w:rsidR="005B36E8" w:rsidRPr="003E7D53" w:rsidRDefault="00B059FA" w:rsidP="005B36E8">
      <w:pPr>
        <w:pStyle w:val="Listeafsnit"/>
        <w:numPr>
          <w:ilvl w:val="0"/>
          <w:numId w:val="17"/>
        </w:numPr>
        <w:rPr>
          <w:i/>
        </w:rPr>
      </w:pPr>
      <w:r w:rsidRPr="003E7D53">
        <w:rPr>
          <w:i/>
        </w:rPr>
        <w:t>Som konsekvensrettelse jvf. udkastet til Drikkevandsbekendtgørelsen ændres parametre vedr. enterokokker til intestinale enterokokker, da det er det, som bestemmes. Alle med reference til metodedatabladene MM0010 og MM0013 rettes.</w:t>
      </w:r>
    </w:p>
    <w:p w14:paraId="2596DA78" w14:textId="77777777" w:rsidR="00B059FA" w:rsidRPr="003E7D53" w:rsidRDefault="00B059FA" w:rsidP="005B36E8">
      <w:pPr>
        <w:pStyle w:val="Listeafsnit"/>
        <w:numPr>
          <w:ilvl w:val="0"/>
          <w:numId w:val="17"/>
        </w:numPr>
        <w:rPr>
          <w:i/>
        </w:rPr>
      </w:pPr>
      <w:r w:rsidRPr="003E7D53">
        <w:rPr>
          <w:i/>
        </w:rPr>
        <w:t>Der ønskes overe</w:t>
      </w:r>
      <w:r w:rsidR="00A77445" w:rsidRPr="003E7D53">
        <w:rPr>
          <w:i/>
        </w:rPr>
        <w:t>n</w:t>
      </w:r>
      <w:r w:rsidRPr="003E7D53">
        <w:rPr>
          <w:i/>
        </w:rPr>
        <w:t>sstemmelse mellem enheden for bor i Analysekvalitetsbekendtgørelsen og Drikkevandsbekendtgørelsen.</w:t>
      </w:r>
    </w:p>
    <w:p w14:paraId="2747E9C3" w14:textId="77777777" w:rsidR="005B36E8" w:rsidRDefault="005B36E8" w:rsidP="005B36E8"/>
    <w:p w14:paraId="0CDFB236" w14:textId="77777777" w:rsidR="005B36E8" w:rsidRDefault="005B36E8" w:rsidP="005B36E8">
      <w:pPr>
        <w:ind w:left="720"/>
        <w:rPr>
          <w:b/>
        </w:rPr>
      </w:pPr>
      <w:r w:rsidRPr="003A5F35">
        <w:rPr>
          <w:b/>
        </w:rPr>
        <w:t>Miljøstyrelsens svar:</w:t>
      </w:r>
    </w:p>
    <w:p w14:paraId="7CC48952" w14:textId="77777777" w:rsidR="005B36E8" w:rsidRDefault="00A97092" w:rsidP="005B36E8">
      <w:pPr>
        <w:ind w:left="720"/>
        <w:rPr>
          <w:b/>
        </w:rPr>
      </w:pPr>
      <w:r>
        <w:rPr>
          <w:b/>
        </w:rPr>
        <w:t>Ad</w:t>
      </w:r>
      <w:r w:rsidR="00A44DEE">
        <w:rPr>
          <w:b/>
        </w:rPr>
        <w:t xml:space="preserve"> 1.</w:t>
      </w:r>
      <w:r w:rsidR="009B3D82">
        <w:rPr>
          <w:b/>
        </w:rPr>
        <w:t xml:space="preserve"> </w:t>
      </w:r>
      <w:r w:rsidR="009B3D82" w:rsidRPr="009B3D82">
        <w:t xml:space="preserve">Se svar til ALS Denmark </w:t>
      </w:r>
      <w:r w:rsidRPr="009B3D82">
        <w:t>Ad</w:t>
      </w:r>
      <w:r w:rsidR="009B3D82" w:rsidRPr="009B3D82">
        <w:t xml:space="preserve"> 1, 2 og 4.</w:t>
      </w:r>
    </w:p>
    <w:p w14:paraId="1AD5087A" w14:textId="77777777" w:rsidR="00A44DEE" w:rsidRDefault="00A97092" w:rsidP="005B36E8">
      <w:pPr>
        <w:ind w:left="720"/>
      </w:pPr>
      <w:r>
        <w:rPr>
          <w:b/>
        </w:rPr>
        <w:t>Ad</w:t>
      </w:r>
      <w:r w:rsidR="00A44DEE">
        <w:rPr>
          <w:b/>
        </w:rPr>
        <w:t xml:space="preserve"> 2. </w:t>
      </w:r>
      <w:r w:rsidR="00A44DEE" w:rsidRPr="00A44DEE">
        <w:t>MM0010 og MM0013 vil blive opdateret til at specificere</w:t>
      </w:r>
      <w:r w:rsidR="00A44DEE">
        <w:rPr>
          <w:b/>
        </w:rPr>
        <w:t xml:space="preserve"> </w:t>
      </w:r>
      <w:r w:rsidR="00A44DEE">
        <w:t>intestinale enterokokker.</w:t>
      </w:r>
    </w:p>
    <w:p w14:paraId="79B2E332" w14:textId="77777777" w:rsidR="00A44DEE" w:rsidRPr="00A44DEE" w:rsidRDefault="00A97092" w:rsidP="005B36E8">
      <w:pPr>
        <w:ind w:left="720"/>
      </w:pPr>
      <w:r>
        <w:rPr>
          <w:b/>
        </w:rPr>
        <w:t>Ad</w:t>
      </w:r>
      <w:r w:rsidR="00A44DEE">
        <w:rPr>
          <w:b/>
        </w:rPr>
        <w:t xml:space="preserve"> 3. </w:t>
      </w:r>
      <w:r w:rsidR="00A44DEE" w:rsidRPr="00A44DEE">
        <w:t>For bor anvendes enheden mg/L i drikkevandsbekendtgørelsen, hvorimod enheden µg/L anvendes i analysekvalitetsbekendtgørelsen.</w:t>
      </w:r>
      <w:r w:rsidR="00A44DEE">
        <w:t xml:space="preserve"> </w:t>
      </w:r>
      <w:r w:rsidR="00A77445">
        <w:t>Uoverensstemmelsen</w:t>
      </w:r>
      <w:r w:rsidR="009228A2">
        <w:t xml:space="preserve"> ses også for andre parametre, f.eks. kobber. Som en del af e</w:t>
      </w:r>
      <w:r w:rsidR="003E7D53">
        <w:t>t større digitaliseringsprojekt</w:t>
      </w:r>
      <w:r w:rsidR="009228A2">
        <w:t xml:space="preserve"> vil Miljøstyrelsen i nær fremtid ensrette enheder på krav og detektionsgrænser. En vurdering af antallet af betydende cifre vil indgå i overvejelserne.</w:t>
      </w:r>
    </w:p>
    <w:p w14:paraId="5EC2DBD0" w14:textId="77777777" w:rsidR="005B36E8" w:rsidRDefault="005B36E8" w:rsidP="005B36E8">
      <w:pPr>
        <w:pStyle w:val="Listeafsnit"/>
        <w:ind w:left="1080"/>
      </w:pPr>
    </w:p>
    <w:p w14:paraId="7477B511" w14:textId="77777777" w:rsidR="005B36E8" w:rsidRDefault="005B36E8" w:rsidP="005B36E8">
      <w:pPr>
        <w:pStyle w:val="Listeafsnit"/>
        <w:numPr>
          <w:ilvl w:val="0"/>
          <w:numId w:val="15"/>
        </w:numPr>
        <w:rPr>
          <w:b/>
        </w:rPr>
      </w:pPr>
      <w:r>
        <w:rPr>
          <w:b/>
        </w:rPr>
        <w:t>KL</w:t>
      </w:r>
    </w:p>
    <w:p w14:paraId="2F6A4CB5" w14:textId="77777777" w:rsidR="005B36E8" w:rsidRPr="00DC3249" w:rsidRDefault="005B36E8" w:rsidP="00DC3249">
      <w:pPr>
        <w:ind w:left="360" w:firstLine="360"/>
        <w:rPr>
          <w:i/>
        </w:rPr>
      </w:pPr>
      <w:r w:rsidRPr="00DC3249">
        <w:rPr>
          <w:i/>
        </w:rPr>
        <w:t>Høringssvaret er opdelt i afsnit med både generelle og detaljerede kommentarer.</w:t>
      </w:r>
    </w:p>
    <w:p w14:paraId="1C0D753A" w14:textId="77777777" w:rsidR="005B36E8" w:rsidRPr="00DC3249" w:rsidRDefault="005B36E8" w:rsidP="00D56627">
      <w:pPr>
        <w:pStyle w:val="Listeafsnit"/>
        <w:numPr>
          <w:ilvl w:val="0"/>
          <w:numId w:val="18"/>
        </w:numPr>
        <w:rPr>
          <w:i/>
        </w:rPr>
      </w:pPr>
      <w:r w:rsidRPr="00DC3249">
        <w:rPr>
          <w:i/>
        </w:rPr>
        <w:t>Helhedsindtryk</w:t>
      </w:r>
    </w:p>
    <w:p w14:paraId="4B56F1C2" w14:textId="77777777" w:rsidR="005B36E8" w:rsidRPr="000A07CD" w:rsidRDefault="005B36E8" w:rsidP="00D56627">
      <w:pPr>
        <w:ind w:left="360" w:firstLine="360"/>
        <w:rPr>
          <w:i/>
        </w:rPr>
      </w:pPr>
      <w:r w:rsidRPr="000A07CD">
        <w:rPr>
          <w:i/>
        </w:rPr>
        <w:lastRenderedPageBreak/>
        <w:t>Koordinering mellem analysekvalitetsbekendtgørelsen og drikkevandsbekendtgørelsen</w:t>
      </w:r>
    </w:p>
    <w:p w14:paraId="61858873" w14:textId="77777777" w:rsidR="005B36E8" w:rsidRPr="00DC3249" w:rsidRDefault="005B36E8" w:rsidP="00D56627">
      <w:pPr>
        <w:ind w:left="360" w:firstLine="360"/>
        <w:rPr>
          <w:i/>
        </w:rPr>
      </w:pPr>
      <w:r w:rsidRPr="00DC3249">
        <w:rPr>
          <w:i/>
        </w:rPr>
        <w:t>bør sikres, specielt i forhold til de nye pesticider.</w:t>
      </w:r>
    </w:p>
    <w:p w14:paraId="5AD08FF9" w14:textId="77777777" w:rsidR="00DC3249" w:rsidRPr="00DC3249" w:rsidRDefault="00DC3249" w:rsidP="00D56627">
      <w:pPr>
        <w:ind w:left="360" w:firstLine="360"/>
        <w:rPr>
          <w:i/>
        </w:rPr>
      </w:pPr>
    </w:p>
    <w:p w14:paraId="0E302864" w14:textId="77777777" w:rsidR="005B36E8" w:rsidRPr="00DC3249" w:rsidRDefault="005B36E8" w:rsidP="00D56627">
      <w:pPr>
        <w:pStyle w:val="Listeafsnit"/>
        <w:numPr>
          <w:ilvl w:val="0"/>
          <w:numId w:val="18"/>
        </w:numPr>
        <w:rPr>
          <w:i/>
        </w:rPr>
      </w:pPr>
      <w:r w:rsidRPr="00DC3249">
        <w:rPr>
          <w:i/>
        </w:rPr>
        <w:t>Generelle bemærkninger</w:t>
      </w:r>
    </w:p>
    <w:p w14:paraId="688A2B24" w14:textId="77777777" w:rsidR="005B36E8" w:rsidRPr="000A07CD" w:rsidRDefault="005B36E8" w:rsidP="00D56627">
      <w:pPr>
        <w:ind w:left="720"/>
        <w:rPr>
          <w:i/>
        </w:rPr>
      </w:pPr>
      <w:r w:rsidRPr="000A07CD">
        <w:rPr>
          <w:i/>
        </w:rPr>
        <w:t>Af paragraf 21 i Analysekvalitetsbekendtgørelsen fremgår det, at bekendtgørelsen</w:t>
      </w:r>
    </w:p>
    <w:p w14:paraId="17A5E15E" w14:textId="77777777" w:rsidR="005B36E8" w:rsidRPr="000A07CD" w:rsidRDefault="005B36E8" w:rsidP="00D56627">
      <w:pPr>
        <w:ind w:left="720"/>
        <w:rPr>
          <w:i/>
        </w:rPr>
      </w:pPr>
      <w:r w:rsidRPr="000A07CD">
        <w:rPr>
          <w:i/>
        </w:rPr>
        <w:t>træder i kraft 1. maj 2023, men i høringsbrevet står der, at man giver</w:t>
      </w:r>
    </w:p>
    <w:p w14:paraId="51C38C18" w14:textId="77777777" w:rsidR="005B36E8" w:rsidRPr="000A07CD" w:rsidRDefault="005B36E8" w:rsidP="00D56627">
      <w:pPr>
        <w:ind w:left="720"/>
        <w:rPr>
          <w:i/>
        </w:rPr>
      </w:pPr>
      <w:r w:rsidRPr="000A07CD">
        <w:rPr>
          <w:i/>
        </w:rPr>
        <w:t>en implementeringsfrist på 2 måneder.</w:t>
      </w:r>
    </w:p>
    <w:p w14:paraId="55E2505B" w14:textId="77777777" w:rsidR="005B36E8" w:rsidRPr="000A07CD" w:rsidRDefault="005B36E8" w:rsidP="00D56627">
      <w:pPr>
        <w:ind w:left="720"/>
        <w:rPr>
          <w:i/>
        </w:rPr>
      </w:pPr>
      <w:r w:rsidRPr="000A07CD">
        <w:rPr>
          <w:i/>
        </w:rPr>
        <w:t>• § 21. Bekendtgørelsen træder i kraft den 1. maj 2023.</w:t>
      </w:r>
    </w:p>
    <w:p w14:paraId="66319284" w14:textId="77777777" w:rsidR="005B36E8" w:rsidRPr="000A07CD" w:rsidRDefault="005B36E8" w:rsidP="00D56627">
      <w:pPr>
        <w:ind w:left="720"/>
        <w:rPr>
          <w:i/>
        </w:rPr>
      </w:pPr>
      <w:r w:rsidRPr="000A07CD">
        <w:rPr>
          <w:i/>
        </w:rPr>
        <w:t>• Høringsbrevet: ”Kravene til analysekvalitet tilføjes som konsekvens</w:t>
      </w:r>
    </w:p>
    <w:p w14:paraId="16CEBB88" w14:textId="77777777" w:rsidR="005B36E8" w:rsidRPr="000A07CD" w:rsidRDefault="005B36E8" w:rsidP="00D56627">
      <w:pPr>
        <w:ind w:left="720"/>
        <w:rPr>
          <w:i/>
        </w:rPr>
      </w:pPr>
      <w:r w:rsidRPr="000A07CD">
        <w:rPr>
          <w:i/>
        </w:rPr>
        <w:t>af stoffernes tilføjelse til drikkevandsbekendtgørelsen. Der gives for</w:t>
      </w:r>
      <w:r w:rsidR="00DA672C" w:rsidRPr="000A07CD">
        <w:rPr>
          <w:i/>
        </w:rPr>
        <w:t xml:space="preserve"> </w:t>
      </w:r>
      <w:r w:rsidRPr="000A07CD">
        <w:rPr>
          <w:i/>
        </w:rPr>
        <w:t>pesticiderne en implementeringsfrist på 2 måneder, så der først stilles</w:t>
      </w:r>
      <w:r w:rsidR="00DA672C" w:rsidRPr="000A07CD">
        <w:rPr>
          <w:i/>
        </w:rPr>
        <w:t xml:space="preserve"> </w:t>
      </w:r>
      <w:r w:rsidRPr="000A07CD">
        <w:rPr>
          <w:i/>
        </w:rPr>
        <w:t>krav om opfyldelse af de nye minimumsperformancekrav og akkreditering</w:t>
      </w:r>
      <w:r w:rsidR="00DA672C" w:rsidRPr="000A07CD">
        <w:rPr>
          <w:i/>
        </w:rPr>
        <w:t xml:space="preserve"> </w:t>
      </w:r>
      <w:r w:rsidRPr="000A07CD">
        <w:rPr>
          <w:i/>
        </w:rPr>
        <w:t>pr. 1. juli 2023”.</w:t>
      </w:r>
    </w:p>
    <w:p w14:paraId="13FD0143" w14:textId="77777777" w:rsidR="005B36E8" w:rsidRDefault="005B36E8" w:rsidP="00D56627">
      <w:pPr>
        <w:ind w:left="720"/>
        <w:rPr>
          <w:i/>
        </w:rPr>
      </w:pPr>
      <w:r w:rsidRPr="000A07CD">
        <w:rPr>
          <w:i/>
        </w:rPr>
        <w:t>Ovenstående bør afstemmes med drikkevandsbekendtgørelsen, som forventes</w:t>
      </w:r>
      <w:r w:rsidR="00DA672C" w:rsidRPr="000A07CD">
        <w:rPr>
          <w:i/>
        </w:rPr>
        <w:t xml:space="preserve"> </w:t>
      </w:r>
      <w:r w:rsidRPr="000A07CD">
        <w:rPr>
          <w:i/>
        </w:rPr>
        <w:t>at træde i kraft den 22. maj 2023. Eftersom vandprøver udtaget fx i</w:t>
      </w:r>
      <w:r w:rsidR="00DA672C" w:rsidRPr="000A07CD">
        <w:rPr>
          <w:i/>
        </w:rPr>
        <w:t xml:space="preserve"> </w:t>
      </w:r>
      <w:r w:rsidRPr="000A07CD">
        <w:rPr>
          <w:i/>
        </w:rPr>
        <w:t>juni efter drikkevandsbekendtgørelsen, så ikke er akkrediteret i forhold til minimumsperformancekrav</w:t>
      </w:r>
      <w:r w:rsidR="00DA672C" w:rsidRPr="000A07CD">
        <w:rPr>
          <w:i/>
        </w:rPr>
        <w:t xml:space="preserve"> </w:t>
      </w:r>
      <w:r w:rsidRPr="000A07CD">
        <w:rPr>
          <w:i/>
        </w:rPr>
        <w:t>for de pågældende pesticider. I princippet kan man</w:t>
      </w:r>
      <w:r w:rsidR="00DA672C" w:rsidRPr="000A07CD">
        <w:rPr>
          <w:i/>
        </w:rPr>
        <w:t xml:space="preserve"> </w:t>
      </w:r>
      <w:r w:rsidRPr="000A07CD">
        <w:rPr>
          <w:i/>
        </w:rPr>
        <w:t>i overgangsperioden risikere at tage en prøve, som ikke er omfattet af de fra</w:t>
      </w:r>
      <w:r w:rsidR="00D56627">
        <w:rPr>
          <w:i/>
        </w:rPr>
        <w:t xml:space="preserve"> </w:t>
      </w:r>
      <w:r w:rsidRPr="000A07CD">
        <w:rPr>
          <w:i/>
        </w:rPr>
        <w:t>1. juli gældende kriterier og dermed efterfølgende skal gentages.</w:t>
      </w:r>
    </w:p>
    <w:p w14:paraId="6C262B4C" w14:textId="77777777" w:rsidR="00DC3249" w:rsidRPr="000A07CD" w:rsidRDefault="00DC3249" w:rsidP="00D56627">
      <w:pPr>
        <w:ind w:left="720"/>
        <w:rPr>
          <w:i/>
        </w:rPr>
      </w:pPr>
    </w:p>
    <w:p w14:paraId="0F57F926" w14:textId="77777777" w:rsidR="005B36E8" w:rsidRPr="00DC3249" w:rsidRDefault="005B36E8" w:rsidP="00D56627">
      <w:pPr>
        <w:pStyle w:val="Listeafsnit"/>
        <w:numPr>
          <w:ilvl w:val="0"/>
          <w:numId w:val="18"/>
        </w:numPr>
        <w:rPr>
          <w:i/>
        </w:rPr>
      </w:pPr>
      <w:r w:rsidRPr="00DC3249">
        <w:rPr>
          <w:i/>
        </w:rPr>
        <w:t>Detaljerede bemærkninger</w:t>
      </w:r>
    </w:p>
    <w:p w14:paraId="3CFDE811" w14:textId="77777777" w:rsidR="005B36E8" w:rsidRPr="000A07CD" w:rsidRDefault="005B36E8" w:rsidP="00C23057">
      <w:pPr>
        <w:ind w:left="360" w:firstLine="360"/>
        <w:rPr>
          <w:i/>
        </w:rPr>
      </w:pPr>
      <w:r w:rsidRPr="000A07CD">
        <w:rPr>
          <w:i/>
        </w:rPr>
        <w:t>Bilag 1.4 Drikkevandskontrol</w:t>
      </w:r>
    </w:p>
    <w:p w14:paraId="73BCB608" w14:textId="77777777" w:rsidR="005B36E8" w:rsidRPr="000A07CD" w:rsidRDefault="005B36E8" w:rsidP="00DC3249">
      <w:pPr>
        <w:ind w:left="360" w:firstLine="360"/>
        <w:rPr>
          <w:i/>
        </w:rPr>
      </w:pPr>
      <w:r w:rsidRPr="000A07CD">
        <w:rPr>
          <w:i/>
        </w:rPr>
        <w:t>Af tabellen, der starter på side, 17 fremgår følgende:</w:t>
      </w:r>
    </w:p>
    <w:p w14:paraId="29A0334A" w14:textId="77777777" w:rsidR="005B36E8" w:rsidRPr="000A07CD" w:rsidRDefault="005B36E8" w:rsidP="00DC3249">
      <w:pPr>
        <w:ind w:left="360" w:firstLine="360"/>
        <w:rPr>
          <w:i/>
        </w:rPr>
      </w:pPr>
      <w:r w:rsidRPr="000A07CD">
        <w:rPr>
          <w:i/>
        </w:rPr>
        <w:t>• Side 21, PFAS (18 PFAS-forbindelser). LD (detektionsgrænsen) er</w:t>
      </w:r>
      <w:r w:rsidR="00DA672C" w:rsidRPr="000A07CD">
        <w:rPr>
          <w:i/>
        </w:rPr>
        <w:t xml:space="preserve"> </w:t>
      </w:r>
      <w:r w:rsidRPr="000A07CD">
        <w:rPr>
          <w:i/>
        </w:rPr>
        <w:t>angivet til 0,001μg/l</w:t>
      </w:r>
    </w:p>
    <w:p w14:paraId="01DC6465" w14:textId="77777777" w:rsidR="00DA672C" w:rsidRPr="000A07CD" w:rsidRDefault="005B36E8" w:rsidP="00DC3249">
      <w:pPr>
        <w:ind w:left="720"/>
        <w:rPr>
          <w:i/>
        </w:rPr>
      </w:pPr>
      <w:r w:rsidRPr="000A07CD">
        <w:rPr>
          <w:i/>
        </w:rPr>
        <w:t>• Side 22, PFOA, PFNA og PFHxS (3 PFAS-forbindelser). LD (detektionsgrænsen)</w:t>
      </w:r>
      <w:r w:rsidR="009F54E8">
        <w:rPr>
          <w:i/>
        </w:rPr>
        <w:t xml:space="preserve"> </w:t>
      </w:r>
      <w:r w:rsidRPr="000A07CD">
        <w:rPr>
          <w:i/>
        </w:rPr>
        <w:t>er angivet til 0,0003 μg/l</w:t>
      </w:r>
      <w:r w:rsidR="00DA672C" w:rsidRPr="000A07CD">
        <w:rPr>
          <w:i/>
        </w:rPr>
        <w:t xml:space="preserve"> </w:t>
      </w:r>
    </w:p>
    <w:p w14:paraId="7F04273E" w14:textId="77777777" w:rsidR="005B36E8" w:rsidRPr="000A07CD" w:rsidRDefault="005B36E8" w:rsidP="00DC3249">
      <w:pPr>
        <w:ind w:left="360" w:firstLine="360"/>
        <w:rPr>
          <w:i/>
        </w:rPr>
      </w:pPr>
      <w:r w:rsidRPr="000A07CD">
        <w:rPr>
          <w:i/>
        </w:rPr>
        <w:t>Side 22 PFOS (1 PFAS-forbindelser). LD (detektionsgrænsen) er</w:t>
      </w:r>
      <w:r w:rsidR="00DA672C" w:rsidRPr="000A07CD">
        <w:rPr>
          <w:i/>
        </w:rPr>
        <w:t xml:space="preserve"> </w:t>
      </w:r>
      <w:r w:rsidRPr="000A07CD">
        <w:rPr>
          <w:i/>
        </w:rPr>
        <w:t>angivet til 0,0002 μg/l</w:t>
      </w:r>
    </w:p>
    <w:p w14:paraId="5D626A56" w14:textId="77777777" w:rsidR="005B36E8" w:rsidRPr="000A07CD" w:rsidRDefault="005B36E8" w:rsidP="00DC3249">
      <w:pPr>
        <w:ind w:left="720"/>
        <w:rPr>
          <w:i/>
        </w:rPr>
      </w:pPr>
      <w:r w:rsidRPr="000A07CD">
        <w:rPr>
          <w:i/>
        </w:rPr>
        <w:t>Detektionsgrænserne (LD) er uklare i forhold til Miljøministeriets svar i høringsnotatet</w:t>
      </w:r>
      <w:r w:rsidR="0035527F">
        <w:rPr>
          <w:i/>
        </w:rPr>
        <w:t xml:space="preserve"> </w:t>
      </w:r>
      <w:r w:rsidRPr="000A07CD">
        <w:rPr>
          <w:i/>
        </w:rPr>
        <w:t>af 3. oktober 2022 til den nugældende drikkevandsbekendtgørelse</w:t>
      </w:r>
      <w:r w:rsidR="00DA672C" w:rsidRPr="000A07CD">
        <w:rPr>
          <w:i/>
        </w:rPr>
        <w:t xml:space="preserve"> </w:t>
      </w:r>
      <w:r w:rsidRPr="000A07CD">
        <w:rPr>
          <w:i/>
        </w:rPr>
        <w:t xml:space="preserve">(BEK nr. 1383 af 03/10/2022). Se: </w:t>
      </w:r>
      <w:hyperlink r:id="rId7" w:history="1">
        <w:r w:rsidR="00DA672C" w:rsidRPr="000A07CD">
          <w:rPr>
            <w:rStyle w:val="Hyperlink"/>
            <w:i/>
          </w:rPr>
          <w:t>https://prodstoragehoeringspo.blob.core.windows.net/399d7526-70d4-41bb-b782-746fcea4ba8f/H%C3%B8ringsnotat%20drikkevandsbekendtg%C3%B8relsen%20okt%202022.pdf</w:t>
        </w:r>
      </w:hyperlink>
    </w:p>
    <w:p w14:paraId="23965CE8" w14:textId="77777777" w:rsidR="005B36E8" w:rsidRPr="000A07CD" w:rsidRDefault="005B36E8" w:rsidP="005B36E8">
      <w:pPr>
        <w:rPr>
          <w:i/>
        </w:rPr>
      </w:pPr>
    </w:p>
    <w:p w14:paraId="5A76E6D4" w14:textId="77777777" w:rsidR="00DA672C" w:rsidRDefault="00DA672C" w:rsidP="00DC3249">
      <w:pPr>
        <w:ind w:left="720"/>
        <w:rPr>
          <w:i/>
        </w:rPr>
      </w:pPr>
      <w:r w:rsidRPr="000A07CD">
        <w:rPr>
          <w:i/>
        </w:rPr>
        <w:t>I høringsnotatet til drikkevandsbekendtgørelsen præciserede Miljøministeriet i forbindelse med et svar til Skanderborg Kommune, at detektionsgrænsen for PFOS, PFOA, PFNA og PFHxS er 0,0001 μg/l. Det vil sige, en lavere detektionsgrænse end dem, der fremgår af analysekvalitetsbekendtgørelsen. De forskelle i grænseværdier bør forklares nærmere.</w:t>
      </w:r>
    </w:p>
    <w:p w14:paraId="1E8235D9" w14:textId="77777777" w:rsidR="00880E46" w:rsidRPr="000A07CD" w:rsidRDefault="00880E46" w:rsidP="00DA672C">
      <w:pPr>
        <w:ind w:left="360"/>
        <w:rPr>
          <w:i/>
        </w:rPr>
      </w:pPr>
    </w:p>
    <w:p w14:paraId="04588FB7" w14:textId="77777777" w:rsidR="00DA672C" w:rsidRPr="00D56627" w:rsidRDefault="00DA672C" w:rsidP="00D56627">
      <w:pPr>
        <w:pStyle w:val="Listeafsnit"/>
        <w:numPr>
          <w:ilvl w:val="0"/>
          <w:numId w:val="18"/>
        </w:numPr>
        <w:rPr>
          <w:i/>
        </w:rPr>
      </w:pPr>
      <w:r w:rsidRPr="00D56627">
        <w:rPr>
          <w:i/>
        </w:rPr>
        <w:t>I drikkevandsbekendtgørelsen, der trådte i kraft den 1. juli 2022, blev der</w:t>
      </w:r>
    </w:p>
    <w:p w14:paraId="548E16B4" w14:textId="77777777" w:rsidR="00DA672C" w:rsidRPr="000A07CD" w:rsidRDefault="00DA672C" w:rsidP="00D56627">
      <w:pPr>
        <w:ind w:left="720"/>
        <w:rPr>
          <w:i/>
        </w:rPr>
      </w:pPr>
      <w:r w:rsidRPr="000A07CD">
        <w:rPr>
          <w:i/>
        </w:rPr>
        <w:t>medtaget tre nye pesticider:</w:t>
      </w:r>
    </w:p>
    <w:p w14:paraId="6A09CC35" w14:textId="77777777" w:rsidR="00DA672C" w:rsidRPr="000A07CD" w:rsidRDefault="00DA672C" w:rsidP="00D56627">
      <w:pPr>
        <w:ind w:left="720"/>
        <w:rPr>
          <w:i/>
        </w:rPr>
      </w:pPr>
      <w:r w:rsidRPr="000A07CD">
        <w:rPr>
          <w:i/>
        </w:rPr>
        <w:t>• 4-Bis-amido-3,5,6-trichlorobenzenesulfonat (R471811)</w:t>
      </w:r>
    </w:p>
    <w:p w14:paraId="14EBFEC6" w14:textId="77777777" w:rsidR="00DA672C" w:rsidRPr="000A07CD" w:rsidRDefault="00DA672C" w:rsidP="00D56627">
      <w:pPr>
        <w:ind w:left="720"/>
        <w:rPr>
          <w:i/>
          <w:lang w:val="en-US"/>
        </w:rPr>
      </w:pPr>
      <w:r w:rsidRPr="000A07CD">
        <w:rPr>
          <w:i/>
          <w:lang w:val="en-US"/>
        </w:rPr>
        <w:t>• 6-(tert-Butylamino)-1,3,5-triazine-2,4-diol (LM5)</w:t>
      </w:r>
    </w:p>
    <w:p w14:paraId="3C99AC86" w14:textId="77777777" w:rsidR="00DA672C" w:rsidRPr="00EB0E76" w:rsidRDefault="00DA672C" w:rsidP="00D56627">
      <w:pPr>
        <w:ind w:left="720"/>
        <w:rPr>
          <w:i/>
          <w:lang w:val="en-US"/>
        </w:rPr>
      </w:pPr>
      <w:r w:rsidRPr="000A07CD">
        <w:rPr>
          <w:i/>
          <w:lang w:val="en-US"/>
        </w:rPr>
        <w:t>• 4-(tert-Butylamino)-6-hydroxy-1-methyl-1,3,5-triazin-2(1H)-one</w:t>
      </w:r>
      <w:r w:rsidR="000258F2">
        <w:rPr>
          <w:i/>
          <w:lang w:val="en-US"/>
        </w:rPr>
        <w:t xml:space="preserve"> </w:t>
      </w:r>
      <w:r w:rsidRPr="00EB0E76">
        <w:rPr>
          <w:i/>
          <w:lang w:val="en-US"/>
        </w:rPr>
        <w:t>(LM6).</w:t>
      </w:r>
    </w:p>
    <w:p w14:paraId="6E7C6C2A" w14:textId="77777777" w:rsidR="00DA672C" w:rsidRPr="000A07CD" w:rsidRDefault="00DA672C" w:rsidP="00D56627">
      <w:pPr>
        <w:ind w:left="720"/>
        <w:rPr>
          <w:i/>
        </w:rPr>
      </w:pPr>
      <w:r w:rsidRPr="000A07CD">
        <w:rPr>
          <w:i/>
        </w:rPr>
        <w:t>Vi foreslår, at disse tre pesticider fremgår mere tydelig af Bilag 1.4 Drikkevandskontrol.</w:t>
      </w:r>
    </w:p>
    <w:p w14:paraId="364E7F25" w14:textId="77777777" w:rsidR="00DA672C" w:rsidRPr="000A07CD" w:rsidRDefault="00DA672C" w:rsidP="00D56627">
      <w:pPr>
        <w:ind w:left="720"/>
        <w:rPr>
          <w:i/>
        </w:rPr>
      </w:pPr>
      <w:r w:rsidRPr="000A07CD">
        <w:rPr>
          <w:i/>
        </w:rPr>
        <w:t>Tilsvarende for LM3, som tages med i den nye analysekvalitetsbekendtgørelse.</w:t>
      </w:r>
    </w:p>
    <w:p w14:paraId="7C7079E4" w14:textId="77777777" w:rsidR="00DA672C" w:rsidRPr="000A07CD" w:rsidRDefault="00DA672C" w:rsidP="00DA672C">
      <w:pPr>
        <w:ind w:left="360"/>
        <w:rPr>
          <w:i/>
        </w:rPr>
      </w:pPr>
    </w:p>
    <w:p w14:paraId="02011CAA" w14:textId="77777777" w:rsidR="00DA672C" w:rsidRPr="00D56627" w:rsidRDefault="00DA672C" w:rsidP="00D56627">
      <w:pPr>
        <w:pStyle w:val="Listeafsnit"/>
        <w:numPr>
          <w:ilvl w:val="0"/>
          <w:numId w:val="18"/>
        </w:numPr>
        <w:rPr>
          <w:i/>
        </w:rPr>
      </w:pPr>
      <w:r w:rsidRPr="00D56627">
        <w:rPr>
          <w:i/>
        </w:rPr>
        <w:t>Følgevirkninger - herunder økonomiske</w:t>
      </w:r>
    </w:p>
    <w:p w14:paraId="7FB54A8B" w14:textId="77777777" w:rsidR="00DA672C" w:rsidRPr="000A07CD" w:rsidRDefault="00DA672C" w:rsidP="00D56627">
      <w:pPr>
        <w:ind w:left="720"/>
        <w:rPr>
          <w:i/>
        </w:rPr>
      </w:pPr>
      <w:r w:rsidRPr="000A07CD">
        <w:rPr>
          <w:i/>
        </w:rPr>
        <w:t xml:space="preserve">Når drikkevandsbekendtgørelsen og analysekvalitetsbekendtgørelsen ikke har samme ikrafttrædelsesdato, så kan det betyde. at nogle vandværker i mellemperioden kan få foretaget en vandanalyse, der ikke er akkrediteret mht. til enkelte pesticider. Hvis note 7 i </w:t>
      </w:r>
      <w:r w:rsidRPr="000A07CD">
        <w:rPr>
          <w:i/>
        </w:rPr>
        <w:lastRenderedPageBreak/>
        <w:t>bilag 1c fastholdes i drikkevandsbekendtgørelsen, så bør det fremgå af analysekvalitetsbekendtgørelsen, hvordan iltforbruget skal måles.</w:t>
      </w:r>
    </w:p>
    <w:p w14:paraId="68F9BDD1" w14:textId="77777777" w:rsidR="00DA672C" w:rsidRPr="000A07CD" w:rsidRDefault="00DA672C" w:rsidP="00D56627">
      <w:pPr>
        <w:ind w:left="720"/>
        <w:rPr>
          <w:i/>
        </w:rPr>
      </w:pPr>
    </w:p>
    <w:p w14:paraId="4FF3ED7E" w14:textId="77777777" w:rsidR="00DA672C" w:rsidRDefault="00DA672C" w:rsidP="00D56627">
      <w:pPr>
        <w:ind w:left="720"/>
        <w:rPr>
          <w:i/>
        </w:rPr>
      </w:pPr>
      <w:r w:rsidRPr="000A07CD">
        <w:rPr>
          <w:i/>
        </w:rPr>
        <w:t>Ændringer i analysekvalitetsbekendtgørelsen er en følge af ændringer i drikkevandsbekendtgørelsen, som KL har bedt o</w:t>
      </w:r>
      <w:r w:rsidR="00A44DEE">
        <w:rPr>
          <w:i/>
        </w:rPr>
        <w:t xml:space="preserve">m at få i økonomisk </w:t>
      </w:r>
      <w:r w:rsidR="00A77445">
        <w:rPr>
          <w:i/>
        </w:rPr>
        <w:t>høring</w:t>
      </w:r>
      <w:r w:rsidR="00A44DEE">
        <w:rPr>
          <w:i/>
        </w:rPr>
        <w:t>.</w:t>
      </w:r>
    </w:p>
    <w:p w14:paraId="5BEACA32" w14:textId="77777777" w:rsidR="00A44DEE" w:rsidRDefault="00A44DEE" w:rsidP="00DA672C">
      <w:pPr>
        <w:ind w:left="360"/>
        <w:rPr>
          <w:i/>
        </w:rPr>
      </w:pPr>
    </w:p>
    <w:p w14:paraId="595BCEAF" w14:textId="77777777" w:rsidR="009F54E8" w:rsidRDefault="00A44DEE" w:rsidP="00DA672C">
      <w:pPr>
        <w:ind w:left="360"/>
      </w:pPr>
      <w:r w:rsidRPr="00FA0E4A">
        <w:rPr>
          <w:b/>
        </w:rPr>
        <w:t>Miljøstyrelsens svar:</w:t>
      </w:r>
      <w:r>
        <w:t xml:space="preserve"> </w:t>
      </w:r>
    </w:p>
    <w:p w14:paraId="3214E658" w14:textId="77777777" w:rsidR="00A44DEE" w:rsidRDefault="00A97092" w:rsidP="00DA672C">
      <w:pPr>
        <w:ind w:left="360"/>
      </w:pPr>
      <w:r w:rsidRPr="009F54E8">
        <w:rPr>
          <w:b/>
        </w:rPr>
        <w:t>Ad</w:t>
      </w:r>
      <w:r w:rsidR="009F54E8" w:rsidRPr="009F54E8">
        <w:rPr>
          <w:b/>
        </w:rPr>
        <w:t xml:space="preserve"> 1.</w:t>
      </w:r>
      <w:r w:rsidR="009F54E8">
        <w:t xml:space="preserve"> </w:t>
      </w:r>
      <w:r w:rsidR="00FA0E4A">
        <w:t>Budskabet om bedre koordinering er noteret. Manglende koordinering og tidspres er også forklaringen på, at dato for ikrafttrædelse ikke er overensstemmende i de 2 udkast. Dog fremgår af høringsportalen, at begge bekendtgørelser forventes at træde i</w:t>
      </w:r>
      <w:r w:rsidR="003E7D53">
        <w:t xml:space="preserve"> </w:t>
      </w:r>
      <w:r w:rsidR="00FA0E4A">
        <w:t xml:space="preserve">kraft samtidig, d. 22. maj 2023. </w:t>
      </w:r>
      <w:r w:rsidR="00085BA2">
        <w:t>Korrekt dato bliver indsat i analysekvalitetsbekendtgørelsen.</w:t>
      </w:r>
    </w:p>
    <w:p w14:paraId="66D57E7B" w14:textId="77777777" w:rsidR="00C9524C" w:rsidRDefault="00C9524C" w:rsidP="00DA672C">
      <w:pPr>
        <w:ind w:left="360"/>
      </w:pPr>
    </w:p>
    <w:p w14:paraId="27621D96" w14:textId="0B337648" w:rsidR="00177ADE" w:rsidRDefault="00A97092" w:rsidP="00DA672C">
      <w:pPr>
        <w:ind w:left="360"/>
      </w:pPr>
      <w:r w:rsidRPr="009F54E8">
        <w:rPr>
          <w:b/>
        </w:rPr>
        <w:t>Ad</w:t>
      </w:r>
      <w:r w:rsidR="009F54E8" w:rsidRPr="009F54E8">
        <w:rPr>
          <w:b/>
        </w:rPr>
        <w:t xml:space="preserve"> 2.</w:t>
      </w:r>
      <w:r w:rsidR="009F54E8">
        <w:t xml:space="preserve"> </w:t>
      </w:r>
      <w:r w:rsidR="00177ADE" w:rsidRPr="00177ADE">
        <w:t>Miljøstyrelsen vurderer</w:t>
      </w:r>
      <w:r w:rsidR="003E7D53">
        <w:t>,</w:t>
      </w:r>
      <w:r w:rsidR="00177ADE">
        <w:t xml:space="preserve"> </w:t>
      </w:r>
      <w:r w:rsidR="00177ADE" w:rsidRPr="00177ADE">
        <w:t>at det er essentielt at laboratorierne får en periode til indkøre eller optimere en analysemetode og efterfølgende ansøge om akkreditering. Miljøstyrelsen er i dialog med laboratorierne fra gang til gang, for at afdække den tekniske kunnen og det specifikke behov for implementeringsfrist. Dialogen sker ofte igennem Miljøstyrelsens Referencelaboratorium for Kemiske og Mikrobiologiske Miljømålinger. Miljøstyrelsen vil tilstræbe, at laboratorierne informeres om kommende ændringer tidlig</w:t>
      </w:r>
      <w:r w:rsidR="00C77662">
        <w:t>st muligt</w:t>
      </w:r>
      <w:r w:rsidR="00177ADE" w:rsidRPr="00177ADE">
        <w:t xml:space="preserve">, hvilket vil kunne </w:t>
      </w:r>
      <w:r w:rsidR="00C77662">
        <w:t>reducere</w:t>
      </w:r>
      <w:r w:rsidR="00177ADE" w:rsidRPr="00177ADE">
        <w:t xml:space="preserve"> i</w:t>
      </w:r>
      <w:r w:rsidR="00C77662">
        <w:t>ndfasningsperioden</w:t>
      </w:r>
      <w:r w:rsidR="00880E46">
        <w:t>.</w:t>
      </w:r>
    </w:p>
    <w:p w14:paraId="7A15C25B" w14:textId="77777777" w:rsidR="00177ADE" w:rsidRDefault="00177ADE" w:rsidP="00DA672C">
      <w:pPr>
        <w:ind w:left="360"/>
      </w:pPr>
    </w:p>
    <w:p w14:paraId="2FCE061C" w14:textId="77777777" w:rsidR="00C9524C" w:rsidRDefault="00A97092" w:rsidP="00C9524C">
      <w:pPr>
        <w:ind w:left="360"/>
      </w:pPr>
      <w:r w:rsidRPr="0035527F">
        <w:rPr>
          <w:b/>
        </w:rPr>
        <w:t>Ad</w:t>
      </w:r>
      <w:r w:rsidR="0035527F" w:rsidRPr="0035527F">
        <w:rPr>
          <w:b/>
        </w:rPr>
        <w:t xml:space="preserve"> 3.</w:t>
      </w:r>
      <w:r w:rsidR="0035527F">
        <w:t xml:space="preserve"> </w:t>
      </w:r>
      <w:r w:rsidR="00C9524C">
        <w:t>Vedr. høringssvar for tidligere høring</w:t>
      </w:r>
      <w:r w:rsidR="0035527F">
        <w:t xml:space="preserve"> </w:t>
      </w:r>
      <w:hyperlink r:id="rId8" w:history="1">
        <w:r w:rsidR="0035527F" w:rsidRPr="00AC4DA3">
          <w:rPr>
            <w:rStyle w:val="Hyperlink"/>
          </w:rPr>
          <w:t>https://hoeringsportalen.dk/Hearing/Details/66778</w:t>
        </w:r>
      </w:hyperlink>
    </w:p>
    <w:p w14:paraId="0DCD2D20" w14:textId="77777777" w:rsidR="00C9524C" w:rsidRDefault="00C9524C" w:rsidP="00C9524C">
      <w:pPr>
        <w:ind w:left="360"/>
      </w:pPr>
      <w:r>
        <w:t xml:space="preserve">Miljøstyrelsen er enige i, at der er en fejl i høringsbrevet og høringsnotatet. Høringsbrevet beskriver, at der skal anvendes detektionsgrænser på enkeltstofniveau på 0,001 μg/L. Høringsnotatet beskriver, at dette er en fejl og rettelig </w:t>
      </w:r>
      <w:r w:rsidR="00215B2E">
        <w:t xml:space="preserve">skal </w:t>
      </w:r>
      <w:r>
        <w:t>være 0,0001 µg/L i overensstemmelse med gældende</w:t>
      </w:r>
      <w:r w:rsidR="0035527F">
        <w:t xml:space="preserve"> </w:t>
      </w:r>
      <w:r>
        <w:t>bekendtgørelse om kvalitetskrav til miljømålinger.</w:t>
      </w:r>
    </w:p>
    <w:p w14:paraId="1348ED02" w14:textId="77777777" w:rsidR="00C9524C" w:rsidRDefault="00C9524C" w:rsidP="00C9524C">
      <w:pPr>
        <w:ind w:left="360"/>
      </w:pPr>
      <w:r>
        <w:t>Miljøstyrelsen kan oplyse, at der IKKE findes noget krav på 0,0001 µg/L</w:t>
      </w:r>
      <w:r w:rsidR="00880E46">
        <w:t>,</w:t>
      </w:r>
      <w:r>
        <w:t xml:space="preserve"> og at de korrekte og gældende detektionsgrænser jf. bekendtgørelse om kvalitetskrav til miljømålinger er: </w:t>
      </w:r>
    </w:p>
    <w:p w14:paraId="6FB92B08" w14:textId="77777777" w:rsidR="00C9524C" w:rsidRDefault="00C9524C" w:rsidP="0035527F">
      <w:pPr>
        <w:pStyle w:val="Opstilling-punkttegn"/>
      </w:pPr>
      <w:r>
        <w:t>0,0003μg/L (0,3ng/L) for PFOA, PFNA, PFHxS</w:t>
      </w:r>
    </w:p>
    <w:p w14:paraId="2DB4D2C9" w14:textId="77777777" w:rsidR="00C9524C" w:rsidRDefault="00C9524C" w:rsidP="0035527F">
      <w:pPr>
        <w:pStyle w:val="Opstilling-punkttegn"/>
      </w:pPr>
      <w:r>
        <w:t>0,0002μg/L (0,2ng/L) for PFOS</w:t>
      </w:r>
    </w:p>
    <w:p w14:paraId="0D072CAF" w14:textId="77777777" w:rsidR="00910F88" w:rsidRDefault="00910F88" w:rsidP="00910F88">
      <w:pPr>
        <w:pStyle w:val="Opstilling-punkttegn"/>
        <w:numPr>
          <w:ilvl w:val="0"/>
          <w:numId w:val="0"/>
        </w:numPr>
        <w:ind w:left="814" w:hanging="454"/>
      </w:pPr>
    </w:p>
    <w:p w14:paraId="6749E9DF" w14:textId="77777777" w:rsidR="00910F88" w:rsidRPr="00A44DEE" w:rsidRDefault="00A97092" w:rsidP="00910F88">
      <w:pPr>
        <w:ind w:left="360"/>
      </w:pPr>
      <w:r w:rsidRPr="00910F88">
        <w:rPr>
          <w:b/>
        </w:rPr>
        <w:t>Ad</w:t>
      </w:r>
      <w:r w:rsidR="00910F88" w:rsidRPr="00910F88">
        <w:rPr>
          <w:b/>
        </w:rPr>
        <w:t xml:space="preserve"> 4</w:t>
      </w:r>
      <w:r w:rsidR="00910F88">
        <w:t>. Det er standard procedure, at pesticidstoffer ikke angives ved navn</w:t>
      </w:r>
      <w:r w:rsidR="005A6472">
        <w:t xml:space="preserve"> i særskilt linje</w:t>
      </w:r>
      <w:r w:rsidR="00910F88">
        <w:t xml:space="preserve">, såfremt deres </w:t>
      </w:r>
      <w:r w:rsidR="00781810">
        <w:t>analy</w:t>
      </w:r>
      <w:r w:rsidR="00910F88">
        <w:t>sekvalitetskrav ikke afviger fra gruppen ”Øvrige pesticider og nedbrydningsprodukter fra pesticider, der er anført ved stofnavn i bekendtgørelse om vandkvali</w:t>
      </w:r>
      <w:r w:rsidR="00781810">
        <w:t>tet og tilsyn med vandforsy</w:t>
      </w:r>
      <w:r w:rsidR="00910F88">
        <w:t>ningsanlæg, bilag 2***)”</w:t>
      </w:r>
      <w:r w:rsidR="005A6472">
        <w:t>. A</w:t>
      </w:r>
      <w:r w:rsidR="00B44711">
        <w:t xml:space="preserve">f denne grund </w:t>
      </w:r>
      <w:r w:rsidR="00880E46">
        <w:t xml:space="preserve">blev </w:t>
      </w:r>
      <w:r w:rsidR="00B44711">
        <w:t>stofferne LM5, LM6 og R471811 ikke tilføjet i særskilt linje. LM3 er tilføjet med navn i særskilt linje, pga. noten om implementeringsfrist.</w:t>
      </w:r>
    </w:p>
    <w:p w14:paraId="199E07F9" w14:textId="77777777" w:rsidR="00910F88" w:rsidRDefault="00910F88" w:rsidP="00910F88">
      <w:pPr>
        <w:pStyle w:val="Opstilling-punkttegn"/>
        <w:numPr>
          <w:ilvl w:val="0"/>
          <w:numId w:val="0"/>
        </w:numPr>
        <w:ind w:left="814" w:hanging="454"/>
      </w:pPr>
    </w:p>
    <w:p w14:paraId="5EA4ADE0" w14:textId="77777777" w:rsidR="00585DD6" w:rsidRDefault="00A97092" w:rsidP="00585DD6">
      <w:pPr>
        <w:ind w:left="360"/>
      </w:pPr>
      <w:r w:rsidRPr="00585DD6">
        <w:rPr>
          <w:b/>
        </w:rPr>
        <w:t>Ad</w:t>
      </w:r>
      <w:r w:rsidR="00585DD6" w:rsidRPr="00585DD6">
        <w:rPr>
          <w:b/>
        </w:rPr>
        <w:t xml:space="preserve"> 5</w:t>
      </w:r>
      <w:r w:rsidR="00585DD6">
        <w:t xml:space="preserve">. Som beskrevet i </w:t>
      </w:r>
      <w:r w:rsidR="00A77445">
        <w:t>ad</w:t>
      </w:r>
      <w:r w:rsidR="00585DD6">
        <w:t xml:space="preserve"> 1, har bekendtgørelserne samme ikrafttrædelsesdato. Jf. s</w:t>
      </w:r>
      <w:bookmarkStart w:id="0" w:name="_GoBack"/>
      <w:bookmarkEnd w:id="0"/>
      <w:r w:rsidR="00585DD6">
        <w:t>var i</w:t>
      </w:r>
      <w:r w:rsidR="00880E46">
        <w:t xml:space="preserve"> </w:t>
      </w:r>
      <w:r>
        <w:t>Ad</w:t>
      </w:r>
      <w:r w:rsidR="00880E46">
        <w:t>.</w:t>
      </w:r>
      <w:r w:rsidR="00585DD6">
        <w:t xml:space="preserve"> 2 vil der dog være en implementeringsfrist for opfyldelse af analysekvalitetskrav for LM3 til 1. juli.</w:t>
      </w:r>
    </w:p>
    <w:p w14:paraId="6EAF6315" w14:textId="77777777" w:rsidR="00585DD6" w:rsidRDefault="00585DD6" w:rsidP="00585DD6">
      <w:pPr>
        <w:ind w:left="360"/>
      </w:pPr>
    </w:p>
    <w:p w14:paraId="59790E5E" w14:textId="77777777" w:rsidR="00585DD6" w:rsidRDefault="00585DD6" w:rsidP="00585DD6">
      <w:pPr>
        <w:ind w:left="360"/>
      </w:pPr>
      <w:r>
        <w:t>Note 7 beskriver netop, at iltforbruget ikke skal måles, hvis NVOC måles. Dette er praksis i Danmark, hvorfor iltforbruget er en overflødig parameter. Miljøstyrelsen vil dog undersøge hvor hyppigt parameteren måles og vurdere behovet for at indføre metodekrav</w:t>
      </w:r>
      <w:r w:rsidR="003F183B">
        <w:t xml:space="preserve"> i en senere opdatering af bekendtgørelsen</w:t>
      </w:r>
      <w:r>
        <w:t>.</w:t>
      </w:r>
    </w:p>
    <w:p w14:paraId="1429222A" w14:textId="77777777" w:rsidR="00585DD6" w:rsidRDefault="00585DD6" w:rsidP="00910F88">
      <w:pPr>
        <w:pStyle w:val="Opstilling-punkttegn"/>
        <w:numPr>
          <w:ilvl w:val="0"/>
          <w:numId w:val="0"/>
        </w:numPr>
        <w:ind w:left="814" w:hanging="454"/>
      </w:pPr>
    </w:p>
    <w:p w14:paraId="09105BF6" w14:textId="77777777" w:rsidR="006336CF" w:rsidRDefault="006336CF" w:rsidP="006336CF">
      <w:pPr>
        <w:pStyle w:val="Listeafsnit"/>
        <w:numPr>
          <w:ilvl w:val="0"/>
          <w:numId w:val="15"/>
        </w:numPr>
        <w:rPr>
          <w:b/>
        </w:rPr>
      </w:pPr>
      <w:r>
        <w:rPr>
          <w:b/>
        </w:rPr>
        <w:t>Danske Vandværker</w:t>
      </w:r>
    </w:p>
    <w:p w14:paraId="53A49068" w14:textId="77777777" w:rsidR="006336CF" w:rsidRPr="006336CF" w:rsidRDefault="006336CF" w:rsidP="006336CF">
      <w:pPr>
        <w:pStyle w:val="Opstilling-punkttegn"/>
        <w:numPr>
          <w:ilvl w:val="0"/>
          <w:numId w:val="0"/>
        </w:numPr>
        <w:ind w:left="360"/>
        <w:rPr>
          <w:i/>
        </w:rPr>
      </w:pPr>
      <w:r w:rsidRPr="006336CF">
        <w:rPr>
          <w:i/>
        </w:rPr>
        <w:t>Det er positivt, at der er tilføjet CAS-nummer og ScKode til en række</w:t>
      </w:r>
      <w:r w:rsidR="00215B2E">
        <w:rPr>
          <w:i/>
        </w:rPr>
        <w:t xml:space="preserve"> parametre i drikkevandsbekendt</w:t>
      </w:r>
      <w:r w:rsidRPr="006336CF">
        <w:rPr>
          <w:i/>
        </w:rPr>
        <w:t xml:space="preserve">gørelsen. CAS-nummer og ScKode bør så vidt muligt også fremgå af Bekendtgørelse om kvalitetskrav til miljømålinger, så der er overensstemmelse med </w:t>
      </w:r>
      <w:r w:rsidRPr="006336CF">
        <w:rPr>
          <w:i/>
        </w:rPr>
        <w:lastRenderedPageBreak/>
        <w:t>Drikkevandsbekendtgørelsen, de enkelte parametre fremgår entydigt, og der ikke kan opstå misforståelse om, hvilket stof, der skal analyseres ved hvilken metode.</w:t>
      </w:r>
    </w:p>
    <w:p w14:paraId="6B44CDC8" w14:textId="77777777" w:rsidR="006336CF" w:rsidRDefault="006336CF" w:rsidP="006336CF">
      <w:pPr>
        <w:pStyle w:val="Opstilling-punkttegn"/>
        <w:numPr>
          <w:ilvl w:val="0"/>
          <w:numId w:val="0"/>
        </w:numPr>
        <w:ind w:left="360"/>
        <w:rPr>
          <w:i/>
        </w:rPr>
      </w:pPr>
      <w:r w:rsidRPr="006336CF">
        <w:rPr>
          <w:i/>
        </w:rPr>
        <w:t xml:space="preserve">Det bør overvejes at tilføje CAS-nummer og ScKode til de øvrige parametre i Bekendtgørelse om </w:t>
      </w:r>
      <w:r w:rsidR="00215B2E">
        <w:rPr>
          <w:i/>
        </w:rPr>
        <w:t>kvali</w:t>
      </w:r>
      <w:r w:rsidRPr="006336CF">
        <w:rPr>
          <w:i/>
        </w:rPr>
        <w:t>tetskrav til miljømålinger.</w:t>
      </w:r>
    </w:p>
    <w:p w14:paraId="49974FFE" w14:textId="77777777" w:rsidR="006336CF" w:rsidRPr="006336CF" w:rsidRDefault="006336CF" w:rsidP="006336CF">
      <w:pPr>
        <w:pStyle w:val="Opstilling-punkttegn"/>
        <w:numPr>
          <w:ilvl w:val="0"/>
          <w:numId w:val="0"/>
        </w:numPr>
        <w:ind w:left="360"/>
        <w:rPr>
          <w:i/>
        </w:rPr>
      </w:pPr>
    </w:p>
    <w:p w14:paraId="4CE49120" w14:textId="77777777" w:rsidR="00585DD6" w:rsidRDefault="006336CF" w:rsidP="006336CF">
      <w:pPr>
        <w:pStyle w:val="Opstilling-punkttegn"/>
        <w:numPr>
          <w:ilvl w:val="0"/>
          <w:numId w:val="0"/>
        </w:numPr>
        <w:ind w:left="360"/>
        <w:rPr>
          <w:i/>
        </w:rPr>
      </w:pPr>
      <w:r w:rsidRPr="006336CF">
        <w:rPr>
          <w:i/>
        </w:rPr>
        <w:t>Vi er igennem henvendelse blevet gjort opmærksom på, at valget af laboratorium kan være afgørende for resultatet af Coliforme bakterier, i så varierende en grad, at det ve</w:t>
      </w:r>
      <w:r w:rsidR="00215B2E">
        <w:rPr>
          <w:i/>
        </w:rPr>
        <w:t>d ét resultat medfører kogeanbe</w:t>
      </w:r>
      <w:r w:rsidRPr="006336CF">
        <w:rPr>
          <w:i/>
        </w:rPr>
        <w:t>faling, mens resultatet ved et andet laboratorium på samme vandprøve ikke viser en overskridelse. I dialog med et laboratorie er vi blevet gjort opmærksom på en inkonsistens ved anvendelsen af Colilert18, hvor den anvendte inkubationstemperatur er afgørende for resultatet. Dette er uhensigtsmæssigt, og det bør i bilag 2, tabel 2.8 præciseres, hvilken inkubationstemperatur, der skal anvendes</w:t>
      </w:r>
      <w:r>
        <w:rPr>
          <w:i/>
        </w:rPr>
        <w:t>.</w:t>
      </w:r>
    </w:p>
    <w:p w14:paraId="77A047E5" w14:textId="77777777" w:rsidR="006336CF" w:rsidRDefault="006336CF" w:rsidP="006336CF">
      <w:pPr>
        <w:pStyle w:val="Opstilling-punkttegn"/>
        <w:numPr>
          <w:ilvl w:val="0"/>
          <w:numId w:val="0"/>
        </w:numPr>
        <w:ind w:left="360"/>
        <w:rPr>
          <w:i/>
        </w:rPr>
      </w:pPr>
    </w:p>
    <w:p w14:paraId="5AF32323" w14:textId="77777777" w:rsidR="006336CF" w:rsidRDefault="006336CF" w:rsidP="006336CF">
      <w:pPr>
        <w:ind w:left="360"/>
      </w:pPr>
      <w:r w:rsidRPr="00FA0E4A">
        <w:rPr>
          <w:b/>
        </w:rPr>
        <w:t>Miljøstyrelsens svar:</w:t>
      </w:r>
      <w:r>
        <w:t xml:space="preserve"> </w:t>
      </w:r>
    </w:p>
    <w:p w14:paraId="3C97D4CD" w14:textId="77777777" w:rsidR="006336CF" w:rsidRDefault="006336CF" w:rsidP="006336CF">
      <w:pPr>
        <w:pStyle w:val="Opstilling-punkttegn"/>
        <w:numPr>
          <w:ilvl w:val="0"/>
          <w:numId w:val="0"/>
        </w:numPr>
        <w:ind w:left="360"/>
      </w:pPr>
      <w:r>
        <w:t>Der er i Miljøstyrelsen fokus på at tilknytte de kemiske parametre entydige identifikatorer som CAS-numre og ScKoder. Der foregår i øjebl</w:t>
      </w:r>
      <w:r w:rsidR="00215B2E">
        <w:t>ikket et større digitaliserings</w:t>
      </w:r>
      <w:r>
        <w:t>projekt hvori denne tilknytning sker (</w:t>
      </w:r>
      <w:hyperlink r:id="rId9" w:history="1">
        <w:r w:rsidRPr="00C626BF">
          <w:rPr>
            <w:rStyle w:val="Hyperlink"/>
          </w:rPr>
          <w:t>https://parameterlisten.miljoeportal.dk/parameters</w:t>
        </w:r>
      </w:hyperlink>
      <w:r>
        <w:t>)</w:t>
      </w:r>
    </w:p>
    <w:p w14:paraId="27CB8335" w14:textId="77777777" w:rsidR="00244C33" w:rsidRDefault="006336CF" w:rsidP="006336CF">
      <w:pPr>
        <w:pStyle w:val="Opstilling-punkttegn"/>
        <w:numPr>
          <w:ilvl w:val="0"/>
          <w:numId w:val="0"/>
        </w:numPr>
        <w:ind w:left="360"/>
      </w:pPr>
      <w:r>
        <w:t xml:space="preserve">Parameterlisten </w:t>
      </w:r>
      <w:r w:rsidR="00215B2E">
        <w:t>forventes desuden</w:t>
      </w:r>
      <w:r>
        <w:t xml:space="preserve"> snar</w:t>
      </w:r>
      <w:r w:rsidR="00215B2E">
        <w:t>est</w:t>
      </w:r>
      <w:r>
        <w:t xml:space="preserve"> også </w:t>
      </w:r>
      <w:r w:rsidR="00215B2E">
        <w:t xml:space="preserve">at </w:t>
      </w:r>
      <w:r>
        <w:t>inkludere tilknytning til regelsæt, bl.a. b</w:t>
      </w:r>
      <w:r w:rsidRPr="006336CF">
        <w:t>ekendtgørelse om kvalitetskrav til miljømålinger</w:t>
      </w:r>
      <w:r>
        <w:t>.</w:t>
      </w:r>
    </w:p>
    <w:p w14:paraId="45754DB6" w14:textId="77777777" w:rsidR="006336CF" w:rsidRDefault="006336CF" w:rsidP="006336CF">
      <w:pPr>
        <w:pStyle w:val="Opstilling-punkttegn"/>
        <w:numPr>
          <w:ilvl w:val="0"/>
          <w:numId w:val="0"/>
        </w:numPr>
        <w:ind w:left="360"/>
      </w:pPr>
      <w:r>
        <w:t xml:space="preserve">Danske Vandværkers anbefaling </w:t>
      </w:r>
      <w:r w:rsidR="00244C33">
        <w:t>om tilføjelse</w:t>
      </w:r>
      <w:r w:rsidR="0015100C">
        <w:t>rne</w:t>
      </w:r>
      <w:r w:rsidR="00244C33">
        <w:t xml:space="preserve"> i versionen</w:t>
      </w:r>
      <w:r w:rsidR="0015100C">
        <w:t xml:space="preserve"> </w:t>
      </w:r>
      <w:r w:rsidR="00244C33">
        <w:t xml:space="preserve">på retsinformation </w:t>
      </w:r>
      <w:r>
        <w:t xml:space="preserve">vil </w:t>
      </w:r>
      <w:r w:rsidR="0015100C">
        <w:t xml:space="preserve">indgå i </w:t>
      </w:r>
      <w:r>
        <w:t>overveje</w:t>
      </w:r>
      <w:r w:rsidR="0015100C">
        <w:t xml:space="preserve">lserne for </w:t>
      </w:r>
      <w:r w:rsidR="00215B2E">
        <w:t xml:space="preserve">det </w:t>
      </w:r>
      <w:r w:rsidR="00244C33">
        <w:t>videre arbejde.</w:t>
      </w:r>
    </w:p>
    <w:p w14:paraId="40332791" w14:textId="77777777" w:rsidR="0015100C" w:rsidRDefault="0015100C" w:rsidP="006336CF">
      <w:pPr>
        <w:pStyle w:val="Opstilling-punkttegn"/>
        <w:numPr>
          <w:ilvl w:val="0"/>
          <w:numId w:val="0"/>
        </w:numPr>
        <w:ind w:left="360"/>
      </w:pPr>
    </w:p>
    <w:p w14:paraId="0581C776" w14:textId="77777777" w:rsidR="0015100C" w:rsidRPr="006336CF" w:rsidRDefault="0015100C" w:rsidP="006336CF">
      <w:pPr>
        <w:pStyle w:val="Opstilling-punkttegn"/>
        <w:numPr>
          <w:ilvl w:val="0"/>
          <w:numId w:val="0"/>
        </w:numPr>
        <w:ind w:left="360"/>
      </w:pPr>
      <w:r>
        <w:t>Mht problemstilli</w:t>
      </w:r>
      <w:r w:rsidR="00215B2E">
        <w:t>n</w:t>
      </w:r>
      <w:r>
        <w:t xml:space="preserve">gen omkring Colilert18, så er Miljøstyrelsen i dialog med Sundhedsministeriet omkring hvilke bakteriestammer </w:t>
      </w:r>
      <w:r w:rsidR="00215B2E">
        <w:t xml:space="preserve">der </w:t>
      </w:r>
      <w:r>
        <w:t>bør medbestemmes (og dermed ved hvilken temperatur in</w:t>
      </w:r>
      <w:r w:rsidR="00170067">
        <w:t>k</w:t>
      </w:r>
      <w:r>
        <w:t xml:space="preserve">ubation bør foregå). Når der er en afklaring forventes </w:t>
      </w:r>
      <w:r w:rsidR="00806222">
        <w:t xml:space="preserve">løsningen implementeret i relevante metodedatablad igennem </w:t>
      </w:r>
      <w:r w:rsidR="00806222" w:rsidRPr="00806222">
        <w:t>Miljøstyrelsens Referencelaboratorium for Kemiske og Mikrobiologiske Miljømålinger</w:t>
      </w:r>
      <w:r w:rsidR="00806222">
        <w:t>.</w:t>
      </w:r>
    </w:p>
    <w:sectPr w:rsidR="0015100C" w:rsidRPr="006336CF" w:rsidSect="007A04FE">
      <w:headerReference w:type="default" r:id="rId10"/>
      <w:footerReference w:type="even" r:id="rId11"/>
      <w:footerReference w:type="default" r:id="rId12"/>
      <w:headerReference w:type="first" r:id="rId13"/>
      <w:footerReference w:type="first" r:id="rId14"/>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0DD3" w14:textId="77777777" w:rsidR="00887B8E" w:rsidRDefault="00887B8E">
      <w:r>
        <w:separator/>
      </w:r>
    </w:p>
  </w:endnote>
  <w:endnote w:type="continuationSeparator" w:id="0">
    <w:p w14:paraId="785F6BA3" w14:textId="77777777" w:rsidR="00887B8E" w:rsidRDefault="0088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6642"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E0E80">
      <w:rPr>
        <w:rStyle w:val="Sidetal"/>
        <w:noProof/>
      </w:rPr>
      <w:t>1</w:t>
    </w:r>
    <w:r>
      <w:rPr>
        <w:rStyle w:val="Sidetal"/>
      </w:rPr>
      <w:fldChar w:fldCharType="end"/>
    </w:r>
  </w:p>
  <w:p w14:paraId="1A2AC304"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01768"/>
      <w:docPartObj>
        <w:docPartGallery w:val="Page Numbers (Bottom of Page)"/>
        <w:docPartUnique/>
      </w:docPartObj>
    </w:sdtPr>
    <w:sdtEndPr/>
    <w:sdtContent>
      <w:p w14:paraId="0283D6E3" w14:textId="2A3BB471" w:rsidR="00085BA2" w:rsidRDefault="00085BA2">
        <w:pPr>
          <w:pStyle w:val="Sidefod"/>
        </w:pPr>
        <w:r>
          <w:fldChar w:fldCharType="begin"/>
        </w:r>
        <w:r>
          <w:instrText>PAGE   \* MERGEFORMAT</w:instrText>
        </w:r>
        <w:r>
          <w:fldChar w:fldCharType="separate"/>
        </w:r>
        <w:r w:rsidR="00C77662">
          <w:rPr>
            <w:noProof/>
          </w:rPr>
          <w:t>5</w:t>
        </w:r>
        <w:r>
          <w:fldChar w:fldCharType="end"/>
        </w:r>
      </w:p>
    </w:sdtContent>
  </w:sdt>
  <w:p w14:paraId="16D779FD" w14:textId="77777777" w:rsidR="007A04FE" w:rsidRDefault="007A04FE" w:rsidP="00BC1C77">
    <w:pPr>
      <w:pStyle w:val="Sidefod"/>
      <w:ind w:right="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6C50" w14:textId="77777777" w:rsidR="004B68AD" w:rsidRPr="00CE0E80" w:rsidRDefault="00CE0E80" w:rsidP="004B68AD">
    <w:pPr>
      <w:pStyle w:val="Template-Address"/>
    </w:pPr>
    <w:bookmarkStart w:id="2" w:name="OFF_Institution"/>
    <w:bookmarkStart w:id="3" w:name="OFF_InstitutionHIF"/>
    <w:bookmarkStart w:id="4" w:name="XIF_MMFirstAddressLine"/>
    <w:r w:rsidRPr="00CE0E80">
      <w:t>Miljøstyrelsen</w:t>
    </w:r>
    <w:bookmarkEnd w:id="2"/>
    <w:r w:rsidR="004B68AD" w:rsidRPr="00CE0E80">
      <w:t xml:space="preserve"> </w:t>
    </w:r>
    <w:bookmarkEnd w:id="3"/>
    <w:r w:rsidR="004B68AD" w:rsidRPr="00CE0E80">
      <w:t xml:space="preserve">• </w:t>
    </w:r>
    <w:bookmarkStart w:id="5" w:name="OFF_AddressA"/>
    <w:bookmarkStart w:id="6" w:name="OFF_AddressAHIF"/>
    <w:r w:rsidRPr="00CE0E80">
      <w:t>Tolderlundsvej 5</w:t>
    </w:r>
    <w:bookmarkEnd w:id="5"/>
    <w:r w:rsidR="004B68AD" w:rsidRPr="00CE0E80">
      <w:t xml:space="preserve"> </w:t>
    </w:r>
    <w:bookmarkEnd w:id="6"/>
    <w:r w:rsidR="004B68AD" w:rsidRPr="00CE0E80">
      <w:rPr>
        <w:vanish/>
      </w:rPr>
      <w:t xml:space="preserve">• </w:t>
    </w:r>
    <w:bookmarkStart w:id="7" w:name="OFF_AddressB"/>
    <w:bookmarkStart w:id="8" w:name="OFF_AddressBHIF"/>
    <w:bookmarkEnd w:id="7"/>
    <w:r w:rsidR="004B68AD" w:rsidRPr="00CE0E80">
      <w:rPr>
        <w:vanish/>
      </w:rPr>
      <w:t xml:space="preserve"> </w:t>
    </w:r>
    <w:bookmarkEnd w:id="8"/>
    <w:r w:rsidR="004B68AD" w:rsidRPr="00CE0E80">
      <w:rPr>
        <w:vanish/>
      </w:rPr>
      <w:t xml:space="preserve">• </w:t>
    </w:r>
    <w:bookmarkStart w:id="9" w:name="OFF_AddressC"/>
    <w:bookmarkStart w:id="10" w:name="OFF_AddressCHIF"/>
    <w:bookmarkEnd w:id="9"/>
    <w:r w:rsidR="004B68AD" w:rsidRPr="00CE0E80">
      <w:rPr>
        <w:vanish/>
      </w:rPr>
      <w:t xml:space="preserve"> </w:t>
    </w:r>
    <w:bookmarkEnd w:id="10"/>
    <w:r w:rsidR="004B68AD" w:rsidRPr="00CE0E80">
      <w:t xml:space="preserve">• </w:t>
    </w:r>
    <w:bookmarkStart w:id="11" w:name="OFF_AddressD"/>
    <w:bookmarkStart w:id="12" w:name="OFF_AddressDHIF"/>
    <w:r w:rsidRPr="00CE0E80">
      <w:t>5000</w:t>
    </w:r>
    <w:bookmarkEnd w:id="11"/>
    <w:r w:rsidR="004B68AD" w:rsidRPr="00CE0E80">
      <w:t xml:space="preserve"> </w:t>
    </w:r>
    <w:bookmarkStart w:id="13" w:name="OFF_City"/>
    <w:r>
      <w:t>Odense C</w:t>
    </w:r>
    <w:bookmarkEnd w:id="13"/>
    <w:r w:rsidR="004B68AD" w:rsidRPr="00CE0E80">
      <w:t xml:space="preserve"> </w:t>
    </w:r>
    <w:bookmarkEnd w:id="12"/>
  </w:p>
  <w:p w14:paraId="32292B67" w14:textId="77777777" w:rsidR="004B68AD" w:rsidRPr="00CE0E80" w:rsidRDefault="00CE0E80" w:rsidP="004B68AD">
    <w:pPr>
      <w:pStyle w:val="Template-Address"/>
    </w:pPr>
    <w:bookmarkStart w:id="14" w:name="LAN_Phone"/>
    <w:bookmarkStart w:id="15" w:name="OFF_PhoneHIF"/>
    <w:bookmarkStart w:id="16" w:name="XIF_MMSecondAddressLine"/>
    <w:bookmarkEnd w:id="4"/>
    <w:r w:rsidRPr="00CE0E80">
      <w:t>Tlf.</w:t>
    </w:r>
    <w:bookmarkEnd w:id="14"/>
    <w:r w:rsidR="004B68AD" w:rsidRPr="00CE0E80">
      <w:t xml:space="preserve"> </w:t>
    </w:r>
    <w:bookmarkStart w:id="17" w:name="OFF_Phone"/>
    <w:r w:rsidRPr="00CE0E80">
      <w:t>72 54 40 00</w:t>
    </w:r>
    <w:bookmarkEnd w:id="17"/>
    <w:r w:rsidR="004B68AD" w:rsidRPr="00CE0E80">
      <w:t xml:space="preserve"> </w:t>
    </w:r>
    <w:bookmarkEnd w:id="15"/>
    <w:r w:rsidR="004B68AD" w:rsidRPr="00CE0E80">
      <w:rPr>
        <w:vanish/>
      </w:rPr>
      <w:t xml:space="preserve">• </w:t>
    </w:r>
    <w:bookmarkStart w:id="18" w:name="LAN_Fax"/>
    <w:bookmarkStart w:id="19" w:name="OFF_FaxHIF"/>
    <w:r w:rsidRPr="00CE0E80">
      <w:rPr>
        <w:vanish/>
      </w:rPr>
      <w:t>Fax</w:t>
    </w:r>
    <w:bookmarkEnd w:id="18"/>
    <w:r w:rsidR="004B68AD" w:rsidRPr="00CE0E80">
      <w:rPr>
        <w:vanish/>
      </w:rPr>
      <w:t xml:space="preserve"> </w:t>
    </w:r>
    <w:bookmarkStart w:id="20" w:name="OFF_Fax"/>
    <w:bookmarkEnd w:id="20"/>
    <w:r w:rsidR="004B68AD" w:rsidRPr="00CE0E80">
      <w:rPr>
        <w:vanish/>
      </w:rPr>
      <w:t xml:space="preserve"> </w:t>
    </w:r>
    <w:bookmarkEnd w:id="19"/>
    <w:r w:rsidR="004B68AD" w:rsidRPr="00CE0E80">
      <w:t xml:space="preserve">• </w:t>
    </w:r>
    <w:bookmarkStart w:id="21" w:name="OFF_CVRHIF"/>
    <w:r w:rsidR="004B68AD" w:rsidRPr="00CE0E80">
      <w:t xml:space="preserve">CVR </w:t>
    </w:r>
    <w:bookmarkStart w:id="22" w:name="OFF_CVR"/>
    <w:r w:rsidRPr="00CE0E80">
      <w:t>25798376</w:t>
    </w:r>
    <w:bookmarkEnd w:id="22"/>
    <w:r w:rsidR="004B68AD" w:rsidRPr="00CE0E80">
      <w:t xml:space="preserve"> </w:t>
    </w:r>
    <w:bookmarkEnd w:id="21"/>
    <w:r w:rsidR="004B68AD" w:rsidRPr="00CE0E80">
      <w:t xml:space="preserve">• </w:t>
    </w:r>
    <w:bookmarkStart w:id="23" w:name="OFF_EANHIF"/>
    <w:r w:rsidR="004B68AD" w:rsidRPr="00CE0E80">
      <w:t xml:space="preserve">EAN </w:t>
    </w:r>
    <w:bookmarkStart w:id="24" w:name="OFF_EAN"/>
    <w:r w:rsidRPr="00CE0E80">
      <w:t>5798000860810</w:t>
    </w:r>
    <w:bookmarkEnd w:id="24"/>
    <w:r w:rsidR="004B68AD" w:rsidRPr="00CE0E80">
      <w:t xml:space="preserve"> </w:t>
    </w:r>
    <w:bookmarkEnd w:id="23"/>
    <w:r w:rsidR="004B68AD" w:rsidRPr="00CE0E80">
      <w:t xml:space="preserve">• </w:t>
    </w:r>
    <w:bookmarkStart w:id="25" w:name="OFF_Email"/>
    <w:bookmarkStart w:id="26" w:name="OFF_EmailHIF"/>
    <w:r w:rsidRPr="00CE0E80">
      <w:t>mst@mst.dk</w:t>
    </w:r>
    <w:bookmarkEnd w:id="25"/>
    <w:r w:rsidR="004B68AD" w:rsidRPr="00CE0E80">
      <w:t xml:space="preserve"> </w:t>
    </w:r>
    <w:bookmarkEnd w:id="26"/>
    <w:r w:rsidR="004B68AD" w:rsidRPr="00CE0E80">
      <w:t xml:space="preserve">• </w:t>
    </w:r>
    <w:bookmarkStart w:id="27" w:name="OFF_Web"/>
    <w:bookmarkStart w:id="28" w:name="OFF_WebHIF"/>
    <w:r w:rsidRPr="00CE0E80">
      <w:t>www.mst.dk</w:t>
    </w:r>
    <w:bookmarkEnd w:id="27"/>
    <w:r w:rsidR="004B68AD" w:rsidRPr="00CE0E80">
      <w:t xml:space="preserve"> </w:t>
    </w:r>
    <w:bookmarkEnd w:id="16"/>
    <w:bookmarkEnd w:id="28"/>
  </w:p>
  <w:p w14:paraId="7072EF4C" w14:textId="77777777" w:rsidR="0048667B" w:rsidRPr="00CE0E80" w:rsidRDefault="0048667B" w:rsidP="004B68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32312" w14:textId="77777777" w:rsidR="00887B8E" w:rsidRDefault="00887B8E">
      <w:r>
        <w:separator/>
      </w:r>
    </w:p>
  </w:footnote>
  <w:footnote w:type="continuationSeparator" w:id="0">
    <w:p w14:paraId="3CD70D2F" w14:textId="77777777" w:rsidR="00887B8E" w:rsidRDefault="0088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1F21" w14:textId="77777777" w:rsidR="000E717B" w:rsidRDefault="000E717B">
    <w:pPr>
      <w:pStyle w:val="Sidehoved"/>
    </w:pPr>
  </w:p>
  <w:p w14:paraId="0186FDBF"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8132" w14:textId="77777777" w:rsidR="004B68AD" w:rsidRPr="00326292" w:rsidRDefault="00CE0E80" w:rsidP="004B68AD">
    <w:bookmarkStart w:id="1" w:name="FLD_DocumentName"/>
    <w:r>
      <w:rPr>
        <w:noProof/>
      </w:rPr>
      <w:drawing>
        <wp:anchor distT="0" distB="0" distL="114300" distR="114300" simplePos="0" relativeHeight="251659264" behindDoc="0" locked="1" layoutInCell="1" allowOverlap="1" wp14:anchorId="0A4AC7F4" wp14:editId="71E58F43">
          <wp:simplePos x="0" y="0"/>
          <wp:positionH relativeFrom="rightMargin">
            <wp:align>right</wp:align>
          </wp:positionH>
          <wp:positionV relativeFrom="page">
            <wp:posOffset>431800</wp:posOffset>
          </wp:positionV>
          <wp:extent cx="2627630" cy="52641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r w:rsidR="004B68AD" w:rsidRPr="00326292">
      <w:rPr>
        <w:noProof/>
      </w:rPr>
      <mc:AlternateContent>
        <mc:Choice Requires="wps">
          <w:drawing>
            <wp:anchor distT="0" distB="0" distL="114300" distR="114300" simplePos="0" relativeHeight="251658240" behindDoc="0" locked="1" layoutInCell="1" allowOverlap="1" wp14:anchorId="0EB60351" wp14:editId="77A9E535">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14:paraId="619490A0" w14:textId="77777777">
                            <w:trPr>
                              <w:cantSplit/>
                              <w:trHeight w:val="2778"/>
                            </w:trPr>
                            <w:tc>
                              <w:tcPr>
                                <w:tcW w:w="2755" w:type="dxa"/>
                                <w:tcMar>
                                  <w:top w:w="34" w:type="dxa"/>
                                  <w:left w:w="0" w:type="dxa"/>
                                  <w:bottom w:w="28" w:type="dxa"/>
                                  <w:right w:w="0" w:type="dxa"/>
                                </w:tcMar>
                              </w:tcPr>
                              <w:p w14:paraId="4BCB1797" w14:textId="77777777" w:rsidR="00FD59C9" w:rsidRPr="003E51BD" w:rsidRDefault="00FD59C9" w:rsidP="00FD59C9">
                                <w:pPr>
                                  <w:pStyle w:val="DocumentName"/>
                                  <w:rPr>
                                    <w:caps w:val="0"/>
                                  </w:rPr>
                                </w:pPr>
                                <w:r w:rsidRPr="003E51BD">
                                  <w:rPr>
                                    <w:caps w:val="0"/>
                                  </w:rPr>
                                  <w:t>Vandforsyning</w:t>
                                </w:r>
                              </w:p>
                              <w:p w14:paraId="4954E714" w14:textId="77777777" w:rsidR="00563DC0" w:rsidRPr="008432EE" w:rsidRDefault="003F19DC" w:rsidP="00563DC0">
                                <w:r w:rsidRPr="008432EE">
                                  <w:t>J.nr. 2022 - 49125</w:t>
                                </w:r>
                              </w:p>
                              <w:p w14:paraId="5931C155" w14:textId="77777777" w:rsidR="008036E9" w:rsidRPr="008432EE" w:rsidRDefault="003F19DC" w:rsidP="00563DC0">
                                <w:r w:rsidRPr="008432EE">
                                  <w:t>Ref. herha</w:t>
                                </w:r>
                              </w:p>
                              <w:p w14:paraId="64D2B643" w14:textId="77777777" w:rsidR="00B85C21" w:rsidRPr="00095830" w:rsidRDefault="003F19DC" w:rsidP="00563DC0">
                                <w:r w:rsidRPr="008432EE">
                                  <w:t>Den 11. april 2023</w:t>
                                </w:r>
                              </w:p>
                              <w:p w14:paraId="02A7271F" w14:textId="77777777" w:rsidR="004B68AD" w:rsidRDefault="004B68AD" w:rsidP="00F351D6">
                                <w:pPr>
                                  <w:pStyle w:val="Kolofontekst"/>
                                </w:pPr>
                              </w:p>
                            </w:tc>
                          </w:tr>
                        </w:tbl>
                        <w:p w14:paraId="1B7D2518" w14:textId="77777777" w:rsidR="004B68AD" w:rsidRDefault="004B68AD"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60351"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14:paraId="619490A0" w14:textId="77777777">
                      <w:trPr>
                        <w:cantSplit/>
                        <w:trHeight w:val="2778"/>
                      </w:trPr>
                      <w:tc>
                        <w:tcPr>
                          <w:tcW w:w="2755" w:type="dxa"/>
                          <w:tcMar>
                            <w:top w:w="34" w:type="dxa"/>
                            <w:left w:w="0" w:type="dxa"/>
                            <w:bottom w:w="28" w:type="dxa"/>
                            <w:right w:w="0" w:type="dxa"/>
                          </w:tcMar>
                        </w:tcPr>
                        <w:p w14:paraId="4BCB1797" w14:textId="77777777" w:rsidR="00FD59C9" w:rsidRPr="003E51BD" w:rsidRDefault="00FD59C9" w:rsidP="00FD59C9">
                          <w:pPr>
                            <w:pStyle w:val="DocumentName"/>
                            <w:rPr>
                              <w:caps w:val="0"/>
                            </w:rPr>
                          </w:pPr>
                          <w:r w:rsidRPr="003E51BD">
                            <w:rPr>
                              <w:caps w:val="0"/>
                            </w:rPr>
                            <w:t>Vandforsyning</w:t>
                          </w:r>
                        </w:p>
                        <w:p w14:paraId="4954E714" w14:textId="77777777" w:rsidR="00563DC0" w:rsidRPr="008432EE" w:rsidRDefault="003F19DC" w:rsidP="00563DC0">
                          <w:r w:rsidRPr="008432EE">
                            <w:t>J.nr. 2022 - 49125</w:t>
                          </w:r>
                        </w:p>
                        <w:p w14:paraId="5931C155" w14:textId="77777777" w:rsidR="008036E9" w:rsidRPr="008432EE" w:rsidRDefault="003F19DC" w:rsidP="00563DC0">
                          <w:r w:rsidRPr="008432EE">
                            <w:t>Ref. herha</w:t>
                          </w:r>
                        </w:p>
                        <w:p w14:paraId="64D2B643" w14:textId="77777777" w:rsidR="00B85C21" w:rsidRPr="00095830" w:rsidRDefault="003F19DC" w:rsidP="00563DC0">
                          <w:r w:rsidRPr="008432EE">
                            <w:t>Den 11. april 2023</w:t>
                          </w:r>
                        </w:p>
                        <w:p w14:paraId="02A7271F" w14:textId="77777777" w:rsidR="004B68AD" w:rsidRDefault="004B68AD" w:rsidP="00F351D6">
                          <w:pPr>
                            <w:pStyle w:val="Kolofontekst"/>
                          </w:pPr>
                        </w:p>
                      </w:tc>
                    </w:tr>
                  </w:tbl>
                  <w:p w14:paraId="1B7D2518" w14:textId="77777777" w:rsidR="004B68AD" w:rsidRDefault="004B68AD" w:rsidP="004B68AD"/>
                </w:txbxContent>
              </v:textbox>
              <w10:wrap anchorx="margin" anchory="page"/>
              <w10:anchorlock/>
            </v:shape>
          </w:pict>
        </mc:Fallback>
      </mc:AlternateContent>
    </w:r>
  </w:p>
  <w:p w14:paraId="53B5348D" w14:textId="77777777" w:rsidR="00A51DBA" w:rsidRDefault="004B68AD" w:rsidP="00CF1627">
    <w:pPr>
      <w:pStyle w:val="DocumentName"/>
    </w:pPr>
    <w:r>
      <w:t>Notat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304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2C2BB7"/>
    <w:multiLevelType w:val="multilevel"/>
    <w:tmpl w:val="45842EE4"/>
    <w:lvl w:ilvl="0">
      <w:start w:val="1"/>
      <w:numFmt w:val="bullet"/>
      <w:pStyle w:val="Opstilling-punkttegn"/>
      <w:lvlText w:val=""/>
      <w:lvlJc w:val="left"/>
      <w:pPr>
        <w:ind w:left="814" w:hanging="454"/>
      </w:pPr>
      <w:rPr>
        <w:rFonts w:ascii="Symbol" w:hAnsi="Symbol" w:hint="default"/>
      </w:rPr>
    </w:lvl>
    <w:lvl w:ilvl="1">
      <w:start w:val="1"/>
      <w:numFmt w:val="bullet"/>
      <w:lvlText w:val=""/>
      <w:lvlJc w:val="left"/>
      <w:pPr>
        <w:ind w:left="1268" w:hanging="454"/>
      </w:pPr>
      <w:rPr>
        <w:rFonts w:ascii="Symbol" w:hAnsi="Symbol" w:hint="default"/>
      </w:rPr>
    </w:lvl>
    <w:lvl w:ilvl="2">
      <w:start w:val="1"/>
      <w:numFmt w:val="bullet"/>
      <w:lvlText w:val=""/>
      <w:lvlJc w:val="left"/>
      <w:pPr>
        <w:ind w:left="1722" w:hanging="454"/>
      </w:pPr>
      <w:rPr>
        <w:rFonts w:ascii="Symbol" w:hAnsi="Symbol" w:hint="default"/>
      </w:rPr>
    </w:lvl>
    <w:lvl w:ilvl="3">
      <w:start w:val="1"/>
      <w:numFmt w:val="bullet"/>
      <w:lvlText w:val=""/>
      <w:lvlJc w:val="left"/>
      <w:pPr>
        <w:ind w:left="2176" w:hanging="454"/>
      </w:pPr>
      <w:rPr>
        <w:rFonts w:ascii="Symbol" w:hAnsi="Symbol" w:hint="default"/>
      </w:rPr>
    </w:lvl>
    <w:lvl w:ilvl="4">
      <w:start w:val="1"/>
      <w:numFmt w:val="bullet"/>
      <w:lvlText w:val=""/>
      <w:lvlJc w:val="left"/>
      <w:pPr>
        <w:ind w:left="2630" w:hanging="454"/>
      </w:pPr>
      <w:rPr>
        <w:rFonts w:ascii="Symbol" w:hAnsi="Symbol" w:hint="default"/>
      </w:rPr>
    </w:lvl>
    <w:lvl w:ilvl="5">
      <w:start w:val="1"/>
      <w:numFmt w:val="bullet"/>
      <w:lvlText w:val=""/>
      <w:lvlJc w:val="left"/>
      <w:pPr>
        <w:ind w:left="3084" w:hanging="454"/>
      </w:pPr>
      <w:rPr>
        <w:rFonts w:ascii="Symbol" w:hAnsi="Symbol" w:hint="default"/>
      </w:rPr>
    </w:lvl>
    <w:lvl w:ilvl="6">
      <w:start w:val="1"/>
      <w:numFmt w:val="bullet"/>
      <w:lvlText w:val=""/>
      <w:lvlJc w:val="left"/>
      <w:pPr>
        <w:ind w:left="3538" w:hanging="454"/>
      </w:pPr>
      <w:rPr>
        <w:rFonts w:ascii="Symbol" w:hAnsi="Symbol" w:hint="default"/>
      </w:rPr>
    </w:lvl>
    <w:lvl w:ilvl="7">
      <w:start w:val="1"/>
      <w:numFmt w:val="bullet"/>
      <w:lvlText w:val=""/>
      <w:lvlJc w:val="left"/>
      <w:pPr>
        <w:ind w:left="3992" w:hanging="454"/>
      </w:pPr>
      <w:rPr>
        <w:rFonts w:ascii="Symbol" w:hAnsi="Symbol" w:hint="default"/>
      </w:rPr>
    </w:lvl>
    <w:lvl w:ilvl="8">
      <w:start w:val="1"/>
      <w:numFmt w:val="bullet"/>
      <w:lvlText w:val=""/>
      <w:lvlJc w:val="left"/>
      <w:pPr>
        <w:ind w:left="4446" w:hanging="454"/>
      </w:pPr>
      <w:rPr>
        <w:rFonts w:ascii="Symbol" w:hAnsi="Symbol" w:hint="default"/>
      </w:rPr>
    </w:lvl>
  </w:abstractNum>
  <w:abstractNum w:abstractNumId="12" w15:restartNumberingAfterBreak="0">
    <w:nsid w:val="1E100BDB"/>
    <w:multiLevelType w:val="hybridMultilevel"/>
    <w:tmpl w:val="CC36D368"/>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E7330F"/>
    <w:multiLevelType w:val="hybridMultilevel"/>
    <w:tmpl w:val="96F269E0"/>
    <w:lvl w:ilvl="0" w:tplc="45AEAE2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DF2670"/>
    <w:multiLevelType w:val="hybridMultilevel"/>
    <w:tmpl w:val="152C975C"/>
    <w:lvl w:ilvl="0" w:tplc="0406000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E15EC"/>
    <w:multiLevelType w:val="hybridMultilevel"/>
    <w:tmpl w:val="987C50CE"/>
    <w:lvl w:ilvl="0" w:tplc="5A1C434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1"/>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10"/>
  </w:num>
  <w:num w:numId="12">
    <w:abstractNumId w:val="17"/>
  </w:num>
  <w:num w:numId="13">
    <w:abstractNumId w:val="15"/>
  </w:num>
  <w:num w:numId="14">
    <w:abstractNumId w:val="8"/>
  </w:num>
  <w:num w:numId="15">
    <w:abstractNumId w:val="12"/>
  </w:num>
  <w:num w:numId="16">
    <w:abstractNumId w:val="18"/>
  </w:num>
  <w:num w:numId="17">
    <w:abstractNumId w:val="1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a-DK" w:vendorID="64" w:dllVersion="131078" w:nlCheck="1" w:checkStyle="0"/>
  <w:activeWritingStyle w:appName="MSWord" w:lang="en-US"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0163"/>
    <w:rsid w:val="0001457C"/>
    <w:rsid w:val="0001528D"/>
    <w:rsid w:val="000166A0"/>
    <w:rsid w:val="000258F2"/>
    <w:rsid w:val="00030051"/>
    <w:rsid w:val="00037E7E"/>
    <w:rsid w:val="000419F5"/>
    <w:rsid w:val="00060BC5"/>
    <w:rsid w:val="000647F2"/>
    <w:rsid w:val="00070BA1"/>
    <w:rsid w:val="00073466"/>
    <w:rsid w:val="00074F1A"/>
    <w:rsid w:val="000758FD"/>
    <w:rsid w:val="00082404"/>
    <w:rsid w:val="000825EC"/>
    <w:rsid w:val="00085BA2"/>
    <w:rsid w:val="00086B6B"/>
    <w:rsid w:val="00096AA1"/>
    <w:rsid w:val="000A07CD"/>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100C"/>
    <w:rsid w:val="00152CB8"/>
    <w:rsid w:val="00156908"/>
    <w:rsid w:val="00160721"/>
    <w:rsid w:val="00170067"/>
    <w:rsid w:val="001743E7"/>
    <w:rsid w:val="00177ADE"/>
    <w:rsid w:val="001A0525"/>
    <w:rsid w:val="001A06B8"/>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7F16"/>
    <w:rsid w:val="001F3A47"/>
    <w:rsid w:val="001F763E"/>
    <w:rsid w:val="001F7774"/>
    <w:rsid w:val="00200B86"/>
    <w:rsid w:val="0020134B"/>
    <w:rsid w:val="0020402C"/>
    <w:rsid w:val="002044E3"/>
    <w:rsid w:val="00204BF4"/>
    <w:rsid w:val="00207F46"/>
    <w:rsid w:val="00211AC9"/>
    <w:rsid w:val="00212497"/>
    <w:rsid w:val="00215B2E"/>
    <w:rsid w:val="002239C6"/>
    <w:rsid w:val="00225534"/>
    <w:rsid w:val="00235C1F"/>
    <w:rsid w:val="002366E2"/>
    <w:rsid w:val="00244C33"/>
    <w:rsid w:val="0025165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265A"/>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27F"/>
    <w:rsid w:val="003558D9"/>
    <w:rsid w:val="00362EAC"/>
    <w:rsid w:val="003636BF"/>
    <w:rsid w:val="00365BC4"/>
    <w:rsid w:val="003819FF"/>
    <w:rsid w:val="00385C06"/>
    <w:rsid w:val="003864CC"/>
    <w:rsid w:val="00386D0C"/>
    <w:rsid w:val="003966D8"/>
    <w:rsid w:val="00397271"/>
    <w:rsid w:val="003A3350"/>
    <w:rsid w:val="003A3369"/>
    <w:rsid w:val="003A44A9"/>
    <w:rsid w:val="003A5F35"/>
    <w:rsid w:val="003B19B2"/>
    <w:rsid w:val="003B6C74"/>
    <w:rsid w:val="003C67E6"/>
    <w:rsid w:val="003D3CB2"/>
    <w:rsid w:val="003D518E"/>
    <w:rsid w:val="003D5928"/>
    <w:rsid w:val="003D597A"/>
    <w:rsid w:val="003E030F"/>
    <w:rsid w:val="003E06B4"/>
    <w:rsid w:val="003E09D1"/>
    <w:rsid w:val="003E1377"/>
    <w:rsid w:val="003E3617"/>
    <w:rsid w:val="003E7D53"/>
    <w:rsid w:val="003F0D75"/>
    <w:rsid w:val="003F183B"/>
    <w:rsid w:val="003F19DC"/>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1293"/>
    <w:rsid w:val="004561B3"/>
    <w:rsid w:val="00457882"/>
    <w:rsid w:val="00460B5A"/>
    <w:rsid w:val="0046600E"/>
    <w:rsid w:val="00467E79"/>
    <w:rsid w:val="00476722"/>
    <w:rsid w:val="00481EEB"/>
    <w:rsid w:val="0048414C"/>
    <w:rsid w:val="0048667B"/>
    <w:rsid w:val="00495993"/>
    <w:rsid w:val="004A3AAA"/>
    <w:rsid w:val="004A4315"/>
    <w:rsid w:val="004B5995"/>
    <w:rsid w:val="004B5AC3"/>
    <w:rsid w:val="004B68AD"/>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41D1B"/>
    <w:rsid w:val="00546759"/>
    <w:rsid w:val="00554FAA"/>
    <w:rsid w:val="00557A69"/>
    <w:rsid w:val="00561220"/>
    <w:rsid w:val="005630B4"/>
    <w:rsid w:val="00563773"/>
    <w:rsid w:val="005650F2"/>
    <w:rsid w:val="005672CB"/>
    <w:rsid w:val="00567BA1"/>
    <w:rsid w:val="00576B90"/>
    <w:rsid w:val="0058155D"/>
    <w:rsid w:val="00585DD6"/>
    <w:rsid w:val="00590A5B"/>
    <w:rsid w:val="00590C13"/>
    <w:rsid w:val="0059119E"/>
    <w:rsid w:val="0059175F"/>
    <w:rsid w:val="0059560E"/>
    <w:rsid w:val="00596C25"/>
    <w:rsid w:val="005A01E1"/>
    <w:rsid w:val="005A0290"/>
    <w:rsid w:val="005A1F29"/>
    <w:rsid w:val="005A29CB"/>
    <w:rsid w:val="005A50B9"/>
    <w:rsid w:val="005A6472"/>
    <w:rsid w:val="005B36E8"/>
    <w:rsid w:val="005C51A1"/>
    <w:rsid w:val="005D2B26"/>
    <w:rsid w:val="005D3CF2"/>
    <w:rsid w:val="005D543F"/>
    <w:rsid w:val="005D7152"/>
    <w:rsid w:val="005E352B"/>
    <w:rsid w:val="005E4484"/>
    <w:rsid w:val="005E579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336CF"/>
    <w:rsid w:val="00641AE1"/>
    <w:rsid w:val="00655780"/>
    <w:rsid w:val="00656763"/>
    <w:rsid w:val="00656C96"/>
    <w:rsid w:val="006665A1"/>
    <w:rsid w:val="006706E8"/>
    <w:rsid w:val="0067771A"/>
    <w:rsid w:val="00684B85"/>
    <w:rsid w:val="0068783F"/>
    <w:rsid w:val="00696AD2"/>
    <w:rsid w:val="00696E85"/>
    <w:rsid w:val="006A18C5"/>
    <w:rsid w:val="006C34EC"/>
    <w:rsid w:val="006D09A7"/>
    <w:rsid w:val="006E7F1D"/>
    <w:rsid w:val="006F3EB3"/>
    <w:rsid w:val="006F4577"/>
    <w:rsid w:val="006F4DCD"/>
    <w:rsid w:val="00702FF2"/>
    <w:rsid w:val="00703B66"/>
    <w:rsid w:val="00705800"/>
    <w:rsid w:val="00705EAB"/>
    <w:rsid w:val="00723455"/>
    <w:rsid w:val="00724762"/>
    <w:rsid w:val="00724D6D"/>
    <w:rsid w:val="0073474C"/>
    <w:rsid w:val="0073754C"/>
    <w:rsid w:val="0074716F"/>
    <w:rsid w:val="0074737F"/>
    <w:rsid w:val="00753673"/>
    <w:rsid w:val="007540BD"/>
    <w:rsid w:val="00762205"/>
    <w:rsid w:val="0076323D"/>
    <w:rsid w:val="00764201"/>
    <w:rsid w:val="00781810"/>
    <w:rsid w:val="007830BE"/>
    <w:rsid w:val="007940C9"/>
    <w:rsid w:val="00796312"/>
    <w:rsid w:val="007A04FE"/>
    <w:rsid w:val="007B1B23"/>
    <w:rsid w:val="007B21FA"/>
    <w:rsid w:val="007B2ADE"/>
    <w:rsid w:val="007B3940"/>
    <w:rsid w:val="007D492E"/>
    <w:rsid w:val="007D6E58"/>
    <w:rsid w:val="007E0C49"/>
    <w:rsid w:val="007E3A3B"/>
    <w:rsid w:val="007E51F2"/>
    <w:rsid w:val="007E5E97"/>
    <w:rsid w:val="007E7688"/>
    <w:rsid w:val="007F4A4B"/>
    <w:rsid w:val="007F73B3"/>
    <w:rsid w:val="007F770C"/>
    <w:rsid w:val="00802CB9"/>
    <w:rsid w:val="00806222"/>
    <w:rsid w:val="00807BA4"/>
    <w:rsid w:val="0081105F"/>
    <w:rsid w:val="00821133"/>
    <w:rsid w:val="008324B0"/>
    <w:rsid w:val="008407EC"/>
    <w:rsid w:val="008432EE"/>
    <w:rsid w:val="0084333E"/>
    <w:rsid w:val="0084379B"/>
    <w:rsid w:val="00844CA9"/>
    <w:rsid w:val="00847491"/>
    <w:rsid w:val="00850194"/>
    <w:rsid w:val="00851A84"/>
    <w:rsid w:val="008559E9"/>
    <w:rsid w:val="00860D2C"/>
    <w:rsid w:val="00861CBA"/>
    <w:rsid w:val="00863B4C"/>
    <w:rsid w:val="00872AC0"/>
    <w:rsid w:val="00875531"/>
    <w:rsid w:val="00880E46"/>
    <w:rsid w:val="00882741"/>
    <w:rsid w:val="00887B8E"/>
    <w:rsid w:val="00892B13"/>
    <w:rsid w:val="008A1C6B"/>
    <w:rsid w:val="008A4864"/>
    <w:rsid w:val="008A6D27"/>
    <w:rsid w:val="008B1B83"/>
    <w:rsid w:val="008B3ADA"/>
    <w:rsid w:val="008C5F4A"/>
    <w:rsid w:val="008E3990"/>
    <w:rsid w:val="008F272E"/>
    <w:rsid w:val="008F6B2B"/>
    <w:rsid w:val="00905C37"/>
    <w:rsid w:val="00906916"/>
    <w:rsid w:val="00910F88"/>
    <w:rsid w:val="009228A2"/>
    <w:rsid w:val="0092514B"/>
    <w:rsid w:val="009264AA"/>
    <w:rsid w:val="009354A9"/>
    <w:rsid w:val="00944EE8"/>
    <w:rsid w:val="009461F0"/>
    <w:rsid w:val="009601F5"/>
    <w:rsid w:val="00963E43"/>
    <w:rsid w:val="00970F21"/>
    <w:rsid w:val="00975F3B"/>
    <w:rsid w:val="0098382A"/>
    <w:rsid w:val="00991800"/>
    <w:rsid w:val="009943CD"/>
    <w:rsid w:val="00994E91"/>
    <w:rsid w:val="009B3D82"/>
    <w:rsid w:val="009C37F8"/>
    <w:rsid w:val="009C6BB2"/>
    <w:rsid w:val="009E27B6"/>
    <w:rsid w:val="009E7920"/>
    <w:rsid w:val="009F368F"/>
    <w:rsid w:val="009F4367"/>
    <w:rsid w:val="009F54E8"/>
    <w:rsid w:val="009F7033"/>
    <w:rsid w:val="00A03CE6"/>
    <w:rsid w:val="00A03E48"/>
    <w:rsid w:val="00A11F5A"/>
    <w:rsid w:val="00A158CB"/>
    <w:rsid w:val="00A34B40"/>
    <w:rsid w:val="00A36292"/>
    <w:rsid w:val="00A36D64"/>
    <w:rsid w:val="00A44A6B"/>
    <w:rsid w:val="00A44DEE"/>
    <w:rsid w:val="00A51DBA"/>
    <w:rsid w:val="00A5408B"/>
    <w:rsid w:val="00A556CE"/>
    <w:rsid w:val="00A67D37"/>
    <w:rsid w:val="00A72DDE"/>
    <w:rsid w:val="00A77445"/>
    <w:rsid w:val="00A85ECD"/>
    <w:rsid w:val="00A923E2"/>
    <w:rsid w:val="00A964CE"/>
    <w:rsid w:val="00A96C60"/>
    <w:rsid w:val="00A97092"/>
    <w:rsid w:val="00AA4437"/>
    <w:rsid w:val="00AB363A"/>
    <w:rsid w:val="00AC35D6"/>
    <w:rsid w:val="00AD678B"/>
    <w:rsid w:val="00AE41A1"/>
    <w:rsid w:val="00AE4365"/>
    <w:rsid w:val="00AE5A17"/>
    <w:rsid w:val="00AE626F"/>
    <w:rsid w:val="00AF5AF6"/>
    <w:rsid w:val="00B059FA"/>
    <w:rsid w:val="00B13BB6"/>
    <w:rsid w:val="00B2565D"/>
    <w:rsid w:val="00B30727"/>
    <w:rsid w:val="00B358B3"/>
    <w:rsid w:val="00B441D7"/>
    <w:rsid w:val="00B44711"/>
    <w:rsid w:val="00B54207"/>
    <w:rsid w:val="00B67E21"/>
    <w:rsid w:val="00B7329B"/>
    <w:rsid w:val="00B734BB"/>
    <w:rsid w:val="00B77950"/>
    <w:rsid w:val="00B80700"/>
    <w:rsid w:val="00B86940"/>
    <w:rsid w:val="00B87347"/>
    <w:rsid w:val="00B90A33"/>
    <w:rsid w:val="00B91712"/>
    <w:rsid w:val="00B91D48"/>
    <w:rsid w:val="00B932C3"/>
    <w:rsid w:val="00B9526E"/>
    <w:rsid w:val="00BA7059"/>
    <w:rsid w:val="00BA7C98"/>
    <w:rsid w:val="00BB40C8"/>
    <w:rsid w:val="00BB6985"/>
    <w:rsid w:val="00BC1C77"/>
    <w:rsid w:val="00BC6602"/>
    <w:rsid w:val="00BD3A32"/>
    <w:rsid w:val="00BD787B"/>
    <w:rsid w:val="00BE0CE4"/>
    <w:rsid w:val="00BE7D68"/>
    <w:rsid w:val="00BF101A"/>
    <w:rsid w:val="00BF6066"/>
    <w:rsid w:val="00C03ED1"/>
    <w:rsid w:val="00C1503E"/>
    <w:rsid w:val="00C16955"/>
    <w:rsid w:val="00C21584"/>
    <w:rsid w:val="00C2184A"/>
    <w:rsid w:val="00C22C94"/>
    <w:rsid w:val="00C23057"/>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77662"/>
    <w:rsid w:val="00C8406C"/>
    <w:rsid w:val="00C87AAA"/>
    <w:rsid w:val="00C947AF"/>
    <w:rsid w:val="00C9524C"/>
    <w:rsid w:val="00CA543F"/>
    <w:rsid w:val="00CA6429"/>
    <w:rsid w:val="00CA6ADF"/>
    <w:rsid w:val="00CB5C14"/>
    <w:rsid w:val="00CC12A8"/>
    <w:rsid w:val="00CC6892"/>
    <w:rsid w:val="00CC6DAA"/>
    <w:rsid w:val="00CC77A5"/>
    <w:rsid w:val="00CD31FE"/>
    <w:rsid w:val="00CD4F1D"/>
    <w:rsid w:val="00CE0E80"/>
    <w:rsid w:val="00CE1EC6"/>
    <w:rsid w:val="00CE5201"/>
    <w:rsid w:val="00CF1627"/>
    <w:rsid w:val="00CF2263"/>
    <w:rsid w:val="00CF760D"/>
    <w:rsid w:val="00D008ED"/>
    <w:rsid w:val="00D01229"/>
    <w:rsid w:val="00D01984"/>
    <w:rsid w:val="00D01EDA"/>
    <w:rsid w:val="00D16472"/>
    <w:rsid w:val="00D321C9"/>
    <w:rsid w:val="00D37FC2"/>
    <w:rsid w:val="00D43DB0"/>
    <w:rsid w:val="00D56627"/>
    <w:rsid w:val="00D570C5"/>
    <w:rsid w:val="00D922CF"/>
    <w:rsid w:val="00D951B4"/>
    <w:rsid w:val="00DA32B3"/>
    <w:rsid w:val="00DA672C"/>
    <w:rsid w:val="00DA6734"/>
    <w:rsid w:val="00DB56B3"/>
    <w:rsid w:val="00DC3249"/>
    <w:rsid w:val="00DE24BE"/>
    <w:rsid w:val="00DE5B21"/>
    <w:rsid w:val="00DE7479"/>
    <w:rsid w:val="00DF128B"/>
    <w:rsid w:val="00DF2F94"/>
    <w:rsid w:val="00E11688"/>
    <w:rsid w:val="00E26EAA"/>
    <w:rsid w:val="00E27CC3"/>
    <w:rsid w:val="00E30FCA"/>
    <w:rsid w:val="00E36F97"/>
    <w:rsid w:val="00E42057"/>
    <w:rsid w:val="00E44C4F"/>
    <w:rsid w:val="00E46DA0"/>
    <w:rsid w:val="00E560E9"/>
    <w:rsid w:val="00E62BEE"/>
    <w:rsid w:val="00E63075"/>
    <w:rsid w:val="00E644BF"/>
    <w:rsid w:val="00E73A40"/>
    <w:rsid w:val="00E806E3"/>
    <w:rsid w:val="00E81697"/>
    <w:rsid w:val="00E83744"/>
    <w:rsid w:val="00E928D4"/>
    <w:rsid w:val="00E94852"/>
    <w:rsid w:val="00EA4D25"/>
    <w:rsid w:val="00EA576F"/>
    <w:rsid w:val="00EB0255"/>
    <w:rsid w:val="00EB0E76"/>
    <w:rsid w:val="00EB3838"/>
    <w:rsid w:val="00EB4C77"/>
    <w:rsid w:val="00EB68CC"/>
    <w:rsid w:val="00EC2095"/>
    <w:rsid w:val="00EC5E51"/>
    <w:rsid w:val="00EC76B0"/>
    <w:rsid w:val="00ED48AE"/>
    <w:rsid w:val="00EE65A7"/>
    <w:rsid w:val="00EF48EC"/>
    <w:rsid w:val="00EF6016"/>
    <w:rsid w:val="00F02141"/>
    <w:rsid w:val="00F05E03"/>
    <w:rsid w:val="00F2061A"/>
    <w:rsid w:val="00F30057"/>
    <w:rsid w:val="00F31EFD"/>
    <w:rsid w:val="00F34750"/>
    <w:rsid w:val="00F44CF6"/>
    <w:rsid w:val="00F46114"/>
    <w:rsid w:val="00F47B3A"/>
    <w:rsid w:val="00F602C8"/>
    <w:rsid w:val="00F62595"/>
    <w:rsid w:val="00F62704"/>
    <w:rsid w:val="00F7168A"/>
    <w:rsid w:val="00F71C13"/>
    <w:rsid w:val="00F77228"/>
    <w:rsid w:val="00F90567"/>
    <w:rsid w:val="00F908EE"/>
    <w:rsid w:val="00F91352"/>
    <w:rsid w:val="00F922ED"/>
    <w:rsid w:val="00FA0E4A"/>
    <w:rsid w:val="00FB7ADE"/>
    <w:rsid w:val="00FC164F"/>
    <w:rsid w:val="00FD2036"/>
    <w:rsid w:val="00FD59C9"/>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7D948"/>
  <w15:docId w15:val="{0EB0E6A4-00C9-4675-A8E4-38C7A4E1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4272">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eringsportalen.dk/Hearing/Details/6677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storagehoeringspo.blob.core.windows.net/399d7526-70d4-41bb-b782-746fcea4ba8f/H%C3%B8ringsnotat%20drikkevandsbekendtg%C3%B8relsen%20okt%20202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rameterlisten.miljoeportal.dk/parameters"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1874</Words>
  <Characters>11433</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Miljøministeriet</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Miljø- og Fødevareministeriet</dc:creator>
  <cp:keywords/>
  <dc:description/>
  <cp:lastModifiedBy>Rasmus Moes</cp:lastModifiedBy>
  <cp:revision>37</cp:revision>
  <cp:lastPrinted>2005-05-20T12:11:00Z</cp:lastPrinted>
  <dcterms:created xsi:type="dcterms:W3CDTF">2022-08-31T10:13:00Z</dcterms:created>
  <dcterms:modified xsi:type="dcterms:W3CDTF">2023-04-13T13:51:00Z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44719</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PELOJ</vt:lpwstr>
  </property>
  <property fmtid="{D5CDD505-2E9C-101B-9397-08002B2CF9AE}" pid="17" name="SD_CtlText_Generelt_CaseNoF2">
    <vt:lpwstr>2020 - 10975</vt:lpwstr>
  </property>
  <property fmtid="{D5CDD505-2E9C-101B-9397-08002B2CF9AE}" pid="18" name="SD_UserprofileName">
    <vt:lpwstr>PELOJ</vt:lpwstr>
  </property>
  <property fmtid="{D5CDD505-2E9C-101B-9397-08002B2CF9AE}" pid="19" name="SD_Office_OFF_ID">
    <vt:lpwstr>111</vt:lpwstr>
  </property>
  <property fmtid="{D5CDD505-2E9C-101B-9397-08002B2CF9AE}" pid="20" name="CurrentOfficeID">
    <vt:lpwstr>111</vt:lpwstr>
  </property>
  <property fmtid="{D5CDD505-2E9C-101B-9397-08002B2CF9AE}" pid="21" name="SD_Office_OFF_Organisation">
    <vt:lpwstr>MST</vt:lpwstr>
  </property>
  <property fmtid="{D5CDD505-2E9C-101B-9397-08002B2CF9AE}" pid="22" name="SD_Office_OFF_ArtworkDefinition">
    <vt:lpwstr>MFVM</vt:lpwstr>
  </property>
  <property fmtid="{D5CDD505-2E9C-101B-9397-08002B2CF9AE}" pid="23" name="SD_Office_OFF_LogoFileName">
    <vt:lpwstr>MST</vt:lpwstr>
  </property>
  <property fmtid="{D5CDD505-2E9C-101B-9397-08002B2CF9AE}" pid="24" name="SD_Office_OFF_Institution">
    <vt:lpwstr>Miljøstyrelsen</vt:lpwstr>
  </property>
  <property fmtid="{D5CDD505-2E9C-101B-9397-08002B2CF9AE}" pid="25" name="SD_Office_OFF_Institution_EN">
    <vt:lpwstr>Environmental Protection Agency</vt:lpwstr>
  </property>
  <property fmtid="{D5CDD505-2E9C-101B-9397-08002B2CF9AE}" pid="26" name="SD_Office_OFF_kontor">
    <vt:lpwstr>Direktion &amp; Kommunikation</vt:lpwstr>
  </property>
  <property fmtid="{D5CDD505-2E9C-101B-9397-08002B2CF9AE}" pid="27" name="SD_Office_OFF_Department">
    <vt:lpwstr>Direktion &amp; Kommunikation</vt:lpwstr>
  </property>
  <property fmtid="{D5CDD505-2E9C-101B-9397-08002B2CF9AE}" pid="28" name="SD_Office_OFF_Department_EN">
    <vt:lpwstr>Management and Communications</vt:lpwstr>
  </property>
  <property fmtid="{D5CDD505-2E9C-101B-9397-08002B2CF9AE}" pid="29" name="SD_Office_OFF_Footertext">
    <vt:lpwstr/>
  </property>
  <property fmtid="{D5CDD505-2E9C-101B-9397-08002B2CF9AE}" pid="30" name="SD_Office_OFF_AddressA">
    <vt:lpwstr>Tolderlundsvej 5</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Tolderlundsvej 5</vt:lpwstr>
  </property>
  <property fmtid="{D5CDD505-2E9C-101B-9397-08002B2CF9AE}" pid="34" name="SD_Office_OFF_AddressD">
    <vt:lpwstr>5000</vt:lpwstr>
  </property>
  <property fmtid="{D5CDD505-2E9C-101B-9397-08002B2CF9AE}" pid="35" name="SD_Office_OFF_City">
    <vt:lpwstr>Odense C</vt:lpwstr>
  </property>
  <property fmtid="{D5CDD505-2E9C-101B-9397-08002B2CF9AE}" pid="36" name="SD_Office_OFF_City_EN">
    <vt:lpwstr>Odense C Denmark</vt:lpwstr>
  </property>
  <property fmtid="{D5CDD505-2E9C-101B-9397-08002B2CF9AE}" pid="37" name="SD_Office_OFF_Phone">
    <vt:lpwstr>72 54 40 00</vt:lpwstr>
  </property>
  <property fmtid="{D5CDD505-2E9C-101B-9397-08002B2CF9AE}" pid="38" name="SD_Office_OFF_Phone_EN">
    <vt:lpwstr>+45 72 54 40 00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mst@mst.dk</vt:lpwstr>
  </property>
  <property fmtid="{D5CDD505-2E9C-101B-9397-08002B2CF9AE}" pid="42" name="SD_Office_OFF_Web">
    <vt:lpwstr>www.mst.dk</vt:lpwstr>
  </property>
  <property fmtid="{D5CDD505-2E9C-101B-9397-08002B2CF9AE}" pid="43" name="SD_Office_OFF_CVR">
    <vt:lpwstr>25798376</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Miljøstyrelsen</vt:lpwstr>
  </property>
  <property fmtid="{D5CDD505-2E9C-101B-9397-08002B2CF9AE}" pid="47" name="LastCompletedArtworkDefinition">
    <vt:lpwstr>MFVM</vt:lpwstr>
  </property>
  <property fmtid="{D5CDD505-2E9C-101B-9397-08002B2CF9AE}" pid="48" name="USR_Name">
    <vt:lpwstr>Peter Longsholm Jølbæk</vt:lpwstr>
  </property>
  <property fmtid="{D5CDD505-2E9C-101B-9397-08002B2CF9AE}" pid="49" name="USR_Initials">
    <vt:lpwstr>PELOJ</vt:lpwstr>
  </property>
  <property fmtid="{D5CDD505-2E9C-101B-9397-08002B2CF9AE}" pid="50" name="USR_Title">
    <vt:lpwstr>Direktionssekretær</vt:lpwstr>
  </property>
  <property fmtid="{D5CDD505-2E9C-101B-9397-08002B2CF9AE}" pid="51" name="USR_DirectPhone">
    <vt:lpwstr/>
  </property>
  <property fmtid="{D5CDD505-2E9C-101B-9397-08002B2CF9AE}" pid="52" name="USR_Mobile">
    <vt:lpwstr>24 52 94 81</vt:lpwstr>
  </property>
  <property fmtid="{D5CDD505-2E9C-101B-9397-08002B2CF9AE}" pid="53" name="USR_Email">
    <vt:lpwstr>peloj@mst.dk</vt:lpwstr>
  </property>
  <property fmtid="{D5CDD505-2E9C-101B-9397-08002B2CF9AE}" pid="54" name="DocumentInfoFinished">
    <vt:lpwstr>True</vt:lpwstr>
  </property>
</Properties>
</file>