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Borders>
          <w:bottom w:val="single" w:sz="4" w:space="0" w:color="auto"/>
        </w:tblBorders>
        <w:tblLayout w:type="fixed"/>
        <w:tblCellMar>
          <w:left w:w="0" w:type="dxa"/>
          <w:right w:w="0" w:type="dxa"/>
        </w:tblCellMar>
        <w:tblLook w:val="01E0" w:firstRow="1" w:lastRow="1" w:firstColumn="1" w:lastColumn="1" w:noHBand="0" w:noVBand="0"/>
      </w:tblPr>
      <w:tblGrid>
        <w:gridCol w:w="6804"/>
        <w:gridCol w:w="2552"/>
      </w:tblGrid>
      <w:tr w:rsidR="00021E8C" w:rsidRPr="00A53A52" w14:paraId="1BC34409" w14:textId="77777777" w:rsidTr="001701A9">
        <w:trPr>
          <w:cantSplit/>
          <w:trHeight w:val="2500"/>
        </w:trPr>
        <w:tc>
          <w:tcPr>
            <w:tcW w:w="6804" w:type="dxa"/>
          </w:tcPr>
          <w:p w14:paraId="18D02404" w14:textId="77777777" w:rsidR="00CF614F" w:rsidRPr="00A53A52" w:rsidRDefault="00CF614F" w:rsidP="005372C5">
            <w:bookmarkStart w:id="0" w:name="_GoBack"/>
            <w:bookmarkEnd w:id="0"/>
          </w:p>
        </w:tc>
        <w:tc>
          <w:tcPr>
            <w:tcW w:w="2552" w:type="dxa"/>
          </w:tcPr>
          <w:p w14:paraId="04026CD9" w14:textId="77777777" w:rsidR="00CF614F" w:rsidRPr="00A53A52" w:rsidRDefault="00CF614F" w:rsidP="00557A69"/>
          <w:p w14:paraId="6C166791" w14:textId="77777777" w:rsidR="00CF614F" w:rsidRPr="00A53A52" w:rsidRDefault="00CF614F" w:rsidP="00CF614F"/>
          <w:p w14:paraId="3290225C" w14:textId="77777777" w:rsidR="00CF614F" w:rsidRPr="00A53A52" w:rsidRDefault="00CF614F" w:rsidP="00CF614F"/>
          <w:p w14:paraId="5E82E07D" w14:textId="77777777" w:rsidR="00CF614F" w:rsidRPr="00A53A52" w:rsidRDefault="00CF614F" w:rsidP="00A53A52"/>
          <w:p w14:paraId="5DEAF6AC" w14:textId="77777777" w:rsidR="005271D6" w:rsidRPr="00A53A52" w:rsidRDefault="005271D6" w:rsidP="00A53A52"/>
          <w:p w14:paraId="1A060778" w14:textId="77777777" w:rsidR="008C0C0C" w:rsidRPr="00A53A52" w:rsidRDefault="008C0C0C" w:rsidP="00A53A52"/>
          <w:p w14:paraId="7459380B" w14:textId="77777777" w:rsidR="008C0C0C" w:rsidRPr="00A53A52" w:rsidRDefault="008C0C0C" w:rsidP="00A53A52"/>
          <w:p w14:paraId="1DC7F9B5" w14:textId="77777777" w:rsidR="008C0C0C" w:rsidRPr="00A53A52" w:rsidRDefault="008C0C0C" w:rsidP="00A53A52"/>
        </w:tc>
      </w:tr>
      <w:tr w:rsidR="00021E8C" w:rsidRPr="00A53A52" w14:paraId="1682E734" w14:textId="77777777" w:rsidTr="001701A9">
        <w:trPr>
          <w:cantSplit/>
          <w:trHeight w:val="504"/>
        </w:trPr>
        <w:tc>
          <w:tcPr>
            <w:tcW w:w="6804" w:type="dxa"/>
          </w:tcPr>
          <w:p w14:paraId="2D15D859" w14:textId="77777777" w:rsidR="00541D1B" w:rsidRPr="00A53A52" w:rsidRDefault="005372C5" w:rsidP="00F32EB8">
            <w:pPr>
              <w:pStyle w:val="DocumentHeading"/>
            </w:pPr>
            <w:r>
              <w:t>Høringsnotat vedr. ekstern høring af bekendtgørelse om tilskud til projekter om etablering af konstruerede minivådområder</w:t>
            </w:r>
          </w:p>
          <w:p w14:paraId="3A19A852" w14:textId="77777777" w:rsidR="00541D1B" w:rsidRPr="00A53A52" w:rsidRDefault="00541D1B" w:rsidP="00541D1B"/>
        </w:tc>
        <w:tc>
          <w:tcPr>
            <w:tcW w:w="2552" w:type="dxa"/>
          </w:tcPr>
          <w:p w14:paraId="055B3167" w14:textId="77777777" w:rsidR="00541D1B" w:rsidRPr="00A53A52" w:rsidRDefault="00541D1B" w:rsidP="00557A69"/>
        </w:tc>
      </w:tr>
    </w:tbl>
    <w:p w14:paraId="36EC84DE" w14:textId="77777777" w:rsidR="00353912" w:rsidRDefault="00353912" w:rsidP="00353912">
      <w:pPr>
        <w:contextualSpacing/>
        <w:rPr>
          <w:i/>
        </w:rPr>
      </w:pPr>
    </w:p>
    <w:p w14:paraId="2AB1FD5C" w14:textId="77777777" w:rsidR="00353912" w:rsidRPr="00DB11CC" w:rsidRDefault="00353912" w:rsidP="00353912">
      <w:pPr>
        <w:contextualSpacing/>
        <w:rPr>
          <w:i/>
        </w:rPr>
      </w:pPr>
      <w:r w:rsidRPr="00EB069E">
        <w:rPr>
          <w:i/>
        </w:rPr>
        <w:t>Høringssvarene kan ses i deres fulde længde på høringsportalen.</w:t>
      </w:r>
    </w:p>
    <w:p w14:paraId="09517B8E" w14:textId="77777777" w:rsidR="00353912" w:rsidRPr="00353912" w:rsidRDefault="00353912" w:rsidP="00353912"/>
    <w:tbl>
      <w:tblPr>
        <w:tblStyle w:val="Tabel-Gitter"/>
        <w:tblW w:w="0" w:type="auto"/>
        <w:tblLook w:val="04A0" w:firstRow="1" w:lastRow="0" w:firstColumn="1" w:lastColumn="0" w:noHBand="0" w:noVBand="1"/>
      </w:tblPr>
      <w:tblGrid>
        <w:gridCol w:w="1129"/>
        <w:gridCol w:w="4111"/>
        <w:gridCol w:w="4105"/>
      </w:tblGrid>
      <w:tr w:rsidR="005372C5" w14:paraId="371B2B1D" w14:textId="77777777" w:rsidTr="000C3E32">
        <w:tc>
          <w:tcPr>
            <w:tcW w:w="1129" w:type="dxa"/>
            <w:shd w:val="clear" w:color="auto" w:fill="auto"/>
          </w:tcPr>
          <w:p w14:paraId="15FDB4DB" w14:textId="77777777" w:rsidR="005372C5" w:rsidRDefault="005372C5" w:rsidP="00086B6B"/>
        </w:tc>
        <w:tc>
          <w:tcPr>
            <w:tcW w:w="4111" w:type="dxa"/>
          </w:tcPr>
          <w:p w14:paraId="410FE6DD" w14:textId="77777777" w:rsidR="005372C5" w:rsidRDefault="005372C5" w:rsidP="00086B6B">
            <w:r>
              <w:t>Bemærkninger</w:t>
            </w:r>
          </w:p>
        </w:tc>
        <w:tc>
          <w:tcPr>
            <w:tcW w:w="4105" w:type="dxa"/>
          </w:tcPr>
          <w:p w14:paraId="1A1873B2" w14:textId="77777777" w:rsidR="005372C5" w:rsidRDefault="005372C5" w:rsidP="00086B6B">
            <w:r>
              <w:t>Opfølgning</w:t>
            </w:r>
          </w:p>
        </w:tc>
      </w:tr>
      <w:tr w:rsidR="005372C5" w14:paraId="41C1BA0D" w14:textId="77777777" w:rsidTr="000C3E32">
        <w:tc>
          <w:tcPr>
            <w:tcW w:w="1129" w:type="dxa"/>
            <w:shd w:val="clear" w:color="auto" w:fill="auto"/>
          </w:tcPr>
          <w:p w14:paraId="2851BAE6" w14:textId="77777777" w:rsidR="005372C5" w:rsidRPr="00834990" w:rsidRDefault="005372C5" w:rsidP="00086B6B">
            <w:pPr>
              <w:rPr>
                <w:rFonts w:asciiTheme="minorHAnsi" w:hAnsiTheme="minorHAnsi"/>
                <w:b/>
                <w:szCs w:val="22"/>
              </w:rPr>
            </w:pPr>
            <w:r w:rsidRPr="00834990">
              <w:rPr>
                <w:rFonts w:asciiTheme="minorHAnsi" w:hAnsiTheme="minorHAnsi"/>
                <w:b/>
                <w:szCs w:val="22"/>
              </w:rPr>
              <w:t>1</w:t>
            </w:r>
          </w:p>
        </w:tc>
        <w:tc>
          <w:tcPr>
            <w:tcW w:w="8216" w:type="dxa"/>
            <w:gridSpan w:val="2"/>
          </w:tcPr>
          <w:p w14:paraId="627BC858" w14:textId="77777777" w:rsidR="005372C5" w:rsidRPr="00834990" w:rsidRDefault="005372C5" w:rsidP="00086B6B">
            <w:pPr>
              <w:rPr>
                <w:rFonts w:asciiTheme="minorHAnsi" w:hAnsiTheme="minorHAnsi"/>
                <w:b/>
                <w:szCs w:val="22"/>
              </w:rPr>
            </w:pPr>
            <w:r w:rsidRPr="00834990">
              <w:rPr>
                <w:rFonts w:asciiTheme="minorHAnsi" w:hAnsiTheme="minorHAnsi"/>
                <w:b/>
                <w:szCs w:val="22"/>
              </w:rPr>
              <w:t>Kommunernes Landsforening</w:t>
            </w:r>
          </w:p>
        </w:tc>
      </w:tr>
      <w:tr w:rsidR="005372C5" w14:paraId="10C41460" w14:textId="77777777" w:rsidTr="000C3E32">
        <w:tc>
          <w:tcPr>
            <w:tcW w:w="1129" w:type="dxa"/>
            <w:shd w:val="clear" w:color="auto" w:fill="auto"/>
          </w:tcPr>
          <w:p w14:paraId="400B55A5" w14:textId="77777777" w:rsidR="005372C5" w:rsidRPr="00834990" w:rsidRDefault="005372C5" w:rsidP="00086B6B">
            <w:pPr>
              <w:rPr>
                <w:rFonts w:asciiTheme="minorHAnsi" w:hAnsiTheme="minorHAnsi"/>
                <w:szCs w:val="22"/>
              </w:rPr>
            </w:pPr>
            <w:r w:rsidRPr="00834990">
              <w:rPr>
                <w:rFonts w:asciiTheme="minorHAnsi" w:hAnsiTheme="minorHAnsi"/>
                <w:szCs w:val="22"/>
              </w:rPr>
              <w:t>1.1</w:t>
            </w:r>
          </w:p>
        </w:tc>
        <w:tc>
          <w:tcPr>
            <w:tcW w:w="4111" w:type="dxa"/>
          </w:tcPr>
          <w:p w14:paraId="0DE17B61" w14:textId="77777777" w:rsidR="005372C5" w:rsidRPr="00834990" w:rsidRDefault="00834990" w:rsidP="005372C5">
            <w:pPr>
              <w:pStyle w:val="Default"/>
              <w:rPr>
                <w:rFonts w:asciiTheme="minorHAnsi" w:hAnsiTheme="minorHAnsi"/>
                <w:i/>
                <w:sz w:val="22"/>
                <w:szCs w:val="22"/>
              </w:rPr>
            </w:pPr>
            <w:r w:rsidRPr="00834990">
              <w:rPr>
                <w:rFonts w:asciiTheme="minorHAnsi" w:hAnsiTheme="minorHAnsi"/>
                <w:i/>
                <w:sz w:val="22"/>
                <w:szCs w:val="22"/>
              </w:rPr>
              <w:t>F</w:t>
            </w:r>
            <w:r w:rsidR="005372C5" w:rsidRPr="00834990">
              <w:rPr>
                <w:rFonts w:asciiTheme="minorHAnsi" w:hAnsiTheme="minorHAnsi"/>
                <w:i/>
                <w:sz w:val="22"/>
                <w:szCs w:val="22"/>
              </w:rPr>
              <w:t>orhold omkring strandbeskyttelseslinjen</w:t>
            </w:r>
          </w:p>
          <w:p w14:paraId="1E46E2F3" w14:textId="77777777" w:rsidR="005372C5" w:rsidRPr="00834990" w:rsidRDefault="005372C5" w:rsidP="005372C5">
            <w:pPr>
              <w:pStyle w:val="Default"/>
              <w:rPr>
                <w:rFonts w:asciiTheme="minorHAnsi" w:hAnsiTheme="minorHAnsi"/>
                <w:sz w:val="22"/>
                <w:szCs w:val="22"/>
              </w:rPr>
            </w:pPr>
          </w:p>
          <w:p w14:paraId="207D4C49" w14:textId="77777777" w:rsidR="005372C5" w:rsidRPr="00834990" w:rsidRDefault="005372C5" w:rsidP="00834990">
            <w:pPr>
              <w:pStyle w:val="Default"/>
              <w:rPr>
                <w:rFonts w:asciiTheme="minorHAnsi" w:hAnsiTheme="minorHAnsi"/>
                <w:sz w:val="22"/>
                <w:szCs w:val="22"/>
              </w:rPr>
            </w:pPr>
            <w:r w:rsidRPr="00834990">
              <w:rPr>
                <w:rFonts w:asciiTheme="minorHAnsi" w:hAnsiTheme="minorHAnsi"/>
                <w:sz w:val="22"/>
                <w:szCs w:val="22"/>
              </w:rPr>
              <w:t>Kommuner har oplevet flere projekter, der placeres inden for kystbeskyttelseslinjen på inddigede arealer helt op ad kystdiget, hvor eksisterende pumpedræn kan ændres, så de leder drænene gennem et minivådområde før udløb til havet. I nogle tilfælde udmærkede projekter, som ikke skæmmer kystlandskabet yderligere end det i forvejen anlagte kystdige. Kystdirektoratet har givet afslag på dispensation fra kystbeskyttelseslinjen, men i ét tilfælde har Miljø- og Fødevareklagenævnet hjemvist det til ny behandling i direktoratet efter at have afgjort, at minivådområdet er så samfundsvigtigt, at det kan falde inden for dispensationsbeføjelsen, hvorefter projektet fik dispensation. Efterfølgende har Kystdirektoratet givet afslag til lignende projekt, fordi de ikke mener, at den første sag skal danne præcedens. KL opfordrer til, at staten arbejder for, at der kommer større gennemsigtighed i forhold til, hvad retningslinjerne for kommunernes myndighedsbetjening er.</w:t>
            </w:r>
          </w:p>
        </w:tc>
        <w:tc>
          <w:tcPr>
            <w:tcW w:w="4105" w:type="dxa"/>
          </w:tcPr>
          <w:p w14:paraId="01E4555B" w14:textId="77777777" w:rsidR="005372C5" w:rsidRDefault="005372C5" w:rsidP="00086B6B">
            <w:pPr>
              <w:rPr>
                <w:b/>
              </w:rPr>
            </w:pPr>
            <w:r w:rsidRPr="005372C5">
              <w:rPr>
                <w:b/>
              </w:rPr>
              <w:t xml:space="preserve">Bemærkningen giver ikke anledning til ændringer </w:t>
            </w:r>
            <w:r w:rsidR="000E1C73">
              <w:rPr>
                <w:b/>
              </w:rPr>
              <w:t>i bekendtgørelsen</w:t>
            </w:r>
            <w:r w:rsidRPr="005372C5">
              <w:rPr>
                <w:b/>
              </w:rPr>
              <w:t>:</w:t>
            </w:r>
          </w:p>
          <w:p w14:paraId="2FAB2674" w14:textId="77777777" w:rsidR="000E1C73" w:rsidRDefault="000E1C73" w:rsidP="00086B6B">
            <w:pPr>
              <w:rPr>
                <w:b/>
              </w:rPr>
            </w:pPr>
          </w:p>
          <w:p w14:paraId="53EEF1EE" w14:textId="77777777" w:rsidR="000E1C73" w:rsidRPr="000E1C73" w:rsidRDefault="000E1C73" w:rsidP="00086B6B">
            <w:r>
              <w:t>Landbrugsstyrelsen henviser til Miljøministeriet</w:t>
            </w:r>
            <w:r w:rsidR="0056270F">
              <w:t>,</w:t>
            </w:r>
            <w:r>
              <w:t xml:space="preserve"> idet regler om strandbeskyttelseslinjen ikke er Landbrugsstyrelsens ressort. </w:t>
            </w:r>
          </w:p>
        </w:tc>
      </w:tr>
      <w:tr w:rsidR="005372C5" w14:paraId="25986B90" w14:textId="77777777" w:rsidTr="000C3E32">
        <w:tc>
          <w:tcPr>
            <w:tcW w:w="1129" w:type="dxa"/>
            <w:shd w:val="clear" w:color="auto" w:fill="auto"/>
          </w:tcPr>
          <w:p w14:paraId="4D4E6357" w14:textId="77777777" w:rsidR="005372C5" w:rsidRPr="00834990" w:rsidRDefault="005372C5" w:rsidP="00086B6B">
            <w:pPr>
              <w:rPr>
                <w:rFonts w:asciiTheme="minorHAnsi" w:hAnsiTheme="minorHAnsi"/>
                <w:szCs w:val="22"/>
              </w:rPr>
            </w:pPr>
            <w:r w:rsidRPr="00834990">
              <w:rPr>
                <w:rFonts w:asciiTheme="minorHAnsi" w:hAnsiTheme="minorHAnsi"/>
                <w:szCs w:val="22"/>
              </w:rPr>
              <w:lastRenderedPageBreak/>
              <w:t>1.2</w:t>
            </w:r>
          </w:p>
        </w:tc>
        <w:tc>
          <w:tcPr>
            <w:tcW w:w="4111" w:type="dxa"/>
          </w:tcPr>
          <w:p w14:paraId="5345F0D9" w14:textId="77777777" w:rsidR="00BB6A43" w:rsidRPr="00834990" w:rsidRDefault="00834990" w:rsidP="00086B6B">
            <w:pPr>
              <w:rPr>
                <w:rFonts w:asciiTheme="minorHAnsi" w:hAnsiTheme="minorHAnsi"/>
                <w:i/>
                <w:szCs w:val="22"/>
              </w:rPr>
            </w:pPr>
            <w:r w:rsidRPr="00834990">
              <w:rPr>
                <w:rFonts w:asciiTheme="minorHAnsi" w:hAnsiTheme="minorHAnsi"/>
                <w:i/>
                <w:szCs w:val="22"/>
              </w:rPr>
              <w:t>B</w:t>
            </w:r>
            <w:r w:rsidR="00BB6A43" w:rsidRPr="00834990">
              <w:rPr>
                <w:rFonts w:asciiTheme="minorHAnsi" w:hAnsiTheme="minorHAnsi"/>
                <w:i/>
                <w:szCs w:val="22"/>
              </w:rPr>
              <w:t>ilag 1 og 6</w:t>
            </w:r>
            <w:r w:rsidRPr="00834990">
              <w:rPr>
                <w:rFonts w:asciiTheme="minorHAnsi" w:hAnsiTheme="minorHAnsi"/>
                <w:i/>
                <w:szCs w:val="22"/>
              </w:rPr>
              <w:t xml:space="preserve"> er ikke en del af høringen</w:t>
            </w:r>
          </w:p>
          <w:p w14:paraId="3D35926B" w14:textId="77777777" w:rsidR="00BB6A43" w:rsidRPr="00834990" w:rsidRDefault="00BB6A43" w:rsidP="00086B6B">
            <w:pPr>
              <w:rPr>
                <w:rFonts w:asciiTheme="minorHAnsi" w:hAnsiTheme="minorHAnsi"/>
                <w:szCs w:val="22"/>
              </w:rPr>
            </w:pPr>
          </w:p>
          <w:p w14:paraId="4B3EE7B1" w14:textId="77777777" w:rsidR="005372C5" w:rsidRPr="00834990" w:rsidRDefault="005372C5" w:rsidP="00086B6B">
            <w:pPr>
              <w:rPr>
                <w:rFonts w:asciiTheme="minorHAnsi" w:hAnsiTheme="minorHAnsi"/>
                <w:szCs w:val="22"/>
              </w:rPr>
            </w:pPr>
            <w:r w:rsidRPr="00834990">
              <w:rPr>
                <w:rFonts w:asciiTheme="minorHAnsi" w:hAnsiTheme="minorHAnsi"/>
                <w:szCs w:val="22"/>
              </w:rPr>
              <w:t>KL finder det beklageligt, at bilag 1 om kvælstofindsatsbehov for minivådom-råder og bilag 6 om udpegningskortet for minivådområder ikke er med i hø-ringen, da bilagene først forventes at ligge klar efter høringsperioden. Kom-munerne har haft en del rettelser til bilag 6 de senere par år, så det ville være formålstjenesteligt, hvis KL og kommunerne havde haft mulighed for at se, hvilke kort der kom ud i den her runde sammen med høringen af be-kendtgørelsen.</w:t>
            </w:r>
          </w:p>
        </w:tc>
        <w:tc>
          <w:tcPr>
            <w:tcW w:w="4105" w:type="dxa"/>
          </w:tcPr>
          <w:p w14:paraId="474B3C74" w14:textId="77777777" w:rsidR="005372C5" w:rsidRDefault="005372C5" w:rsidP="00086B6B">
            <w:pPr>
              <w:rPr>
                <w:b/>
              </w:rPr>
            </w:pPr>
            <w:r w:rsidRPr="005372C5">
              <w:rPr>
                <w:b/>
              </w:rPr>
              <w:t>Bemærkningen giver ikke anledning til ændring</w:t>
            </w:r>
            <w:r w:rsidR="00172BAD">
              <w:rPr>
                <w:b/>
              </w:rPr>
              <w:t>er i bekendtgørelsen</w:t>
            </w:r>
            <w:r w:rsidRPr="005372C5">
              <w:rPr>
                <w:b/>
              </w:rPr>
              <w:t>:</w:t>
            </w:r>
          </w:p>
          <w:p w14:paraId="2C5B0F19" w14:textId="77777777" w:rsidR="000E1C73" w:rsidRDefault="000E1C73" w:rsidP="00086B6B">
            <w:pPr>
              <w:rPr>
                <w:b/>
              </w:rPr>
            </w:pPr>
          </w:p>
          <w:p w14:paraId="3C5F0D92" w14:textId="77777777" w:rsidR="000E1C73" w:rsidRDefault="000E1C73" w:rsidP="00086B6B">
            <w:r>
              <w:t xml:space="preserve">Landbrugsstyrelsen tager bemærkningen til efterretning. Der gøres samtidig opmærksom på, at udpegningskortet har været tilgængeligt på MiljøGIS siden januar. Der er ikke lavet ændringer i kortet, bortset fra de arealer der er frigivet af kommunerne inden ansøgningsrunden. </w:t>
            </w:r>
          </w:p>
        </w:tc>
      </w:tr>
      <w:tr w:rsidR="005372C5" w14:paraId="367AA982" w14:textId="77777777" w:rsidTr="000C3E32">
        <w:tc>
          <w:tcPr>
            <w:tcW w:w="1129" w:type="dxa"/>
            <w:shd w:val="clear" w:color="auto" w:fill="auto"/>
          </w:tcPr>
          <w:p w14:paraId="63633EC3" w14:textId="77777777" w:rsidR="005372C5" w:rsidRPr="00834990" w:rsidRDefault="00FA052B" w:rsidP="00086B6B">
            <w:pPr>
              <w:rPr>
                <w:rFonts w:asciiTheme="minorHAnsi" w:hAnsiTheme="minorHAnsi"/>
                <w:szCs w:val="22"/>
              </w:rPr>
            </w:pPr>
            <w:r>
              <w:rPr>
                <w:rFonts w:asciiTheme="minorHAnsi" w:hAnsiTheme="minorHAnsi"/>
                <w:szCs w:val="22"/>
              </w:rPr>
              <w:t>1.3</w:t>
            </w:r>
          </w:p>
        </w:tc>
        <w:tc>
          <w:tcPr>
            <w:tcW w:w="4111" w:type="dxa"/>
          </w:tcPr>
          <w:p w14:paraId="716BBBAB" w14:textId="77777777" w:rsidR="00BB6A43" w:rsidRPr="00834990" w:rsidRDefault="00834990" w:rsidP="00086B6B">
            <w:pPr>
              <w:rPr>
                <w:rFonts w:asciiTheme="minorHAnsi" w:hAnsiTheme="minorHAnsi"/>
                <w:i/>
                <w:szCs w:val="22"/>
              </w:rPr>
            </w:pPr>
            <w:r w:rsidRPr="00834990">
              <w:rPr>
                <w:rFonts w:asciiTheme="minorHAnsi" w:hAnsiTheme="minorHAnsi"/>
                <w:i/>
                <w:iCs/>
                <w:szCs w:val="22"/>
              </w:rPr>
              <w:t>Ansøgning om tilsagn om tilskud - §</w:t>
            </w:r>
            <w:r w:rsidR="00CA61FE">
              <w:rPr>
                <w:rFonts w:asciiTheme="minorHAnsi" w:hAnsiTheme="minorHAnsi"/>
                <w:i/>
                <w:iCs/>
                <w:szCs w:val="22"/>
              </w:rPr>
              <w:t xml:space="preserve"> </w:t>
            </w:r>
            <w:r w:rsidRPr="00834990">
              <w:rPr>
                <w:rFonts w:asciiTheme="minorHAnsi" w:hAnsiTheme="minorHAnsi"/>
                <w:i/>
                <w:iCs/>
                <w:szCs w:val="22"/>
              </w:rPr>
              <w:t xml:space="preserve">6, stk. 3, </w:t>
            </w:r>
            <w:r w:rsidR="0056270F">
              <w:rPr>
                <w:rFonts w:asciiTheme="minorHAnsi" w:hAnsiTheme="minorHAnsi"/>
                <w:i/>
                <w:iCs/>
                <w:szCs w:val="22"/>
              </w:rPr>
              <w:t xml:space="preserve">nr. </w:t>
            </w:r>
            <w:r w:rsidRPr="00834990">
              <w:rPr>
                <w:rFonts w:asciiTheme="minorHAnsi" w:hAnsiTheme="minorHAnsi"/>
                <w:i/>
                <w:iCs/>
                <w:szCs w:val="22"/>
              </w:rPr>
              <w:t>4)</w:t>
            </w:r>
          </w:p>
          <w:p w14:paraId="4D0B807D" w14:textId="77777777" w:rsidR="00834990" w:rsidRPr="00834990" w:rsidRDefault="00834990" w:rsidP="00086B6B">
            <w:pPr>
              <w:rPr>
                <w:rFonts w:asciiTheme="minorHAnsi" w:hAnsiTheme="minorHAnsi"/>
                <w:szCs w:val="22"/>
              </w:rPr>
            </w:pPr>
          </w:p>
          <w:p w14:paraId="4D4D0E81" w14:textId="77777777" w:rsidR="005372C5" w:rsidRDefault="005372C5" w:rsidP="00172BAD">
            <w:pPr>
              <w:rPr>
                <w:rFonts w:asciiTheme="minorHAnsi" w:hAnsiTheme="minorHAnsi"/>
                <w:szCs w:val="22"/>
              </w:rPr>
            </w:pPr>
            <w:r w:rsidRPr="00834990">
              <w:rPr>
                <w:rFonts w:asciiTheme="minorHAnsi" w:hAnsiTheme="minorHAnsi"/>
                <w:szCs w:val="22"/>
              </w:rPr>
              <w:t>KL kunne godt ønske sig, at lodsejerens koordinering med kommunerne forud for ansøgning skulle være mere forpligtigende og omfattende, end der lægges op til i bekendtgørelsen. Det skaber basis for misforståelser og konflikter, at kommunerne alene skal forholde sig til, om placeringen af det ansøgte projekt forventes at forringe effekten af et vådområdeprojekt eller lavbundsprojekt. Der kan være andre forhold, der gør, at kommunen ikke kan give tilladelse, som kan betyde, at kommunen er nødt til at bremse projektet efter ansøgning.</w:t>
            </w:r>
          </w:p>
          <w:p w14:paraId="20325590" w14:textId="77777777" w:rsidR="00172BAD" w:rsidRPr="00834990" w:rsidRDefault="00172BAD" w:rsidP="00172BAD">
            <w:pPr>
              <w:rPr>
                <w:rFonts w:asciiTheme="minorHAnsi" w:hAnsiTheme="minorHAnsi"/>
                <w:szCs w:val="22"/>
              </w:rPr>
            </w:pPr>
          </w:p>
        </w:tc>
        <w:tc>
          <w:tcPr>
            <w:tcW w:w="4105" w:type="dxa"/>
          </w:tcPr>
          <w:p w14:paraId="460941F7" w14:textId="77777777" w:rsidR="005372C5" w:rsidRDefault="005372C5" w:rsidP="00086B6B">
            <w:pPr>
              <w:rPr>
                <w:b/>
              </w:rPr>
            </w:pPr>
            <w:r w:rsidRPr="005372C5">
              <w:rPr>
                <w:b/>
              </w:rPr>
              <w:t xml:space="preserve">Bemærkningen giver ikke anledning til ændringer </w:t>
            </w:r>
            <w:r w:rsidR="000E1C73">
              <w:rPr>
                <w:b/>
              </w:rPr>
              <w:t>i bekendtgørelsen</w:t>
            </w:r>
            <w:r w:rsidRPr="005372C5">
              <w:rPr>
                <w:b/>
              </w:rPr>
              <w:t>:</w:t>
            </w:r>
          </w:p>
          <w:p w14:paraId="6C347399" w14:textId="77777777" w:rsidR="000E1C73" w:rsidRDefault="000E1C73" w:rsidP="00086B6B">
            <w:pPr>
              <w:rPr>
                <w:b/>
              </w:rPr>
            </w:pPr>
          </w:p>
          <w:p w14:paraId="3343B0BD" w14:textId="77777777" w:rsidR="008A55A5" w:rsidRDefault="000E1C73" w:rsidP="008A55A5">
            <w:r w:rsidRPr="000E1C73">
              <w:t>Landbru</w:t>
            </w:r>
            <w:r>
              <w:t>gsstyrelsen tager bemærkningen til efterretning. Landbrugsstyrelsen bifalder forudgående dialog mellem ansøger/oplandskonsulent og kommune</w:t>
            </w:r>
            <w:r w:rsidR="008A55A5">
              <w:t>.</w:t>
            </w:r>
          </w:p>
          <w:p w14:paraId="46E01BC0" w14:textId="77777777" w:rsidR="008A55A5" w:rsidRDefault="008A55A5" w:rsidP="008A55A5"/>
          <w:p w14:paraId="1E956D78" w14:textId="4442AD5C" w:rsidR="008A55A5" w:rsidRDefault="008A55A5">
            <w:r>
              <w:t>Det bemærkes dog, at det generelt alene er et krav for EU-støtte, at nødvendige myndighedstilladelser foreligger på udbetalingstidspunktet.</w:t>
            </w:r>
            <w:r w:rsidR="000E1C73">
              <w:t xml:space="preserve"> </w:t>
            </w:r>
            <w:r>
              <w:t>Dette skyldes et generelt hensyn til, at ansøgere ikke skal bruge tid og ressourcer på myndighedssagsbehandling, før de har sikkerhed for, at de kan opnå tilskud til deres projekt.</w:t>
            </w:r>
          </w:p>
          <w:p w14:paraId="65954A77" w14:textId="77777777" w:rsidR="008A55A5" w:rsidRDefault="008A55A5"/>
          <w:p w14:paraId="2B56A813" w14:textId="77777777" w:rsidR="000E1C73" w:rsidRPr="000E1C73" w:rsidRDefault="008A55A5">
            <w:r>
              <w:t>På den baggrund ser styrelsen for</w:t>
            </w:r>
            <w:r w:rsidR="000E1C73">
              <w:t xml:space="preserve"> nuværende ikke</w:t>
            </w:r>
            <w:r>
              <w:t xml:space="preserve"> grundlag for at</w:t>
            </w:r>
            <w:r w:rsidR="000E1C73">
              <w:t xml:space="preserve"> implementer</w:t>
            </w:r>
            <w:r w:rsidR="003B1034">
              <w:t>e</w:t>
            </w:r>
            <w:r>
              <w:t xml:space="preserve"> særskilte krav om</w:t>
            </w:r>
            <w:r w:rsidR="000E1C73">
              <w:t xml:space="preserve"> en mere forpligtigende og omfattende koordinering forud for ansøgningsrunden. </w:t>
            </w:r>
          </w:p>
        </w:tc>
      </w:tr>
      <w:tr w:rsidR="005372C5" w14:paraId="521C9E1B" w14:textId="77777777" w:rsidTr="000C3E32">
        <w:tc>
          <w:tcPr>
            <w:tcW w:w="1129" w:type="dxa"/>
            <w:shd w:val="clear" w:color="auto" w:fill="auto"/>
          </w:tcPr>
          <w:p w14:paraId="1AC5BA71" w14:textId="77777777" w:rsidR="005372C5" w:rsidRPr="00834990" w:rsidRDefault="00FA052B" w:rsidP="00086B6B">
            <w:pPr>
              <w:rPr>
                <w:rFonts w:asciiTheme="minorHAnsi" w:hAnsiTheme="minorHAnsi"/>
                <w:szCs w:val="22"/>
              </w:rPr>
            </w:pPr>
            <w:r>
              <w:rPr>
                <w:rFonts w:asciiTheme="minorHAnsi" w:hAnsiTheme="minorHAnsi"/>
                <w:szCs w:val="22"/>
              </w:rPr>
              <w:t>1.4</w:t>
            </w:r>
          </w:p>
        </w:tc>
        <w:tc>
          <w:tcPr>
            <w:tcW w:w="4111" w:type="dxa"/>
          </w:tcPr>
          <w:p w14:paraId="2E8E4F34" w14:textId="77777777" w:rsidR="005372C5" w:rsidRPr="00834990" w:rsidRDefault="00BB6A43" w:rsidP="00086B6B">
            <w:pPr>
              <w:rPr>
                <w:rFonts w:asciiTheme="minorHAnsi" w:hAnsiTheme="minorHAnsi"/>
                <w:i/>
                <w:iCs/>
                <w:szCs w:val="22"/>
              </w:rPr>
            </w:pPr>
            <w:r w:rsidRPr="00834990">
              <w:rPr>
                <w:rFonts w:asciiTheme="minorHAnsi" w:hAnsiTheme="minorHAnsi"/>
                <w:i/>
                <w:iCs/>
                <w:szCs w:val="22"/>
              </w:rPr>
              <w:t>Kriterier for støtteberettigelse - §</w:t>
            </w:r>
            <w:r w:rsidR="0056270F">
              <w:rPr>
                <w:rFonts w:asciiTheme="minorHAnsi" w:hAnsiTheme="minorHAnsi"/>
                <w:i/>
                <w:iCs/>
                <w:szCs w:val="22"/>
              </w:rPr>
              <w:t xml:space="preserve"> </w:t>
            </w:r>
            <w:r w:rsidRPr="00834990">
              <w:rPr>
                <w:rFonts w:asciiTheme="minorHAnsi" w:hAnsiTheme="minorHAnsi"/>
                <w:i/>
                <w:iCs/>
                <w:szCs w:val="22"/>
              </w:rPr>
              <w:t>9, stk. 10</w:t>
            </w:r>
          </w:p>
          <w:p w14:paraId="248142AD" w14:textId="77777777" w:rsidR="00BB6A43" w:rsidRPr="00834990" w:rsidRDefault="00BB6A43" w:rsidP="00086B6B">
            <w:pPr>
              <w:rPr>
                <w:rFonts w:asciiTheme="minorHAnsi" w:hAnsiTheme="minorHAnsi"/>
                <w:i/>
                <w:iCs/>
                <w:szCs w:val="22"/>
              </w:rPr>
            </w:pPr>
          </w:p>
          <w:p w14:paraId="0DE7B6F3" w14:textId="77777777" w:rsidR="00BB6A43" w:rsidRPr="00834990" w:rsidRDefault="00BB6A43" w:rsidP="00BB6A43">
            <w:pPr>
              <w:rPr>
                <w:rFonts w:asciiTheme="minorHAnsi" w:hAnsiTheme="minorHAnsi"/>
                <w:iCs/>
                <w:szCs w:val="22"/>
              </w:rPr>
            </w:pPr>
            <w:r w:rsidRPr="00834990">
              <w:rPr>
                <w:rFonts w:asciiTheme="minorHAnsi" w:hAnsiTheme="minorHAnsi"/>
                <w:iCs/>
                <w:szCs w:val="22"/>
              </w:rPr>
              <w:t>I udkastet står følgende: ”</w:t>
            </w:r>
            <w:r w:rsidRPr="00834990">
              <w:rPr>
                <w:rFonts w:asciiTheme="minorHAnsi" w:hAnsiTheme="minorHAnsi"/>
                <w:i/>
                <w:iCs/>
                <w:szCs w:val="22"/>
              </w:rPr>
              <w:t xml:space="preserve">Drænoplandet til minivådområdet er drænet og der er identificeret et hoveddræn, der leder til </w:t>
            </w:r>
            <w:proofErr w:type="gramStart"/>
            <w:r w:rsidRPr="00834990">
              <w:rPr>
                <w:rFonts w:asciiTheme="minorHAnsi" w:hAnsiTheme="minorHAnsi"/>
                <w:i/>
                <w:iCs/>
                <w:szCs w:val="22"/>
              </w:rPr>
              <w:t>minivådområdet.</w:t>
            </w:r>
            <w:r w:rsidRPr="00834990">
              <w:rPr>
                <w:rFonts w:asciiTheme="minorHAnsi" w:hAnsiTheme="minorHAnsi"/>
                <w:iCs/>
                <w:szCs w:val="22"/>
              </w:rPr>
              <w:t>”</w:t>
            </w:r>
            <w:proofErr w:type="gramEnd"/>
            <w:r w:rsidR="008B6E79">
              <w:rPr>
                <w:rFonts w:asciiTheme="minorHAnsi" w:hAnsiTheme="minorHAnsi"/>
                <w:iCs/>
                <w:szCs w:val="22"/>
              </w:rPr>
              <w:t>.</w:t>
            </w:r>
            <w:r w:rsidRPr="00834990">
              <w:rPr>
                <w:rFonts w:asciiTheme="minorHAnsi" w:hAnsiTheme="minorHAnsi"/>
                <w:iCs/>
                <w:szCs w:val="22"/>
              </w:rPr>
              <w:t xml:space="preserve"> Kommuner oplever </w:t>
            </w:r>
            <w:r w:rsidRPr="00834990">
              <w:rPr>
                <w:rFonts w:asciiTheme="minorHAnsi" w:hAnsiTheme="minorHAnsi"/>
                <w:iCs/>
                <w:szCs w:val="22"/>
              </w:rPr>
              <w:lastRenderedPageBreak/>
              <w:t>at få ansøgninger, hvor lodsejere tager åbne vandløb som deres hoveddræn, det mener KL ikke umiddelbart er formålet, når man læser sætningen. KL foreslår derfor, at teksten udspecificeres med hoveddræn og dræn, så man undgår disse misforståelser.</w:t>
            </w:r>
          </w:p>
          <w:p w14:paraId="0D62426D" w14:textId="77777777" w:rsidR="00BB6A43" w:rsidRPr="00834990" w:rsidRDefault="00BB6A43" w:rsidP="00086B6B">
            <w:pPr>
              <w:rPr>
                <w:rFonts w:asciiTheme="minorHAnsi" w:hAnsiTheme="minorHAnsi"/>
                <w:szCs w:val="22"/>
              </w:rPr>
            </w:pPr>
          </w:p>
        </w:tc>
        <w:tc>
          <w:tcPr>
            <w:tcW w:w="4105" w:type="dxa"/>
          </w:tcPr>
          <w:p w14:paraId="0D9B0147" w14:textId="77777777" w:rsidR="005372C5" w:rsidRDefault="006F6E60" w:rsidP="00086B6B">
            <w:pPr>
              <w:rPr>
                <w:b/>
              </w:rPr>
            </w:pPr>
            <w:r>
              <w:rPr>
                <w:b/>
              </w:rPr>
              <w:lastRenderedPageBreak/>
              <w:t>Bemærkningen giver ikke</w:t>
            </w:r>
            <w:r w:rsidR="005372C5" w:rsidRPr="005372C5">
              <w:rPr>
                <w:b/>
              </w:rPr>
              <w:t xml:space="preserve"> anledning til ændringer </w:t>
            </w:r>
            <w:r>
              <w:rPr>
                <w:b/>
              </w:rPr>
              <w:t>i bekendtgørelsen</w:t>
            </w:r>
            <w:r w:rsidR="005372C5" w:rsidRPr="005372C5">
              <w:rPr>
                <w:b/>
              </w:rPr>
              <w:t>:</w:t>
            </w:r>
          </w:p>
          <w:p w14:paraId="0E8CC4AE" w14:textId="77777777" w:rsidR="006F6E60" w:rsidRDefault="006F6E60" w:rsidP="00086B6B">
            <w:pPr>
              <w:rPr>
                <w:b/>
              </w:rPr>
            </w:pPr>
          </w:p>
          <w:p w14:paraId="4962106A" w14:textId="77777777" w:rsidR="006F6E60" w:rsidRPr="006F6E60" w:rsidRDefault="006F6E60" w:rsidP="00086B6B">
            <w:r>
              <w:t>Landbrugsstyrelsen vil undersøge</w:t>
            </w:r>
            <w:r w:rsidR="0056270F">
              <w:t>,</w:t>
            </w:r>
            <w:r>
              <w:t xml:space="preserve"> om der er behov for bedre fagligt grundlag eller vejledning om dette til fremtidige ansøgningsrunder. </w:t>
            </w:r>
          </w:p>
        </w:tc>
      </w:tr>
      <w:tr w:rsidR="005372C5" w14:paraId="4FD943B6" w14:textId="77777777" w:rsidTr="000C3E32">
        <w:tc>
          <w:tcPr>
            <w:tcW w:w="1129" w:type="dxa"/>
            <w:shd w:val="clear" w:color="auto" w:fill="auto"/>
          </w:tcPr>
          <w:p w14:paraId="2EEA455B" w14:textId="77777777" w:rsidR="005372C5" w:rsidRPr="00834990" w:rsidRDefault="00FA052B" w:rsidP="00086B6B">
            <w:pPr>
              <w:rPr>
                <w:rFonts w:asciiTheme="minorHAnsi" w:hAnsiTheme="minorHAnsi"/>
                <w:szCs w:val="22"/>
              </w:rPr>
            </w:pPr>
            <w:r>
              <w:rPr>
                <w:rFonts w:asciiTheme="minorHAnsi" w:hAnsiTheme="minorHAnsi"/>
                <w:szCs w:val="22"/>
              </w:rPr>
              <w:t>1.5</w:t>
            </w:r>
          </w:p>
        </w:tc>
        <w:tc>
          <w:tcPr>
            <w:tcW w:w="4111" w:type="dxa"/>
          </w:tcPr>
          <w:p w14:paraId="6C737BD6" w14:textId="77777777" w:rsidR="005372C5" w:rsidRPr="00834990" w:rsidRDefault="00BB6A43" w:rsidP="00086B6B">
            <w:pPr>
              <w:rPr>
                <w:rFonts w:asciiTheme="minorHAnsi" w:hAnsiTheme="minorHAnsi"/>
                <w:i/>
                <w:iCs/>
                <w:szCs w:val="22"/>
              </w:rPr>
            </w:pPr>
            <w:r w:rsidRPr="00834990">
              <w:rPr>
                <w:rFonts w:asciiTheme="minorHAnsi" w:hAnsiTheme="minorHAnsi"/>
                <w:i/>
                <w:iCs/>
                <w:szCs w:val="22"/>
              </w:rPr>
              <w:t>Kriterier for støtteberettigelse - §</w:t>
            </w:r>
            <w:r w:rsidR="0056270F">
              <w:rPr>
                <w:rFonts w:asciiTheme="minorHAnsi" w:hAnsiTheme="minorHAnsi"/>
                <w:i/>
                <w:iCs/>
                <w:szCs w:val="22"/>
              </w:rPr>
              <w:t xml:space="preserve"> </w:t>
            </w:r>
            <w:r w:rsidRPr="00834990">
              <w:rPr>
                <w:rFonts w:asciiTheme="minorHAnsi" w:hAnsiTheme="minorHAnsi"/>
                <w:i/>
                <w:iCs/>
                <w:szCs w:val="22"/>
              </w:rPr>
              <w:t>9, stk. 16</w:t>
            </w:r>
          </w:p>
          <w:p w14:paraId="2562C165" w14:textId="77777777" w:rsidR="00BB6A43" w:rsidRPr="00834990" w:rsidRDefault="00BB6A43" w:rsidP="00086B6B">
            <w:pPr>
              <w:rPr>
                <w:rFonts w:asciiTheme="minorHAnsi" w:hAnsiTheme="minorHAnsi"/>
                <w:i/>
                <w:iCs/>
                <w:szCs w:val="22"/>
              </w:rPr>
            </w:pPr>
          </w:p>
          <w:p w14:paraId="58A214E2" w14:textId="77777777" w:rsidR="00BB6A43" w:rsidRPr="00834990" w:rsidRDefault="00BB6A43" w:rsidP="00BB6A43">
            <w:pPr>
              <w:rPr>
                <w:rFonts w:asciiTheme="minorHAnsi" w:hAnsiTheme="minorHAnsi"/>
                <w:iCs/>
                <w:szCs w:val="22"/>
              </w:rPr>
            </w:pPr>
            <w:r w:rsidRPr="00834990">
              <w:rPr>
                <w:rFonts w:asciiTheme="minorHAnsi" w:hAnsiTheme="minorHAnsi"/>
                <w:iCs/>
                <w:szCs w:val="22"/>
              </w:rPr>
              <w:t>I udkastet står følgende: ”</w:t>
            </w:r>
            <w:r w:rsidRPr="00834990">
              <w:rPr>
                <w:rFonts w:asciiTheme="minorHAnsi" w:hAnsiTheme="minorHAnsi"/>
                <w:i/>
                <w:iCs/>
                <w:szCs w:val="22"/>
              </w:rPr>
              <w:t xml:space="preserve">Projektarealet er ikke beliggende på et areal, hvor der har været udført en forundersøgelse under et af landdistriktsprogrammerne til projekter om vådområder, lavbundsområder, naturlige vandstandsforhold, medmindre ansøger kan godtgøre, at projekt til etablering ikke kan eller vil </w:t>
            </w:r>
            <w:proofErr w:type="gramStart"/>
            <w:r w:rsidRPr="00834990">
              <w:rPr>
                <w:rFonts w:asciiTheme="minorHAnsi" w:hAnsiTheme="minorHAnsi"/>
                <w:i/>
                <w:iCs/>
                <w:szCs w:val="22"/>
              </w:rPr>
              <w:t>gennemføres</w:t>
            </w:r>
            <w:r w:rsidRPr="00834990">
              <w:rPr>
                <w:rFonts w:asciiTheme="minorHAnsi" w:hAnsiTheme="minorHAnsi"/>
                <w:iCs/>
                <w:szCs w:val="22"/>
              </w:rPr>
              <w:t>.”</w:t>
            </w:r>
            <w:proofErr w:type="gramEnd"/>
            <w:r w:rsidR="008B6E79">
              <w:rPr>
                <w:rFonts w:asciiTheme="minorHAnsi" w:hAnsiTheme="minorHAnsi"/>
                <w:iCs/>
                <w:szCs w:val="22"/>
              </w:rPr>
              <w:t>.</w:t>
            </w:r>
            <w:r w:rsidRPr="00834990">
              <w:rPr>
                <w:rFonts w:asciiTheme="minorHAnsi" w:hAnsiTheme="minorHAnsi"/>
                <w:iCs/>
                <w:szCs w:val="22"/>
              </w:rPr>
              <w:t xml:space="preserve"> Hvordan godtgøres det? Skal lodsejeren høre kommunerne eller Naturstyrelse</w:t>
            </w:r>
            <w:r w:rsidR="0056270F">
              <w:rPr>
                <w:rFonts w:asciiTheme="minorHAnsi" w:hAnsiTheme="minorHAnsi"/>
                <w:iCs/>
                <w:szCs w:val="22"/>
              </w:rPr>
              <w:t>n</w:t>
            </w:r>
            <w:r w:rsidRPr="00834990">
              <w:rPr>
                <w:rFonts w:asciiTheme="minorHAnsi" w:hAnsiTheme="minorHAnsi"/>
                <w:iCs/>
                <w:szCs w:val="22"/>
              </w:rPr>
              <w:t>, som er projektansvarlige, eller har Landbrugsstyrelsen selv disse oplysninger? KL foreslår, at dette præciseres.</w:t>
            </w:r>
          </w:p>
          <w:p w14:paraId="5D081018" w14:textId="77777777" w:rsidR="00BB6A43" w:rsidRPr="00834990" w:rsidRDefault="00BB6A43" w:rsidP="00086B6B">
            <w:pPr>
              <w:rPr>
                <w:rFonts w:asciiTheme="minorHAnsi" w:hAnsiTheme="minorHAnsi"/>
                <w:szCs w:val="22"/>
              </w:rPr>
            </w:pPr>
          </w:p>
        </w:tc>
        <w:tc>
          <w:tcPr>
            <w:tcW w:w="4105" w:type="dxa"/>
          </w:tcPr>
          <w:p w14:paraId="195E5B70" w14:textId="77777777" w:rsidR="005372C5" w:rsidRDefault="00BB6A43" w:rsidP="00172BAD">
            <w:pPr>
              <w:rPr>
                <w:b/>
              </w:rPr>
            </w:pPr>
            <w:r w:rsidRPr="005372C5">
              <w:rPr>
                <w:b/>
              </w:rPr>
              <w:t>Bemærkningen giver anledning til ændringer i vejledningen:</w:t>
            </w:r>
          </w:p>
          <w:p w14:paraId="53E68EAF" w14:textId="77777777" w:rsidR="00172BAD" w:rsidRDefault="00172BAD" w:rsidP="00172BAD">
            <w:pPr>
              <w:rPr>
                <w:b/>
              </w:rPr>
            </w:pPr>
          </w:p>
          <w:p w14:paraId="4EFCB5DA" w14:textId="77777777" w:rsidR="00172BAD" w:rsidRPr="00172BAD" w:rsidRDefault="006F6E60" w:rsidP="00172BAD">
            <w:r>
              <w:t xml:space="preserve">Landbrugsstyrelsen vil præcisere i vejledningen til årets ansøgningsrunde, hvordan denne godtgørelse skal ske. </w:t>
            </w:r>
          </w:p>
        </w:tc>
      </w:tr>
      <w:tr w:rsidR="005372C5" w14:paraId="4078CC81" w14:textId="77777777" w:rsidTr="000C3E32">
        <w:tc>
          <w:tcPr>
            <w:tcW w:w="1129" w:type="dxa"/>
            <w:shd w:val="clear" w:color="auto" w:fill="auto"/>
          </w:tcPr>
          <w:p w14:paraId="5D077CF3" w14:textId="77777777" w:rsidR="005372C5" w:rsidRPr="00834990" w:rsidRDefault="00FA052B" w:rsidP="00086B6B">
            <w:pPr>
              <w:rPr>
                <w:rFonts w:asciiTheme="minorHAnsi" w:hAnsiTheme="minorHAnsi"/>
                <w:szCs w:val="22"/>
              </w:rPr>
            </w:pPr>
            <w:r>
              <w:rPr>
                <w:rFonts w:asciiTheme="minorHAnsi" w:hAnsiTheme="minorHAnsi"/>
                <w:szCs w:val="22"/>
              </w:rPr>
              <w:t>1.6</w:t>
            </w:r>
          </w:p>
        </w:tc>
        <w:tc>
          <w:tcPr>
            <w:tcW w:w="4111" w:type="dxa"/>
          </w:tcPr>
          <w:p w14:paraId="03515C55" w14:textId="77777777" w:rsidR="005372C5" w:rsidRPr="00834990" w:rsidRDefault="00834990" w:rsidP="00086B6B">
            <w:pPr>
              <w:rPr>
                <w:rFonts w:asciiTheme="minorHAnsi" w:hAnsiTheme="minorHAnsi"/>
                <w:i/>
                <w:iCs/>
                <w:szCs w:val="22"/>
              </w:rPr>
            </w:pPr>
            <w:r w:rsidRPr="00834990">
              <w:rPr>
                <w:rFonts w:asciiTheme="minorHAnsi" w:hAnsiTheme="minorHAnsi"/>
                <w:i/>
                <w:iCs/>
                <w:szCs w:val="22"/>
              </w:rPr>
              <w:t>Forpligtigelser - §</w:t>
            </w:r>
            <w:r w:rsidR="0056270F">
              <w:rPr>
                <w:rFonts w:asciiTheme="minorHAnsi" w:hAnsiTheme="minorHAnsi"/>
                <w:i/>
                <w:iCs/>
                <w:szCs w:val="22"/>
              </w:rPr>
              <w:t xml:space="preserve"> </w:t>
            </w:r>
            <w:r w:rsidRPr="00834990">
              <w:rPr>
                <w:rFonts w:asciiTheme="minorHAnsi" w:hAnsiTheme="minorHAnsi"/>
                <w:i/>
                <w:iCs/>
                <w:szCs w:val="22"/>
              </w:rPr>
              <w:t>10, stk. 6</w:t>
            </w:r>
          </w:p>
          <w:p w14:paraId="634FEB7D" w14:textId="77777777" w:rsidR="00834990" w:rsidRPr="00834990" w:rsidRDefault="00834990" w:rsidP="00086B6B">
            <w:pPr>
              <w:rPr>
                <w:rFonts w:asciiTheme="minorHAnsi" w:hAnsiTheme="minorHAnsi"/>
                <w:i/>
                <w:iCs/>
                <w:szCs w:val="22"/>
              </w:rPr>
            </w:pPr>
          </w:p>
          <w:p w14:paraId="0C0A069D" w14:textId="77777777" w:rsidR="00834990" w:rsidRPr="00834990" w:rsidRDefault="00834990" w:rsidP="00834990">
            <w:pPr>
              <w:rPr>
                <w:rFonts w:asciiTheme="minorHAnsi" w:hAnsiTheme="minorHAnsi"/>
                <w:iCs/>
                <w:szCs w:val="22"/>
              </w:rPr>
            </w:pPr>
            <w:r w:rsidRPr="00834990">
              <w:rPr>
                <w:rFonts w:asciiTheme="minorHAnsi" w:hAnsiTheme="minorHAnsi"/>
                <w:iCs/>
                <w:szCs w:val="22"/>
              </w:rPr>
              <w:t>I udkastet står følgende: ”</w:t>
            </w:r>
            <w:r w:rsidRPr="00834990">
              <w:rPr>
                <w:rFonts w:asciiTheme="minorHAnsi" w:hAnsiTheme="minorHAnsi"/>
                <w:i/>
                <w:iCs/>
                <w:szCs w:val="22"/>
              </w:rPr>
              <w:t xml:space="preserve">Sikre, at der ikke er andre synlige drænudløb fra minivådområdets drænopland end hoveddrænet, der afvander til </w:t>
            </w:r>
            <w:proofErr w:type="gramStart"/>
            <w:r w:rsidRPr="00834990">
              <w:rPr>
                <w:rFonts w:asciiTheme="minorHAnsi" w:hAnsiTheme="minorHAnsi"/>
                <w:i/>
                <w:iCs/>
                <w:szCs w:val="22"/>
              </w:rPr>
              <w:t>minivådområdet.</w:t>
            </w:r>
            <w:r w:rsidRPr="00834990">
              <w:rPr>
                <w:rFonts w:asciiTheme="minorHAnsi" w:hAnsiTheme="minorHAnsi"/>
                <w:iCs/>
                <w:szCs w:val="22"/>
              </w:rPr>
              <w:t>”</w:t>
            </w:r>
            <w:proofErr w:type="gramEnd"/>
            <w:r w:rsidR="008B6E79">
              <w:rPr>
                <w:rFonts w:asciiTheme="minorHAnsi" w:hAnsiTheme="minorHAnsi"/>
                <w:iCs/>
                <w:szCs w:val="22"/>
              </w:rPr>
              <w:t>.</w:t>
            </w:r>
            <w:r w:rsidR="00CD30F8">
              <w:rPr>
                <w:rFonts w:asciiTheme="minorHAnsi" w:hAnsiTheme="minorHAnsi"/>
                <w:iCs/>
                <w:szCs w:val="22"/>
              </w:rPr>
              <w:t xml:space="preserve"> </w:t>
            </w:r>
            <w:r w:rsidRPr="00834990">
              <w:rPr>
                <w:rFonts w:asciiTheme="minorHAnsi" w:hAnsiTheme="minorHAnsi"/>
                <w:iCs/>
                <w:szCs w:val="22"/>
              </w:rPr>
              <w:t>Som følge af, at kommuner, som tidligere nævnt får flere ansøgninger ind med åbne vandløb, så foreslår KL, at ordet dræn defineres i kapitel 2.</w:t>
            </w:r>
          </w:p>
          <w:p w14:paraId="77AC643D" w14:textId="77777777" w:rsidR="00834990" w:rsidRPr="00834990" w:rsidRDefault="00834990" w:rsidP="00086B6B">
            <w:pPr>
              <w:rPr>
                <w:rFonts w:asciiTheme="minorHAnsi" w:hAnsiTheme="minorHAnsi"/>
                <w:szCs w:val="22"/>
              </w:rPr>
            </w:pPr>
          </w:p>
        </w:tc>
        <w:tc>
          <w:tcPr>
            <w:tcW w:w="4105" w:type="dxa"/>
          </w:tcPr>
          <w:p w14:paraId="2B8E62A3" w14:textId="77777777" w:rsidR="005372C5" w:rsidRDefault="003D086B" w:rsidP="00086B6B">
            <w:pPr>
              <w:rPr>
                <w:b/>
              </w:rPr>
            </w:pPr>
            <w:r w:rsidRPr="005372C5">
              <w:rPr>
                <w:b/>
              </w:rPr>
              <w:t xml:space="preserve">Bemærkningen giver ikke anledning til ændringer </w:t>
            </w:r>
            <w:r w:rsidR="00FA052B">
              <w:rPr>
                <w:b/>
              </w:rPr>
              <w:t>i bekendtgørelsen</w:t>
            </w:r>
            <w:r w:rsidRPr="005372C5">
              <w:rPr>
                <w:b/>
              </w:rPr>
              <w:t>:</w:t>
            </w:r>
          </w:p>
          <w:p w14:paraId="106ABF0A" w14:textId="77777777" w:rsidR="00FA052B" w:rsidRDefault="00FA052B" w:rsidP="00086B6B">
            <w:pPr>
              <w:rPr>
                <w:b/>
              </w:rPr>
            </w:pPr>
          </w:p>
          <w:p w14:paraId="6A2FA278" w14:textId="77777777" w:rsidR="00FA052B" w:rsidRPr="00FA052B" w:rsidRDefault="00FA052B" w:rsidP="00086B6B">
            <w:r>
              <w:t xml:space="preserve">Der henvises til svar under punkt 1.4. </w:t>
            </w:r>
          </w:p>
        </w:tc>
      </w:tr>
      <w:tr w:rsidR="005372C5" w14:paraId="79718E7C" w14:textId="77777777" w:rsidTr="000C3E32">
        <w:tc>
          <w:tcPr>
            <w:tcW w:w="1129" w:type="dxa"/>
            <w:shd w:val="clear" w:color="auto" w:fill="auto"/>
          </w:tcPr>
          <w:p w14:paraId="754A54D1" w14:textId="77777777" w:rsidR="005372C5" w:rsidRPr="00834990" w:rsidRDefault="00FA052B" w:rsidP="00086B6B">
            <w:pPr>
              <w:rPr>
                <w:rFonts w:asciiTheme="minorHAnsi" w:hAnsiTheme="minorHAnsi"/>
                <w:szCs w:val="22"/>
              </w:rPr>
            </w:pPr>
            <w:r>
              <w:rPr>
                <w:rFonts w:asciiTheme="minorHAnsi" w:hAnsiTheme="minorHAnsi"/>
                <w:szCs w:val="22"/>
              </w:rPr>
              <w:t>1.7</w:t>
            </w:r>
          </w:p>
        </w:tc>
        <w:tc>
          <w:tcPr>
            <w:tcW w:w="4111" w:type="dxa"/>
          </w:tcPr>
          <w:p w14:paraId="3FA4BB9B" w14:textId="77777777" w:rsidR="005372C5" w:rsidRPr="00834990" w:rsidRDefault="00834990" w:rsidP="00086B6B">
            <w:pPr>
              <w:rPr>
                <w:rFonts w:asciiTheme="minorHAnsi" w:hAnsiTheme="minorHAnsi"/>
                <w:i/>
                <w:iCs/>
                <w:szCs w:val="22"/>
              </w:rPr>
            </w:pPr>
            <w:r w:rsidRPr="00834990">
              <w:rPr>
                <w:rFonts w:asciiTheme="minorHAnsi" w:hAnsiTheme="minorHAnsi"/>
                <w:i/>
                <w:iCs/>
                <w:szCs w:val="22"/>
              </w:rPr>
              <w:t>Forpligtigelser - §</w:t>
            </w:r>
            <w:r w:rsidR="0056270F">
              <w:rPr>
                <w:rFonts w:asciiTheme="minorHAnsi" w:hAnsiTheme="minorHAnsi"/>
                <w:i/>
                <w:iCs/>
                <w:szCs w:val="22"/>
              </w:rPr>
              <w:t xml:space="preserve"> </w:t>
            </w:r>
            <w:r w:rsidRPr="00834990">
              <w:rPr>
                <w:rFonts w:asciiTheme="minorHAnsi" w:hAnsiTheme="minorHAnsi"/>
                <w:i/>
                <w:iCs/>
                <w:szCs w:val="22"/>
              </w:rPr>
              <w:t>10, stk. 6</w:t>
            </w:r>
          </w:p>
          <w:p w14:paraId="2DBDEF85" w14:textId="77777777" w:rsidR="00834990" w:rsidRPr="00834990" w:rsidRDefault="00834990" w:rsidP="00086B6B">
            <w:pPr>
              <w:rPr>
                <w:rFonts w:asciiTheme="minorHAnsi" w:hAnsiTheme="minorHAnsi"/>
                <w:i/>
                <w:iCs/>
                <w:szCs w:val="22"/>
              </w:rPr>
            </w:pPr>
          </w:p>
          <w:p w14:paraId="6A9A7C5C" w14:textId="77777777" w:rsidR="00834990" w:rsidRPr="00834990" w:rsidRDefault="00834990" w:rsidP="00834990">
            <w:pPr>
              <w:rPr>
                <w:rFonts w:asciiTheme="minorHAnsi" w:hAnsiTheme="minorHAnsi"/>
                <w:iCs/>
                <w:szCs w:val="22"/>
              </w:rPr>
            </w:pPr>
            <w:r w:rsidRPr="00834990">
              <w:rPr>
                <w:rFonts w:asciiTheme="minorHAnsi" w:hAnsiTheme="minorHAnsi"/>
                <w:iCs/>
                <w:szCs w:val="22"/>
              </w:rPr>
              <w:t>I udkastet står følgende: ”</w:t>
            </w:r>
            <w:r w:rsidRPr="00834990">
              <w:rPr>
                <w:rFonts w:asciiTheme="minorHAnsi" w:hAnsiTheme="minorHAnsi"/>
                <w:i/>
                <w:iCs/>
                <w:szCs w:val="22"/>
              </w:rPr>
              <w:t xml:space="preserve">Sikre opnåelse af de nødvendige tilladelser og </w:t>
            </w:r>
            <w:r w:rsidR="00172BAD">
              <w:rPr>
                <w:rFonts w:asciiTheme="minorHAnsi" w:hAnsiTheme="minorHAnsi"/>
                <w:i/>
                <w:iCs/>
                <w:szCs w:val="22"/>
              </w:rPr>
              <w:t>d</w:t>
            </w:r>
            <w:r w:rsidRPr="00834990">
              <w:rPr>
                <w:rFonts w:asciiTheme="minorHAnsi" w:hAnsiTheme="minorHAnsi"/>
                <w:i/>
                <w:iCs/>
                <w:szCs w:val="22"/>
              </w:rPr>
              <w:t>ispensationer</w:t>
            </w:r>
            <w:r>
              <w:rPr>
                <w:rFonts w:asciiTheme="minorHAnsi" w:hAnsiTheme="minorHAnsi"/>
                <w:i/>
                <w:iCs/>
                <w:szCs w:val="22"/>
              </w:rPr>
              <w:t xml:space="preserve"> </w:t>
            </w:r>
            <w:r w:rsidRPr="00834990">
              <w:rPr>
                <w:rFonts w:asciiTheme="minorHAnsi" w:hAnsiTheme="minorHAnsi"/>
                <w:i/>
                <w:iCs/>
                <w:szCs w:val="22"/>
              </w:rPr>
              <w:t>fra offentlige myndigheder inden</w:t>
            </w:r>
            <w:r w:rsidR="00172BAD">
              <w:rPr>
                <w:rFonts w:asciiTheme="minorHAnsi" w:hAnsiTheme="minorHAnsi"/>
                <w:i/>
                <w:iCs/>
                <w:szCs w:val="22"/>
              </w:rPr>
              <w:t xml:space="preserve"> </w:t>
            </w:r>
            <w:r w:rsidRPr="00834990">
              <w:rPr>
                <w:rFonts w:asciiTheme="minorHAnsi" w:hAnsiTheme="minorHAnsi"/>
                <w:i/>
                <w:iCs/>
                <w:szCs w:val="22"/>
              </w:rPr>
              <w:t xml:space="preserve">anmodning om slutudbetaling </w:t>
            </w:r>
            <w:proofErr w:type="gramStart"/>
            <w:r w:rsidRPr="00834990">
              <w:rPr>
                <w:rFonts w:asciiTheme="minorHAnsi" w:hAnsiTheme="minorHAnsi"/>
                <w:i/>
                <w:iCs/>
                <w:szCs w:val="22"/>
              </w:rPr>
              <w:t>indsendes.</w:t>
            </w:r>
            <w:r w:rsidRPr="00834990">
              <w:rPr>
                <w:rFonts w:asciiTheme="minorHAnsi" w:hAnsiTheme="minorHAnsi"/>
                <w:iCs/>
                <w:szCs w:val="22"/>
              </w:rPr>
              <w:t>”</w:t>
            </w:r>
            <w:proofErr w:type="gramEnd"/>
            <w:r w:rsidR="008B6E79">
              <w:rPr>
                <w:rFonts w:asciiTheme="minorHAnsi" w:hAnsiTheme="minorHAnsi"/>
                <w:iCs/>
                <w:szCs w:val="22"/>
              </w:rPr>
              <w:t>.</w:t>
            </w:r>
            <w:r w:rsidRPr="00834990">
              <w:rPr>
                <w:rFonts w:asciiTheme="minorHAnsi" w:hAnsiTheme="minorHAnsi"/>
                <w:iCs/>
                <w:szCs w:val="22"/>
              </w:rPr>
              <w:t xml:space="preserve"> Som tidligere nævnt, så finder KL det ærgerligt, at bekendtgørelsen ikke </w:t>
            </w:r>
            <w:r w:rsidRPr="00834990">
              <w:rPr>
                <w:rFonts w:asciiTheme="minorHAnsi" w:hAnsiTheme="minorHAnsi"/>
                <w:iCs/>
                <w:szCs w:val="22"/>
              </w:rPr>
              <w:lastRenderedPageBreak/>
              <w:t xml:space="preserve">lægges op til en mere forpligtigende og omfattende koordinering mellem lodsejeren og kommunen forud for ansøgningen. Finder opnåelsen af nødvendige tilladelser først sted i forbindelse med slutudbetalingen, så er der ofte brugt mange ressourcer på projektforberedelsen, før det bliver klart, at projektet ikke kan opnå </w:t>
            </w:r>
            <w:proofErr w:type="gramStart"/>
            <w:r w:rsidRPr="00834990">
              <w:rPr>
                <w:rFonts w:asciiTheme="minorHAnsi" w:hAnsiTheme="minorHAnsi"/>
                <w:iCs/>
                <w:szCs w:val="22"/>
              </w:rPr>
              <w:t>alle</w:t>
            </w:r>
            <w:r w:rsidR="00CD30F8">
              <w:rPr>
                <w:rFonts w:asciiTheme="minorHAnsi" w:hAnsiTheme="minorHAnsi"/>
                <w:iCs/>
                <w:szCs w:val="22"/>
              </w:rPr>
              <w:t xml:space="preserve"> </w:t>
            </w:r>
            <w:r w:rsidRPr="00834990">
              <w:rPr>
                <w:rFonts w:asciiTheme="minorHAnsi" w:hAnsiTheme="minorHAnsi"/>
                <w:iCs/>
                <w:szCs w:val="22"/>
              </w:rPr>
              <w:t xml:space="preserve"> myndighedstilladelser</w:t>
            </w:r>
            <w:proofErr w:type="gramEnd"/>
            <w:r w:rsidRPr="00834990">
              <w:rPr>
                <w:rFonts w:asciiTheme="minorHAnsi" w:hAnsiTheme="minorHAnsi"/>
                <w:iCs/>
                <w:szCs w:val="22"/>
              </w:rPr>
              <w:t>.</w:t>
            </w:r>
          </w:p>
          <w:p w14:paraId="43A1B45B" w14:textId="77777777" w:rsidR="00834990" w:rsidRPr="00834990" w:rsidRDefault="00834990" w:rsidP="00086B6B">
            <w:pPr>
              <w:rPr>
                <w:rFonts w:asciiTheme="minorHAnsi" w:hAnsiTheme="minorHAnsi"/>
                <w:szCs w:val="22"/>
              </w:rPr>
            </w:pPr>
          </w:p>
        </w:tc>
        <w:tc>
          <w:tcPr>
            <w:tcW w:w="4105" w:type="dxa"/>
          </w:tcPr>
          <w:p w14:paraId="2D90E638" w14:textId="77777777" w:rsidR="005372C5" w:rsidRDefault="003D086B" w:rsidP="00086B6B">
            <w:pPr>
              <w:rPr>
                <w:b/>
              </w:rPr>
            </w:pPr>
            <w:r w:rsidRPr="005372C5">
              <w:rPr>
                <w:b/>
              </w:rPr>
              <w:lastRenderedPageBreak/>
              <w:t>Bemærkningen giver ikke anledning til ændringer i bekendtgørelsen:</w:t>
            </w:r>
          </w:p>
          <w:p w14:paraId="2ADCC00C" w14:textId="77777777" w:rsidR="00FA052B" w:rsidRDefault="00FA052B" w:rsidP="00086B6B">
            <w:pPr>
              <w:rPr>
                <w:b/>
              </w:rPr>
            </w:pPr>
          </w:p>
          <w:p w14:paraId="71C04DB2" w14:textId="77777777" w:rsidR="00FA052B" w:rsidRPr="00FA052B" w:rsidRDefault="00FA052B" w:rsidP="00086B6B">
            <w:r>
              <w:t>Der henvises til svar under punkt 1.3.</w:t>
            </w:r>
          </w:p>
        </w:tc>
      </w:tr>
      <w:tr w:rsidR="00834990" w14:paraId="063C7370" w14:textId="77777777" w:rsidTr="000C3E32">
        <w:tc>
          <w:tcPr>
            <w:tcW w:w="1129" w:type="dxa"/>
            <w:shd w:val="clear" w:color="auto" w:fill="auto"/>
          </w:tcPr>
          <w:p w14:paraId="14742FBF" w14:textId="77777777" w:rsidR="00834990" w:rsidRDefault="00834990" w:rsidP="00086B6B">
            <w:r>
              <w:t>2.</w:t>
            </w:r>
          </w:p>
        </w:tc>
        <w:tc>
          <w:tcPr>
            <w:tcW w:w="8216" w:type="dxa"/>
            <w:gridSpan w:val="2"/>
          </w:tcPr>
          <w:p w14:paraId="4858803D" w14:textId="77777777" w:rsidR="00834990" w:rsidRPr="00834990" w:rsidRDefault="00834990" w:rsidP="00086B6B">
            <w:pPr>
              <w:rPr>
                <w:b/>
              </w:rPr>
            </w:pPr>
            <w:r w:rsidRPr="00834990">
              <w:rPr>
                <w:b/>
              </w:rPr>
              <w:t>Landbrug &amp; Fødevarer</w:t>
            </w:r>
          </w:p>
        </w:tc>
      </w:tr>
      <w:tr w:rsidR="00834990" w14:paraId="027C1157" w14:textId="77777777" w:rsidTr="000C3E32">
        <w:tc>
          <w:tcPr>
            <w:tcW w:w="1129" w:type="dxa"/>
            <w:shd w:val="clear" w:color="auto" w:fill="auto"/>
          </w:tcPr>
          <w:p w14:paraId="582549E8" w14:textId="77777777" w:rsidR="00834990" w:rsidRDefault="00D95916" w:rsidP="00086B6B">
            <w:r>
              <w:t>2.1</w:t>
            </w:r>
          </w:p>
        </w:tc>
        <w:tc>
          <w:tcPr>
            <w:tcW w:w="4111" w:type="dxa"/>
          </w:tcPr>
          <w:p w14:paraId="2991284B" w14:textId="77777777" w:rsidR="00834990" w:rsidRDefault="00834990" w:rsidP="00834990">
            <w:r>
              <w:t>Erfaringerne fra de seneste års ordning for minivådområder er, at der har været en lang række</w:t>
            </w:r>
            <w:r w:rsidR="00D15AC1">
              <w:t xml:space="preserve"> </w:t>
            </w:r>
            <w:r>
              <w:t>uhensigtsmæssigheder og barrierer, som har gjort det svært at få etableret minivådområderne</w:t>
            </w:r>
            <w:r w:rsidR="00D15AC1">
              <w:t xml:space="preserve"> </w:t>
            </w:r>
            <w:r>
              <w:t xml:space="preserve">gnidningsfrit, til trods for, at interessen for at søge har været stor. </w:t>
            </w:r>
            <w:r w:rsidR="00D15AC1">
              <w:t xml:space="preserve"> K</w:t>
            </w:r>
            <w:r>
              <w:t>onsekvensen er, at der er</w:t>
            </w:r>
            <w:r w:rsidR="00D15AC1">
              <w:t xml:space="preserve"> </w:t>
            </w:r>
            <w:r>
              <w:t>etableret og godkendt langt færre minivådområder end muligt og ønsket, og at det er blevet</w:t>
            </w:r>
          </w:p>
          <w:p w14:paraId="40C38503" w14:textId="77777777" w:rsidR="00834990" w:rsidRDefault="00834990" w:rsidP="00834990">
            <w:proofErr w:type="gramStart"/>
            <w:r>
              <w:t>sværere</w:t>
            </w:r>
            <w:proofErr w:type="gramEnd"/>
            <w:r>
              <w:t xml:space="preserve"> og sværere at motivere</w:t>
            </w:r>
            <w:r w:rsidR="00D15AC1">
              <w:t xml:space="preserve"> </w:t>
            </w:r>
            <w:r>
              <w:t>landmænd til at indgå i ordningen, ikke mindst grundet det</w:t>
            </w:r>
            <w:r w:rsidR="00D15AC1">
              <w:t xml:space="preserve"> </w:t>
            </w:r>
            <w:r>
              <w:t>regulatoriske bøvl og risikoen for at lide tab på deltagelse i en kollektiv ordning, som ikke kommer</w:t>
            </w:r>
          </w:p>
          <w:p w14:paraId="27D28DAC" w14:textId="77777777" w:rsidR="00834990" w:rsidRDefault="00834990" w:rsidP="00834990">
            <w:proofErr w:type="gramStart"/>
            <w:r>
              <w:t>den</w:t>
            </w:r>
            <w:proofErr w:type="gramEnd"/>
            <w:r>
              <w:t xml:space="preserve"> enkelte, men almenvellet til gode. Det er selvfølgelig helt urimeligt, og </w:t>
            </w:r>
            <w:r w:rsidR="00D15AC1">
              <w:t>o</w:t>
            </w:r>
            <w:r>
              <w:t>verordnet set finder vi</w:t>
            </w:r>
          </w:p>
          <w:p w14:paraId="5391C132" w14:textId="77777777" w:rsidR="00834990" w:rsidRDefault="00834990" w:rsidP="00D15AC1">
            <w:proofErr w:type="gramStart"/>
            <w:r>
              <w:t>desværre</w:t>
            </w:r>
            <w:proofErr w:type="gramEnd"/>
            <w:r>
              <w:t>, at ordningen for 2022 ikke retter afgørende op på udfordringerne, men tværtimod</w:t>
            </w:r>
            <w:r w:rsidR="00D15AC1">
              <w:t xml:space="preserve"> </w:t>
            </w:r>
            <w:r>
              <w:t>introducerer nye benspænd.</w:t>
            </w:r>
          </w:p>
          <w:p w14:paraId="19AD8078" w14:textId="77777777" w:rsidR="002F6AE3" w:rsidRDefault="002F6AE3" w:rsidP="00D15AC1"/>
        </w:tc>
        <w:tc>
          <w:tcPr>
            <w:tcW w:w="4105" w:type="dxa"/>
          </w:tcPr>
          <w:p w14:paraId="30264540" w14:textId="77777777" w:rsidR="00834990" w:rsidRDefault="003D086B" w:rsidP="00086B6B">
            <w:pPr>
              <w:rPr>
                <w:b/>
              </w:rPr>
            </w:pPr>
            <w:r w:rsidRPr="005372C5">
              <w:rPr>
                <w:b/>
              </w:rPr>
              <w:t xml:space="preserve">Bemærkningen giver ikke anledning til ændringer </w:t>
            </w:r>
            <w:r w:rsidR="00902C11">
              <w:rPr>
                <w:b/>
              </w:rPr>
              <w:t>i bekendtgørelsen</w:t>
            </w:r>
            <w:r w:rsidRPr="005372C5">
              <w:rPr>
                <w:b/>
              </w:rPr>
              <w:t>:</w:t>
            </w:r>
          </w:p>
          <w:p w14:paraId="473B70EE" w14:textId="77777777" w:rsidR="00902C11" w:rsidRDefault="00902C11" w:rsidP="00086B6B">
            <w:pPr>
              <w:rPr>
                <w:b/>
              </w:rPr>
            </w:pPr>
          </w:p>
          <w:p w14:paraId="4E683BA4" w14:textId="77777777" w:rsidR="00902C11" w:rsidRDefault="00902C11" w:rsidP="00086B6B">
            <w:r w:rsidRPr="00902C11">
              <w:t xml:space="preserve">Landbrugsstyrelsen tager bemærkningen til efterretning. </w:t>
            </w:r>
          </w:p>
          <w:p w14:paraId="0FC4F2F9" w14:textId="77777777" w:rsidR="002F6AE3" w:rsidRDefault="002F6AE3" w:rsidP="00086B6B"/>
          <w:p w14:paraId="11A9FF9E" w14:textId="5973B445" w:rsidR="00CA193B" w:rsidRDefault="002F6AE3" w:rsidP="00086B6B">
            <w:r>
              <w:t>Den nuværende minivådområde</w:t>
            </w:r>
            <w:r w:rsidR="00CA193B">
              <w:t xml:space="preserve">ordning </w:t>
            </w:r>
            <w:r w:rsidR="0051716D">
              <w:t xml:space="preserve">indeholder </w:t>
            </w:r>
            <w:r w:rsidR="00CA193B">
              <w:t>klare krav til</w:t>
            </w:r>
            <w:r w:rsidR="0056270F">
              <w:t>,</w:t>
            </w:r>
            <w:r w:rsidR="00CA193B">
              <w:t xml:space="preserve"> hvordan et</w:t>
            </w:r>
            <w:r>
              <w:t xml:space="preserve"> minivådområde </w:t>
            </w:r>
            <w:r w:rsidR="00CA193B">
              <w:t>skal udformes mod en forventet effekt</w:t>
            </w:r>
            <w:r>
              <w:t xml:space="preserve">. </w:t>
            </w:r>
            <w:r w:rsidR="00CA193B">
              <w:t xml:space="preserve">Det anerkendes, at der historisk har været behov for faglige og juridiske afklaringer, dette er fordi der er tale om et nyt virkemiddel, hvorfor der har været behov for at etablere en robust administrationspraksis. </w:t>
            </w:r>
          </w:p>
          <w:p w14:paraId="41C01CFA" w14:textId="77777777" w:rsidR="002F6AE3" w:rsidRDefault="002F6AE3" w:rsidP="00086B6B">
            <w:r>
              <w:t xml:space="preserve">Der er </w:t>
            </w:r>
            <w:r w:rsidR="00CA193B">
              <w:t xml:space="preserve">desuden på ordningen </w:t>
            </w:r>
            <w:r>
              <w:t>etableret en fleksibel afsyningsordning, der skal imødekomme eventuel usikkerhed, da tilsagnshaver på den måde selv har mulighed for at dokumentere</w:t>
            </w:r>
            <w:r w:rsidR="0056270F">
              <w:t>,</w:t>
            </w:r>
            <w:r>
              <w:t xml:space="preserve"> at kravene er overholdt.</w:t>
            </w:r>
            <w:r w:rsidR="00CA193B">
              <w:t xml:space="preserve"> Det er Landbrugsstyrelsens opfattelse, at denne er taget vel imod og lever op til sit formål.</w:t>
            </w:r>
            <w:r>
              <w:t xml:space="preserve"> I forbindelse hermed er der indført usikkerhedsintervaller</w:t>
            </w:r>
            <w:r w:rsidR="00CA193B">
              <w:t xml:space="preserve"> ved måling af dybder</w:t>
            </w:r>
            <w:r>
              <w:t xml:space="preserve">, der bl.a. tager højde for svære opmålingsforhold ved vandfyldte minivådområder. </w:t>
            </w:r>
          </w:p>
          <w:p w14:paraId="02246EBA" w14:textId="77777777" w:rsidR="002F6AE3" w:rsidRDefault="002F6AE3" w:rsidP="00086B6B">
            <w:r>
              <w:t>I de tilfælde</w:t>
            </w:r>
            <w:r w:rsidR="0056270F">
              <w:t>,</w:t>
            </w:r>
            <w:r>
              <w:t xml:space="preserve"> hvor der</w:t>
            </w:r>
            <w:r w:rsidR="00CA193B">
              <w:t xml:space="preserve"> stadig er behov for afklaring ved sagsbehandling af udbet</w:t>
            </w:r>
            <w:r w:rsidR="008B6E79">
              <w:t>a</w:t>
            </w:r>
            <w:r w:rsidR="00CA193B">
              <w:t>lingsanmodning,</w:t>
            </w:r>
            <w:r>
              <w:t xml:space="preserve"> er det oftest fordi</w:t>
            </w:r>
            <w:r w:rsidR="00F3196B">
              <w:t>,</w:t>
            </w:r>
            <w:r>
              <w:t xml:space="preserve"> der er etableret et minivådområ</w:t>
            </w:r>
            <w:r w:rsidR="00CA193B">
              <w:t>de, der placerer sig i grænselandet</w:t>
            </w:r>
            <w:r>
              <w:t xml:space="preserve"> ift. ordningens </w:t>
            </w:r>
            <w:r w:rsidR="00CA193B">
              <w:t xml:space="preserve">reglers </w:t>
            </w:r>
            <w:r>
              <w:t xml:space="preserve">fleksibilitet. </w:t>
            </w:r>
          </w:p>
          <w:p w14:paraId="4AB8891F" w14:textId="77777777" w:rsidR="002F6AE3" w:rsidRDefault="002F6AE3" w:rsidP="00086B6B"/>
          <w:p w14:paraId="247142E8" w14:textId="77777777" w:rsidR="002F6AE3" w:rsidRDefault="002F6AE3" w:rsidP="00086B6B"/>
          <w:p w14:paraId="28208431" w14:textId="77777777" w:rsidR="002F6AE3" w:rsidRPr="00902C11" w:rsidRDefault="002F6AE3" w:rsidP="00086B6B"/>
        </w:tc>
      </w:tr>
      <w:tr w:rsidR="00834990" w14:paraId="538561D6" w14:textId="77777777" w:rsidTr="000C3E32">
        <w:tc>
          <w:tcPr>
            <w:tcW w:w="1129" w:type="dxa"/>
            <w:shd w:val="clear" w:color="auto" w:fill="auto"/>
          </w:tcPr>
          <w:p w14:paraId="6CB1D94B" w14:textId="77777777" w:rsidR="00834990" w:rsidRDefault="00D95916" w:rsidP="00086B6B">
            <w:r>
              <w:lastRenderedPageBreak/>
              <w:t>2.2</w:t>
            </w:r>
          </w:p>
        </w:tc>
        <w:tc>
          <w:tcPr>
            <w:tcW w:w="4111" w:type="dxa"/>
          </w:tcPr>
          <w:p w14:paraId="7DEA1645" w14:textId="77777777" w:rsidR="00834990" w:rsidRDefault="00D15AC1" w:rsidP="00D15AC1">
            <w:r>
              <w:t>L&amp;F finder det nødvendigt, at der – enten her i 2022 eller snarest derefter – indarbejdes meget større fleksibilitet i udformningen af minivådområderne, så det rigide kontrolregime, med evig usikkerhed om hvorvidt anlæggets dimensioner bliver godkendt eller om marginale afvigelser fører til helt eller delvist træk i betalingen for etableringen af minivådområdet – et virkemiddel som landmanden får etableret på samfundets vegne uden nogen regulatorisk gevinst til sig selv. Det er vores opfattelse, at de meget rigide krav i mange tilfælde kun har lille eller ingen betydning for kvælstofreduktionen, og at krav og kontrol derfor i høj grad er en unødvendig, selvskabt plage, der kun er til besvær og som intet gavner.</w:t>
            </w:r>
          </w:p>
          <w:p w14:paraId="186547EF" w14:textId="77777777" w:rsidR="00D15AC1" w:rsidRDefault="00D15AC1" w:rsidP="00D15AC1"/>
          <w:p w14:paraId="008560D6" w14:textId="77777777" w:rsidR="00D15AC1" w:rsidRDefault="00D15AC1" w:rsidP="00D15AC1">
            <w:r>
              <w:t>Der er ingen tvivl om, at omkostningseffektiviteten kan opretholdes eller endda øges med mere</w:t>
            </w:r>
          </w:p>
          <w:p w14:paraId="17E0B063" w14:textId="77777777" w:rsidR="00D15AC1" w:rsidRDefault="00D15AC1" w:rsidP="00D15AC1">
            <w:proofErr w:type="gramStart"/>
            <w:r>
              <w:t>enkle</w:t>
            </w:r>
            <w:proofErr w:type="gramEnd"/>
            <w:r>
              <w:t xml:space="preserve"> krav og enklere udformning af minivådområdet, da omkostningerne må forventes at blive reduceret.</w:t>
            </w:r>
          </w:p>
        </w:tc>
        <w:tc>
          <w:tcPr>
            <w:tcW w:w="4105" w:type="dxa"/>
          </w:tcPr>
          <w:p w14:paraId="21DB73C0" w14:textId="77777777" w:rsidR="00834990" w:rsidRDefault="003D086B" w:rsidP="00086B6B">
            <w:pPr>
              <w:rPr>
                <w:b/>
              </w:rPr>
            </w:pPr>
            <w:r w:rsidRPr="005372C5">
              <w:rPr>
                <w:b/>
              </w:rPr>
              <w:t>Bemærkningen giver ikke anledning til ændringer i bekendtgørelsen:</w:t>
            </w:r>
          </w:p>
          <w:p w14:paraId="7AF44B0D" w14:textId="77777777" w:rsidR="00902C11" w:rsidRDefault="00902C11" w:rsidP="00086B6B">
            <w:pPr>
              <w:rPr>
                <w:b/>
              </w:rPr>
            </w:pPr>
          </w:p>
          <w:p w14:paraId="08F0200F" w14:textId="77777777" w:rsidR="00902C11" w:rsidRDefault="00902C11" w:rsidP="00086B6B">
            <w:r w:rsidRPr="00902C11">
              <w:t>Landbrugsstyrelsen</w:t>
            </w:r>
            <w:r>
              <w:t xml:space="preserve"> tager bemærkningen til efterretning. </w:t>
            </w:r>
            <w:r w:rsidR="002F6AE3">
              <w:t>Den nuværende ordning er baseret på et fagligt grundlag fra A</w:t>
            </w:r>
            <w:r w:rsidR="008B6E79">
              <w:t>a</w:t>
            </w:r>
            <w:r w:rsidR="002F6AE3">
              <w:t>rhus Universitet. Landbrugsstyrelsen har igangsat et arbejde for at undersøge</w:t>
            </w:r>
            <w:r w:rsidR="0056270F">
              <w:t>,</w:t>
            </w:r>
            <w:r w:rsidR="002F6AE3">
              <w:t xml:space="preserve"> om der kan udarbejdes et mere fleksibelt regelsæt. </w:t>
            </w:r>
          </w:p>
          <w:p w14:paraId="7F0A91B9" w14:textId="77777777" w:rsidR="00936D94" w:rsidRPr="00902C11" w:rsidRDefault="00936D94" w:rsidP="00086B6B">
            <w:r>
              <w:t xml:space="preserve">Det bemærkes desuden, at Landbrugsstyrelsen allerede har modtaget uddybet fagligt grundlag fra AU, som benyttes ved væsentlighedsvurdering i sagsbehandlingen af eventuelle overtrædelser. </w:t>
            </w:r>
          </w:p>
        </w:tc>
      </w:tr>
      <w:tr w:rsidR="00834990" w14:paraId="547714E4" w14:textId="77777777" w:rsidTr="000C3E32">
        <w:tc>
          <w:tcPr>
            <w:tcW w:w="1129" w:type="dxa"/>
            <w:shd w:val="clear" w:color="auto" w:fill="auto"/>
          </w:tcPr>
          <w:p w14:paraId="3F0743DB" w14:textId="77777777" w:rsidR="00834990" w:rsidRDefault="00D95916" w:rsidP="00086B6B">
            <w:r>
              <w:t>2.3</w:t>
            </w:r>
          </w:p>
        </w:tc>
        <w:tc>
          <w:tcPr>
            <w:tcW w:w="4111" w:type="dxa"/>
          </w:tcPr>
          <w:p w14:paraId="14C2FEBB" w14:textId="77777777" w:rsidR="00834990" w:rsidRDefault="00D15AC1" w:rsidP="00D15AC1">
            <w:r>
              <w:t>Der er ligeledes behov for at gøre ordningen bredere, så den også kan rumme andre, små drænvirkemidler. Eksempelvis bør det undersøges, om små, mere naturlige vådområder kan indgå, hvilket må forventes at lette mulighederne for at anlægge dem inden for fx strandbeskyttelseslinjen og på §</w:t>
            </w:r>
            <w:r w:rsidR="0056270F">
              <w:t xml:space="preserve"> </w:t>
            </w:r>
            <w:r>
              <w:t>3-arealer i overensstemmelse med naturbeskyttelsesloven.</w:t>
            </w:r>
          </w:p>
        </w:tc>
        <w:tc>
          <w:tcPr>
            <w:tcW w:w="4105" w:type="dxa"/>
          </w:tcPr>
          <w:p w14:paraId="17B2FB11" w14:textId="77777777" w:rsidR="00834990" w:rsidRDefault="003D086B" w:rsidP="00086B6B">
            <w:pPr>
              <w:rPr>
                <w:b/>
              </w:rPr>
            </w:pPr>
            <w:r w:rsidRPr="005372C5">
              <w:rPr>
                <w:b/>
              </w:rPr>
              <w:t xml:space="preserve">Bemærkningen giver ikke anledning til ændringer </w:t>
            </w:r>
            <w:r w:rsidR="00902C11">
              <w:rPr>
                <w:b/>
              </w:rPr>
              <w:t>i bekendtgørelsen</w:t>
            </w:r>
            <w:r w:rsidRPr="005372C5">
              <w:rPr>
                <w:b/>
              </w:rPr>
              <w:t>:</w:t>
            </w:r>
          </w:p>
          <w:p w14:paraId="48567851" w14:textId="77777777" w:rsidR="00D64786" w:rsidRDefault="00D64786" w:rsidP="00086B6B">
            <w:pPr>
              <w:rPr>
                <w:b/>
              </w:rPr>
            </w:pPr>
          </w:p>
          <w:p w14:paraId="38529DA8" w14:textId="77777777" w:rsidR="00D64786" w:rsidRPr="00D64786" w:rsidRDefault="00D64786" w:rsidP="00380D55">
            <w:r w:rsidRPr="00D64786">
              <w:t xml:space="preserve">Landbrugsstyrelsen har noteret sig ønsket om de foreslåede </w:t>
            </w:r>
            <w:proofErr w:type="gramStart"/>
            <w:r w:rsidRPr="00D64786">
              <w:t xml:space="preserve">virkemidler. </w:t>
            </w:r>
            <w:r>
              <w:t xml:space="preserve"> </w:t>
            </w:r>
            <w:proofErr w:type="gramEnd"/>
          </w:p>
        </w:tc>
      </w:tr>
      <w:tr w:rsidR="00834990" w14:paraId="3D09006A" w14:textId="77777777" w:rsidTr="000C3E32">
        <w:tc>
          <w:tcPr>
            <w:tcW w:w="1129" w:type="dxa"/>
            <w:shd w:val="clear" w:color="auto" w:fill="auto"/>
          </w:tcPr>
          <w:p w14:paraId="77694704" w14:textId="77777777" w:rsidR="00834990" w:rsidRDefault="00D95916" w:rsidP="00086B6B">
            <w:r>
              <w:t>2.4</w:t>
            </w:r>
          </w:p>
        </w:tc>
        <w:tc>
          <w:tcPr>
            <w:tcW w:w="4111" w:type="dxa"/>
          </w:tcPr>
          <w:p w14:paraId="1CD65CA4" w14:textId="77777777" w:rsidR="00D15AC1" w:rsidRDefault="00D15AC1" w:rsidP="00D15AC1">
            <w:r>
              <w:t>Danske Maskinstationer &amp; Entreprenører, der organiserer hovedparten af de entreprenørvirksomheder, der etablerer minivådområder, har således oplyst til SEGES, at indekspriserne på entreprenørarbejde er steget 7,5 % i perioden juni 2019 til marts 2022.</w:t>
            </w:r>
          </w:p>
          <w:p w14:paraId="66ACC08A" w14:textId="77777777" w:rsidR="00D15AC1" w:rsidRDefault="00D15AC1" w:rsidP="00D15AC1">
            <w:r>
              <w:t>Standardomkostningerne bør derfor helt selvfølgeligt opjusteres, så tilskuddet fortsat vil udgøre 100</w:t>
            </w:r>
          </w:p>
          <w:p w14:paraId="0C635A7C" w14:textId="77777777" w:rsidR="00834990" w:rsidRDefault="00D15AC1" w:rsidP="00D15AC1">
            <w:r>
              <w:lastRenderedPageBreak/>
              <w:t>% af de tilskudsberettigede omkostninger.</w:t>
            </w:r>
          </w:p>
        </w:tc>
        <w:tc>
          <w:tcPr>
            <w:tcW w:w="4105" w:type="dxa"/>
          </w:tcPr>
          <w:p w14:paraId="5A92ED2F" w14:textId="77777777" w:rsidR="00834990" w:rsidRDefault="003D086B" w:rsidP="00086B6B">
            <w:pPr>
              <w:rPr>
                <w:b/>
              </w:rPr>
            </w:pPr>
            <w:r w:rsidRPr="005372C5">
              <w:rPr>
                <w:b/>
              </w:rPr>
              <w:lastRenderedPageBreak/>
              <w:t>Bemærkningen giver ikke anledning til ændringer i bekendtgørelsen:</w:t>
            </w:r>
          </w:p>
          <w:p w14:paraId="51A20F5F" w14:textId="77777777" w:rsidR="00936D94" w:rsidRDefault="00936D94" w:rsidP="00086B6B">
            <w:pPr>
              <w:rPr>
                <w:b/>
              </w:rPr>
            </w:pPr>
          </w:p>
          <w:p w14:paraId="51348D8C" w14:textId="77777777" w:rsidR="00936D94" w:rsidRDefault="00936D94" w:rsidP="00086B6B">
            <w:r>
              <w:t xml:space="preserve">Landbrugsstyrelsen er bevidst om de ekstraordinære prisstigninger på bl.a. brændstof. Landbrugsstyrelsen vil igangsætte et analysearbejde med henblik på en vurdering af den generelle prisdannelse, denne vil danne grundlag for en mulig justering af </w:t>
            </w:r>
            <w:r>
              <w:lastRenderedPageBreak/>
              <w:t>ordningens standardomkostninger fremadrettet.</w:t>
            </w:r>
          </w:p>
          <w:p w14:paraId="68270C1F" w14:textId="77777777" w:rsidR="00936D94" w:rsidRDefault="00936D94" w:rsidP="00086B6B"/>
        </w:tc>
      </w:tr>
      <w:tr w:rsidR="00D15AC1" w14:paraId="3F1918A9" w14:textId="77777777" w:rsidTr="000C3E32">
        <w:tc>
          <w:tcPr>
            <w:tcW w:w="1129" w:type="dxa"/>
            <w:shd w:val="clear" w:color="auto" w:fill="auto"/>
          </w:tcPr>
          <w:p w14:paraId="1D61C5B7" w14:textId="77777777" w:rsidR="00D15AC1" w:rsidRDefault="00D95916" w:rsidP="00086B6B">
            <w:r>
              <w:lastRenderedPageBreak/>
              <w:t>2.5</w:t>
            </w:r>
          </w:p>
        </w:tc>
        <w:tc>
          <w:tcPr>
            <w:tcW w:w="4111" w:type="dxa"/>
          </w:tcPr>
          <w:p w14:paraId="4AEAC3D6" w14:textId="77777777" w:rsidR="00D15AC1" w:rsidRDefault="00D15AC1" w:rsidP="00D15AC1">
            <w:r>
              <w:t>Landbrugsstyrelsen meddelte den 28. januar 2021 på styrelsens hjemmeside, at Landbrugsstyrelsen har fejladministreret de minimis støttelofterne i en årrække. Det fremgik af nyheden, at 400 landmænd forventes at blive mødt med et tilbagebetalingskrav, som følge af at styrelsen ikke har kontrolleret støtteloftet for de minimis-statsstøtten på en række miljøordninger – herunder de tidligere minivådområdeordninger - korrekt.</w:t>
            </w:r>
          </w:p>
          <w:p w14:paraId="2B67D816" w14:textId="77777777" w:rsidR="00D15AC1" w:rsidRDefault="00D15AC1" w:rsidP="00D15AC1"/>
          <w:p w14:paraId="49D99AAF" w14:textId="77777777" w:rsidR="00D15AC1" w:rsidRDefault="00D15AC1" w:rsidP="00D15AC1">
            <w:r>
              <w:t>Det er helt urimeligt, at landmænd, der har sået efterafgrøder og har taget jord ud til minivådområder til gavn for miljøet, efterfølgende rammes hårdt af Landbrugsstyrelsens fejladministration. Landbrug &amp; Fødevarer vil på den baggrund stærkt opfordre Landbrugsstyrelsen til at lave tilskuddet som en anden form for statsstøtte end de minimis-støtte. Som absolut minimum bør Landbrugsstyrelsen administrere området korrekt og give ansøgerne klar og korrekt information om regler og vilkår på ansøgningstidspunktet.</w:t>
            </w:r>
          </w:p>
          <w:p w14:paraId="3C100B7C" w14:textId="77777777" w:rsidR="00D15AC1" w:rsidRDefault="00D15AC1" w:rsidP="00D15AC1">
            <w:r>
              <w:t>De minimis-statsstøttereglerne er kompliceret stof, hvor det er vanskeligt at opnå samlet overblik over, hvilke ordninger der skal tælles med i loftet, og hvornår loftet rammes. Landbrugsstyrelsen skriver nu, at ansøgeren skal angive al øvrig de minimis-støtte, der er modtaget i ansøgningsskemaet, såfremt der ansøges om de minimisstøtte.</w:t>
            </w:r>
          </w:p>
          <w:p w14:paraId="4E955AB4" w14:textId="77777777" w:rsidR="00D15AC1" w:rsidRDefault="00D15AC1" w:rsidP="00D15AC1">
            <w:r>
              <w:t xml:space="preserve">Landbrug &amp; Fødevarer vil foreslå en anden model. Landbrug &amp; Fødevarer har allerede i 2019 i forbindelse med justeringen af de minimis-støttereglerne på dette tidspunkt, opfordret regeringen til at oprette et nationalt register over de minimis-støtte. Det vil fremadrettet være en </w:t>
            </w:r>
            <w:r>
              <w:lastRenderedPageBreak/>
              <w:t>bedre mulighed for at give overblik og mindske risikoen for fejl. Det vil i øvrigt også give adgang til at hæve det nationale loft for de minimis støtte. Et tilbagebetalingskrav, der kommer efter et minivådområde er etableret, er både problematisk for den enkelte landmænd, der gør en ekstra indsats for miljøet, og at det er ødelæggende i forhold til andre landmænds motivation for at gå ind i kommende ordninger, der gavner miljø og samfund.</w:t>
            </w:r>
          </w:p>
          <w:p w14:paraId="52C5903E" w14:textId="77777777" w:rsidR="00D15AC1" w:rsidRDefault="00D15AC1" w:rsidP="00D15AC1"/>
        </w:tc>
        <w:tc>
          <w:tcPr>
            <w:tcW w:w="4105" w:type="dxa"/>
          </w:tcPr>
          <w:p w14:paraId="003B8719" w14:textId="77777777" w:rsidR="00D15AC1" w:rsidRDefault="003D086B" w:rsidP="00086B6B">
            <w:pPr>
              <w:rPr>
                <w:b/>
              </w:rPr>
            </w:pPr>
            <w:r w:rsidRPr="005372C5">
              <w:rPr>
                <w:b/>
              </w:rPr>
              <w:lastRenderedPageBreak/>
              <w:t xml:space="preserve">Bemærkningen giver ikke anledning til ændringer </w:t>
            </w:r>
            <w:r w:rsidR="00353912">
              <w:rPr>
                <w:b/>
              </w:rPr>
              <w:t>i bekendtgørelsen</w:t>
            </w:r>
            <w:r w:rsidRPr="005372C5">
              <w:rPr>
                <w:b/>
              </w:rPr>
              <w:t>:</w:t>
            </w:r>
          </w:p>
          <w:p w14:paraId="06BA8521" w14:textId="77777777" w:rsidR="00353912" w:rsidRDefault="00353912" w:rsidP="00086B6B">
            <w:pPr>
              <w:rPr>
                <w:b/>
              </w:rPr>
            </w:pPr>
          </w:p>
          <w:p w14:paraId="3C91FB90" w14:textId="77777777" w:rsidR="00936D94" w:rsidRDefault="00353912" w:rsidP="00086B6B">
            <w:r>
              <w:t xml:space="preserve">Landbrugsstyrelsen noterer sig ønsket om at ændre de minimis-kompensationen til en anden form for støtte. </w:t>
            </w:r>
            <w:r w:rsidR="0088712C">
              <w:t>Landbrugsstyrelsen vil igangsætte et arbejde for at undersøge alternative</w:t>
            </w:r>
            <w:r w:rsidR="00F3196B">
              <w:t>r</w:t>
            </w:r>
            <w:r w:rsidR="0088712C">
              <w:t xml:space="preserve"> til den nuværende kompensation. </w:t>
            </w:r>
          </w:p>
          <w:p w14:paraId="476C8A7C" w14:textId="77777777" w:rsidR="00353912" w:rsidRDefault="00353912" w:rsidP="00086B6B"/>
          <w:p w14:paraId="2A099708" w14:textId="77777777" w:rsidR="0088712C" w:rsidRDefault="0088712C" w:rsidP="00086B6B">
            <w:r>
              <w:t xml:space="preserve">Landbrugsstyrelsen vil sikre at vejledning er uddybet med regler og vilkår for de minimis. </w:t>
            </w:r>
          </w:p>
          <w:p w14:paraId="4CF3DB88" w14:textId="77777777" w:rsidR="0088712C" w:rsidRDefault="0088712C" w:rsidP="00086B6B"/>
          <w:p w14:paraId="4239D124" w14:textId="77777777" w:rsidR="0088712C" w:rsidRPr="00353912" w:rsidRDefault="0088712C" w:rsidP="00086B6B">
            <w:r>
              <w:t>Landbrugsstyrelsen vil videregive ønsket om et cen</w:t>
            </w:r>
            <w:r w:rsidR="008B6E79">
              <w:t>t</w:t>
            </w:r>
            <w:r>
              <w:t xml:space="preserve">ralt register over de minimis. </w:t>
            </w:r>
          </w:p>
        </w:tc>
      </w:tr>
      <w:tr w:rsidR="00D15AC1" w14:paraId="3C3F5028" w14:textId="77777777" w:rsidTr="000C3E32">
        <w:tc>
          <w:tcPr>
            <w:tcW w:w="1129" w:type="dxa"/>
            <w:shd w:val="clear" w:color="auto" w:fill="auto"/>
          </w:tcPr>
          <w:p w14:paraId="40D3E948" w14:textId="77777777" w:rsidR="00D15AC1" w:rsidRDefault="00D95916" w:rsidP="00086B6B">
            <w:r>
              <w:t>2.6</w:t>
            </w:r>
          </w:p>
        </w:tc>
        <w:tc>
          <w:tcPr>
            <w:tcW w:w="4111" w:type="dxa"/>
          </w:tcPr>
          <w:p w14:paraId="1CA9397D" w14:textId="77777777" w:rsidR="00D15AC1" w:rsidRDefault="00D15AC1" w:rsidP="00D15AC1">
            <w:r>
              <w:t xml:space="preserve">Det er helt afgørende at ansøgninger og udbetalinger håndteres hurtigt og effektivt. 2021-ordningen lukkede den 14. september 2021, men ifølge tilskudsguiden pr. 2. februar 2022 manglede stadig afgørelse af 11 ud af 94 ansøgninger om tilsagn. Det er langt fra tilfredsstillende. Dertil kommer, at hurtige udbetalingerne er afgørende for likviditeten hos de landmænd, der skal investere. </w:t>
            </w:r>
          </w:p>
          <w:p w14:paraId="230F2B15" w14:textId="77777777" w:rsidR="00D15AC1" w:rsidRDefault="00D15AC1" w:rsidP="00D15AC1"/>
          <w:p w14:paraId="17F480B9" w14:textId="77777777" w:rsidR="00D15AC1" w:rsidRDefault="00D15AC1" w:rsidP="00353912">
            <w:r>
              <w:t>Med hensyn til de mange udfordringer, der gennem årene har været med sagsbehandlingen og itsystemerne,</w:t>
            </w:r>
            <w:r w:rsidR="00353912">
              <w:t xml:space="preserve"> </w:t>
            </w:r>
            <w:r>
              <w:t>må vi her til sidst henlede opmærksomheden på aftalen om grøn omstilling af dansk landbrug, hvori der står: ”</w:t>
            </w:r>
            <w:r w:rsidRPr="00D15AC1">
              <w:rPr>
                <w:i/>
              </w:rPr>
              <w:t>Aftaleparterne anerkender, at miljøgarantien forudsætter en effektiv</w:t>
            </w:r>
            <w:r>
              <w:rPr>
                <w:i/>
              </w:rPr>
              <w:t xml:space="preserve"> </w:t>
            </w:r>
            <w:r w:rsidRPr="00D15AC1">
              <w:rPr>
                <w:i/>
              </w:rPr>
              <w:t xml:space="preserve">sagsbehandling i de relevante </w:t>
            </w:r>
            <w:proofErr w:type="gramStart"/>
            <w:r w:rsidRPr="00D15AC1">
              <w:rPr>
                <w:i/>
              </w:rPr>
              <w:t>myndigheder.</w:t>
            </w:r>
            <w:r>
              <w:t>”</w:t>
            </w:r>
            <w:proofErr w:type="gramEnd"/>
            <w:r>
              <w:t xml:space="preserve"> Vi vil fortsat have meget stor opmærksomhed på, om sagsbehandlingen fremadrettet lever op til denne forudsætning.</w:t>
            </w:r>
          </w:p>
        </w:tc>
        <w:tc>
          <w:tcPr>
            <w:tcW w:w="4105" w:type="dxa"/>
          </w:tcPr>
          <w:p w14:paraId="19FB069C" w14:textId="77777777" w:rsidR="00D15AC1" w:rsidRDefault="003D086B" w:rsidP="00086B6B">
            <w:pPr>
              <w:rPr>
                <w:b/>
              </w:rPr>
            </w:pPr>
            <w:r w:rsidRPr="005372C5">
              <w:rPr>
                <w:b/>
              </w:rPr>
              <w:t xml:space="preserve">Bemærkningen giver ikke anledning til ændringer </w:t>
            </w:r>
            <w:r w:rsidR="00353912">
              <w:rPr>
                <w:b/>
              </w:rPr>
              <w:t>i bekendtgørelsen</w:t>
            </w:r>
            <w:r w:rsidRPr="005372C5">
              <w:rPr>
                <w:b/>
              </w:rPr>
              <w:t>:</w:t>
            </w:r>
          </w:p>
          <w:p w14:paraId="4E395A80" w14:textId="77777777" w:rsidR="00353912" w:rsidRDefault="00353912" w:rsidP="00086B6B">
            <w:pPr>
              <w:rPr>
                <w:b/>
              </w:rPr>
            </w:pPr>
          </w:p>
          <w:p w14:paraId="0951B373" w14:textId="77777777" w:rsidR="00353912" w:rsidRDefault="00353912" w:rsidP="00086B6B">
            <w:r>
              <w:t>Der henvis</w:t>
            </w:r>
            <w:r w:rsidR="000227EF">
              <w:t xml:space="preserve">es </w:t>
            </w:r>
            <w:r w:rsidR="0088712C">
              <w:t xml:space="preserve">i kommentaren </w:t>
            </w:r>
            <w:r w:rsidR="000227EF">
              <w:t xml:space="preserve">til tal fra Tilskudsguiden. Der foregår løbende sagsbehandling, men der kan være forsinkelse ift. opdatering af Tilskudsguiden, hvilket er tilfældet her. </w:t>
            </w:r>
            <w:r>
              <w:t>Landbrugsstyrelsen kan hertil oplyse, at styrelsen for sagsbehandling af tilsagn på ansøgningsrunden i 2021 har nået mål fastsat i</w:t>
            </w:r>
            <w:r w:rsidR="000227EF">
              <w:t xml:space="preserve"> Landbrugsstyrelsens</w:t>
            </w:r>
            <w:r>
              <w:t xml:space="preserve"> Mål- og Resultatplan. </w:t>
            </w:r>
          </w:p>
          <w:p w14:paraId="1E5DF92D" w14:textId="77777777" w:rsidR="0088712C" w:rsidRDefault="0088712C" w:rsidP="00086B6B"/>
          <w:p w14:paraId="162D083F" w14:textId="77777777" w:rsidR="0088712C" w:rsidRDefault="0088712C" w:rsidP="0088712C">
            <w:r>
              <w:t xml:space="preserve">Landbrugsstyrelsen anerkender, at der har været uhensigtsmæssig lang sagsbehandlingstid på nogle sager på minivådområdeordningen. Dette er beklageligt. Styrelsen har løbende fokus på at forbedre administrationsgrundlag og opsætning af systemunderstøttelse i sagsbehandlingen, hvilket skal sikre enkel og smidig sagsbehandling. Samtidig er det også Landbrugsstyrelsens opgave at sikre en ansvarlig forvaltning af offentlige midler, under hensyn til gældende EU-regler.  </w:t>
            </w:r>
          </w:p>
          <w:p w14:paraId="58A204A5" w14:textId="77777777" w:rsidR="0088712C" w:rsidRDefault="0088712C" w:rsidP="0088712C"/>
          <w:p w14:paraId="5A990AC7" w14:textId="77777777" w:rsidR="0088712C" w:rsidRDefault="0088712C" w:rsidP="0088712C"/>
        </w:tc>
      </w:tr>
      <w:tr w:rsidR="00D15AC1" w14:paraId="4F86C7BD" w14:textId="77777777" w:rsidTr="000C3E32">
        <w:tc>
          <w:tcPr>
            <w:tcW w:w="1129" w:type="dxa"/>
            <w:shd w:val="clear" w:color="auto" w:fill="auto"/>
          </w:tcPr>
          <w:p w14:paraId="63F2DC88" w14:textId="77777777" w:rsidR="00D15AC1" w:rsidRDefault="00D15AC1" w:rsidP="00086B6B">
            <w:r>
              <w:t xml:space="preserve">3. </w:t>
            </w:r>
          </w:p>
        </w:tc>
        <w:tc>
          <w:tcPr>
            <w:tcW w:w="8216" w:type="dxa"/>
            <w:gridSpan w:val="2"/>
          </w:tcPr>
          <w:p w14:paraId="77032A9D" w14:textId="77777777" w:rsidR="00D15AC1" w:rsidRPr="000C3E32" w:rsidRDefault="00D15AC1" w:rsidP="00086B6B">
            <w:pPr>
              <w:rPr>
                <w:b/>
              </w:rPr>
            </w:pPr>
            <w:r w:rsidRPr="000C3E32">
              <w:rPr>
                <w:b/>
              </w:rPr>
              <w:t xml:space="preserve">SEGES </w:t>
            </w:r>
          </w:p>
        </w:tc>
      </w:tr>
      <w:tr w:rsidR="00D15AC1" w14:paraId="0E05E3B3" w14:textId="77777777" w:rsidTr="000C3E32">
        <w:tc>
          <w:tcPr>
            <w:tcW w:w="1129" w:type="dxa"/>
            <w:shd w:val="clear" w:color="auto" w:fill="auto"/>
          </w:tcPr>
          <w:p w14:paraId="00A97D7F" w14:textId="77777777" w:rsidR="00D15AC1" w:rsidRDefault="003D086B" w:rsidP="00086B6B">
            <w:r>
              <w:t>3.1</w:t>
            </w:r>
          </w:p>
        </w:tc>
        <w:tc>
          <w:tcPr>
            <w:tcW w:w="4111" w:type="dxa"/>
          </w:tcPr>
          <w:p w14:paraId="014030D4" w14:textId="77777777" w:rsidR="00D15AC1" w:rsidRPr="009D428D" w:rsidRDefault="00D15AC1" w:rsidP="00D15AC1">
            <w:pPr>
              <w:rPr>
                <w:rFonts w:asciiTheme="minorHAnsi" w:hAnsiTheme="minorHAnsi"/>
                <w:i/>
                <w:iCs/>
                <w:szCs w:val="22"/>
              </w:rPr>
            </w:pPr>
            <w:r w:rsidRPr="009D428D">
              <w:rPr>
                <w:rFonts w:asciiTheme="minorHAnsi" w:hAnsiTheme="minorHAnsi"/>
                <w:szCs w:val="22"/>
              </w:rPr>
              <w:t xml:space="preserve"> </w:t>
            </w:r>
            <w:r w:rsidRPr="009D428D">
              <w:rPr>
                <w:rFonts w:asciiTheme="minorHAnsi" w:hAnsiTheme="minorHAnsi"/>
                <w:i/>
                <w:iCs/>
                <w:szCs w:val="22"/>
              </w:rPr>
              <w:t>§</w:t>
            </w:r>
            <w:r w:rsidR="008B6E79">
              <w:rPr>
                <w:rFonts w:asciiTheme="minorHAnsi" w:hAnsiTheme="minorHAnsi"/>
                <w:i/>
                <w:iCs/>
                <w:szCs w:val="22"/>
              </w:rPr>
              <w:t xml:space="preserve"> </w:t>
            </w:r>
            <w:r w:rsidRPr="009D428D">
              <w:rPr>
                <w:rFonts w:asciiTheme="minorHAnsi" w:hAnsiTheme="minorHAnsi"/>
                <w:i/>
                <w:iCs/>
                <w:szCs w:val="22"/>
              </w:rPr>
              <w:t xml:space="preserve">1. </w:t>
            </w:r>
            <w:r w:rsidR="0056270F">
              <w:rPr>
                <w:rFonts w:asciiTheme="minorHAnsi" w:hAnsiTheme="minorHAnsi"/>
                <w:i/>
                <w:iCs/>
                <w:szCs w:val="22"/>
              </w:rPr>
              <w:t>s</w:t>
            </w:r>
            <w:r w:rsidRPr="009D428D">
              <w:rPr>
                <w:rFonts w:asciiTheme="minorHAnsi" w:hAnsiTheme="minorHAnsi"/>
                <w:i/>
                <w:iCs/>
                <w:szCs w:val="22"/>
              </w:rPr>
              <w:t>tk. 2. Bekendtgørelsen finder anvendelse for tilskud på arealer, der fremgår af Udpegnings-kort for minivådområder 2022 i henhold til bilag 6 i denne bekendtgørelse.</w:t>
            </w:r>
          </w:p>
          <w:p w14:paraId="169DF7A2" w14:textId="77777777" w:rsidR="003D086B" w:rsidRPr="009D428D" w:rsidRDefault="003D086B" w:rsidP="00D15AC1">
            <w:pPr>
              <w:rPr>
                <w:rFonts w:asciiTheme="minorHAnsi" w:hAnsiTheme="minorHAnsi"/>
                <w:i/>
                <w:iCs/>
                <w:szCs w:val="22"/>
              </w:rPr>
            </w:pPr>
          </w:p>
          <w:p w14:paraId="4531ACD2" w14:textId="77777777" w:rsidR="003D086B" w:rsidRPr="009D428D" w:rsidRDefault="003D086B" w:rsidP="003D086B">
            <w:pPr>
              <w:rPr>
                <w:rFonts w:asciiTheme="minorHAnsi" w:hAnsiTheme="minorHAnsi"/>
                <w:szCs w:val="22"/>
              </w:rPr>
            </w:pPr>
            <w:r w:rsidRPr="009D428D">
              <w:rPr>
                <w:rFonts w:asciiTheme="minorHAnsi" w:hAnsiTheme="minorHAnsi"/>
                <w:szCs w:val="22"/>
              </w:rPr>
              <w:t>SEGES finder det beklageligt, at andelen af egnede arealer til pl</w:t>
            </w:r>
            <w:r w:rsidR="00954E84">
              <w:rPr>
                <w:rFonts w:asciiTheme="minorHAnsi" w:hAnsiTheme="minorHAnsi"/>
                <w:szCs w:val="22"/>
              </w:rPr>
              <w:t>acering af minivådområder er re</w:t>
            </w:r>
            <w:r w:rsidRPr="009D428D">
              <w:rPr>
                <w:rFonts w:asciiTheme="minorHAnsi" w:hAnsiTheme="minorHAnsi"/>
                <w:szCs w:val="22"/>
              </w:rPr>
              <w:t xml:space="preserve">duceret år for år i potentialekortet. Væsentligst er, at alle arealer kortlagt som tørvejord jf Tekstur 2014 blev ændret til ikke-egnede arealer i forbindelse med ansøgningsrunden 2021. Disse æn-dringer reducerer mulighederne for at bidrage til den kollektive indsats med minivådområder. Særligt begrænsningen mht udpegede tørvejord er uhensigtsmæssig, som der er redegjort for i høringssvarets bemærkninger til </w:t>
            </w:r>
            <w:r w:rsidRPr="009D428D">
              <w:rPr>
                <w:rFonts w:asciiTheme="minorHAnsi" w:hAnsiTheme="minorHAnsi"/>
                <w:i/>
                <w:iCs/>
                <w:szCs w:val="22"/>
              </w:rPr>
              <w:t>§</w:t>
            </w:r>
            <w:r w:rsidR="005073E7">
              <w:rPr>
                <w:rFonts w:asciiTheme="minorHAnsi" w:hAnsiTheme="minorHAnsi"/>
                <w:i/>
                <w:iCs/>
                <w:szCs w:val="22"/>
              </w:rPr>
              <w:t xml:space="preserve"> </w:t>
            </w:r>
            <w:r w:rsidRPr="009D428D">
              <w:rPr>
                <w:rFonts w:asciiTheme="minorHAnsi" w:hAnsiTheme="minorHAnsi"/>
                <w:i/>
                <w:iCs/>
                <w:szCs w:val="22"/>
              </w:rPr>
              <w:t>9</w:t>
            </w:r>
            <w:r w:rsidR="005073E7">
              <w:rPr>
                <w:rFonts w:asciiTheme="minorHAnsi" w:hAnsiTheme="minorHAnsi"/>
                <w:i/>
                <w:iCs/>
                <w:szCs w:val="22"/>
              </w:rPr>
              <w:t>, nr.</w:t>
            </w:r>
            <w:r w:rsidRPr="009D428D">
              <w:rPr>
                <w:rFonts w:asciiTheme="minorHAnsi" w:hAnsiTheme="minorHAnsi"/>
                <w:i/>
                <w:iCs/>
                <w:szCs w:val="22"/>
              </w:rPr>
              <w:t xml:space="preserve"> 9)</w:t>
            </w:r>
          </w:p>
          <w:p w14:paraId="1DBFD0DE" w14:textId="77777777" w:rsidR="00D15AC1" w:rsidRPr="009D428D" w:rsidRDefault="00D15AC1" w:rsidP="00D15AC1">
            <w:pPr>
              <w:rPr>
                <w:rFonts w:asciiTheme="minorHAnsi" w:hAnsiTheme="minorHAnsi"/>
                <w:szCs w:val="22"/>
              </w:rPr>
            </w:pPr>
          </w:p>
          <w:p w14:paraId="62BC84E7" w14:textId="77777777" w:rsidR="00D15AC1" w:rsidRPr="009D428D" w:rsidRDefault="00D15AC1" w:rsidP="00D15AC1">
            <w:pPr>
              <w:rPr>
                <w:rFonts w:asciiTheme="minorHAnsi" w:hAnsiTheme="minorHAnsi"/>
                <w:szCs w:val="22"/>
              </w:rPr>
            </w:pPr>
          </w:p>
        </w:tc>
        <w:tc>
          <w:tcPr>
            <w:tcW w:w="4105" w:type="dxa"/>
          </w:tcPr>
          <w:p w14:paraId="75436ADB" w14:textId="77777777" w:rsidR="00D15AC1" w:rsidRDefault="003D086B" w:rsidP="00086B6B">
            <w:pPr>
              <w:rPr>
                <w:b/>
              </w:rPr>
            </w:pPr>
            <w:r w:rsidRPr="005372C5">
              <w:rPr>
                <w:b/>
              </w:rPr>
              <w:lastRenderedPageBreak/>
              <w:t>Bemærkningen giver ikke anledning til ændringer i bekendt</w:t>
            </w:r>
            <w:r w:rsidR="00954E84">
              <w:rPr>
                <w:b/>
              </w:rPr>
              <w:t>gørelsen</w:t>
            </w:r>
            <w:r w:rsidRPr="005372C5">
              <w:rPr>
                <w:b/>
              </w:rPr>
              <w:t>:</w:t>
            </w:r>
          </w:p>
          <w:p w14:paraId="366744B4" w14:textId="77777777" w:rsidR="00954E84" w:rsidRDefault="00954E84" w:rsidP="00086B6B">
            <w:pPr>
              <w:rPr>
                <w:b/>
              </w:rPr>
            </w:pPr>
          </w:p>
          <w:p w14:paraId="32C36BA8" w14:textId="77777777" w:rsidR="00954E84" w:rsidRDefault="00D95916" w:rsidP="00086B6B">
            <w:r>
              <w:lastRenderedPageBreak/>
              <w:t xml:space="preserve">Landbrugsstyrelsen kan hertil oplyse, at medtagningen af større forekomster af kulstofrige jorder under ”ikke egnet”-kategorien, skete på baggrund af politisk ønske om at sikre balance mellem virkemidler. </w:t>
            </w:r>
          </w:p>
        </w:tc>
      </w:tr>
      <w:tr w:rsidR="00D15AC1" w14:paraId="2ADDEADE" w14:textId="77777777" w:rsidTr="000C3E32">
        <w:tc>
          <w:tcPr>
            <w:tcW w:w="1129" w:type="dxa"/>
            <w:shd w:val="clear" w:color="auto" w:fill="auto"/>
          </w:tcPr>
          <w:p w14:paraId="12FD1170" w14:textId="77777777" w:rsidR="00D15AC1" w:rsidRDefault="00D95916" w:rsidP="00086B6B">
            <w:r>
              <w:lastRenderedPageBreak/>
              <w:t>3.2</w:t>
            </w:r>
          </w:p>
        </w:tc>
        <w:tc>
          <w:tcPr>
            <w:tcW w:w="4111" w:type="dxa"/>
          </w:tcPr>
          <w:p w14:paraId="1192AD23" w14:textId="77777777" w:rsidR="00D15AC1" w:rsidRPr="009D428D" w:rsidRDefault="003D086B" w:rsidP="003D086B">
            <w:pPr>
              <w:rPr>
                <w:rFonts w:asciiTheme="minorHAnsi" w:hAnsiTheme="minorHAnsi"/>
                <w:i/>
                <w:iCs/>
                <w:szCs w:val="22"/>
              </w:rPr>
            </w:pPr>
            <w:r w:rsidRPr="009D428D">
              <w:rPr>
                <w:rFonts w:asciiTheme="minorHAnsi" w:hAnsiTheme="minorHAnsi"/>
                <w:szCs w:val="22"/>
              </w:rPr>
              <w:t xml:space="preserve"> </w:t>
            </w:r>
            <w:r w:rsidRPr="009D428D">
              <w:rPr>
                <w:rFonts w:asciiTheme="minorHAnsi" w:hAnsiTheme="minorHAnsi"/>
                <w:i/>
                <w:iCs/>
                <w:szCs w:val="22"/>
              </w:rPr>
              <w:t>§</w:t>
            </w:r>
            <w:r w:rsidR="005073E7">
              <w:rPr>
                <w:rFonts w:asciiTheme="minorHAnsi" w:hAnsiTheme="minorHAnsi"/>
                <w:i/>
                <w:iCs/>
                <w:szCs w:val="22"/>
              </w:rPr>
              <w:t xml:space="preserve"> </w:t>
            </w:r>
            <w:r w:rsidRPr="009D428D">
              <w:rPr>
                <w:rFonts w:asciiTheme="minorHAnsi" w:hAnsiTheme="minorHAnsi"/>
                <w:i/>
                <w:iCs/>
                <w:szCs w:val="22"/>
              </w:rPr>
              <w:t>2</w:t>
            </w:r>
            <w:r w:rsidR="005073E7">
              <w:rPr>
                <w:rFonts w:asciiTheme="minorHAnsi" w:hAnsiTheme="minorHAnsi"/>
                <w:i/>
                <w:iCs/>
                <w:szCs w:val="22"/>
              </w:rPr>
              <w:t>,</w:t>
            </w:r>
            <w:r w:rsidRPr="009D428D">
              <w:rPr>
                <w:rFonts w:asciiTheme="minorHAnsi" w:hAnsiTheme="minorHAnsi"/>
                <w:i/>
                <w:iCs/>
                <w:szCs w:val="22"/>
              </w:rPr>
              <w:t xml:space="preserve"> stk 2. Kompensationen ydes som de minimis-støtte, jf. Kommissionens Forordning (EU) nr. 1408/2013 af 18. december 2013 og Kommissionens Forordning (EU) nr. 2019/316 af 21. februar 2019.</w:t>
            </w:r>
          </w:p>
          <w:p w14:paraId="4308DB13" w14:textId="77777777" w:rsidR="003D086B" w:rsidRPr="009D428D" w:rsidRDefault="003D086B" w:rsidP="003D086B">
            <w:pPr>
              <w:rPr>
                <w:rFonts w:asciiTheme="minorHAnsi" w:hAnsiTheme="minorHAnsi"/>
                <w:i/>
                <w:iCs/>
                <w:szCs w:val="22"/>
              </w:rPr>
            </w:pPr>
          </w:p>
          <w:p w14:paraId="45C94D0E" w14:textId="77777777" w:rsidR="003D086B" w:rsidRPr="009D428D" w:rsidRDefault="003D086B" w:rsidP="003D086B">
            <w:pPr>
              <w:pStyle w:val="Default"/>
              <w:rPr>
                <w:rFonts w:asciiTheme="minorHAnsi" w:hAnsiTheme="minorHAnsi"/>
                <w:sz w:val="22"/>
                <w:szCs w:val="22"/>
              </w:rPr>
            </w:pPr>
          </w:p>
          <w:p w14:paraId="569DF42B"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sz w:val="22"/>
                <w:szCs w:val="22"/>
              </w:rPr>
              <w:t xml:space="preserve">Det er SEGES erfaring, at det er uhensigtsmæssigt, at kompensationen ydes som de minimis, da dette medfører, at der er loft over, hvor mange indsatser en bedrift kan gennemføre med fuldt tilskud. I oplande, hvor der er forudsat et stort indsatsbehov, vil de nødvendige indsatser ikke kunne gennemføres indenfor rammerne af støtteloftet for større bedrifter. </w:t>
            </w:r>
          </w:p>
          <w:p w14:paraId="04ACE68C" w14:textId="77777777" w:rsidR="003D086B" w:rsidRPr="009D428D" w:rsidRDefault="003D086B" w:rsidP="003D086B">
            <w:pPr>
              <w:rPr>
                <w:rFonts w:asciiTheme="minorHAnsi" w:hAnsiTheme="minorHAnsi"/>
                <w:szCs w:val="22"/>
              </w:rPr>
            </w:pPr>
            <w:r w:rsidRPr="009D428D">
              <w:rPr>
                <w:rFonts w:asciiTheme="minorHAnsi" w:hAnsiTheme="minorHAnsi"/>
                <w:szCs w:val="22"/>
              </w:rPr>
              <w:t>SEGES anbefaler derfor, at der etableres en støttemodel, så den nødvendige støtte ydes udenfor de minimis-reglerne.</w:t>
            </w:r>
          </w:p>
        </w:tc>
        <w:tc>
          <w:tcPr>
            <w:tcW w:w="4105" w:type="dxa"/>
          </w:tcPr>
          <w:p w14:paraId="781542ED" w14:textId="77777777" w:rsidR="00D15AC1" w:rsidRDefault="003D086B" w:rsidP="00086B6B">
            <w:pPr>
              <w:rPr>
                <w:b/>
              </w:rPr>
            </w:pPr>
            <w:r w:rsidRPr="005372C5">
              <w:rPr>
                <w:b/>
              </w:rPr>
              <w:t xml:space="preserve">Bemærkningen giver ikke anledning til </w:t>
            </w:r>
            <w:r w:rsidR="00D95916">
              <w:rPr>
                <w:b/>
              </w:rPr>
              <w:t>ændringer i bekendtgørelsen</w:t>
            </w:r>
            <w:r w:rsidRPr="005372C5">
              <w:rPr>
                <w:b/>
              </w:rPr>
              <w:t>:</w:t>
            </w:r>
          </w:p>
          <w:p w14:paraId="62B57588" w14:textId="77777777" w:rsidR="00D95916" w:rsidRDefault="00D95916" w:rsidP="00086B6B">
            <w:pPr>
              <w:rPr>
                <w:b/>
              </w:rPr>
            </w:pPr>
          </w:p>
          <w:p w14:paraId="666AD0EC" w14:textId="77777777" w:rsidR="00D95916" w:rsidRPr="00D95916" w:rsidRDefault="00D95916" w:rsidP="00086B6B">
            <w:r>
              <w:t xml:space="preserve">Der henvises til svar under punkt 2.5. </w:t>
            </w:r>
          </w:p>
        </w:tc>
      </w:tr>
      <w:tr w:rsidR="003D086B" w14:paraId="29CB7106" w14:textId="77777777" w:rsidTr="000C3E32">
        <w:tc>
          <w:tcPr>
            <w:tcW w:w="1129" w:type="dxa"/>
            <w:shd w:val="clear" w:color="auto" w:fill="auto"/>
          </w:tcPr>
          <w:p w14:paraId="1E88072A" w14:textId="77777777" w:rsidR="003D086B" w:rsidRDefault="00D95916" w:rsidP="00086B6B">
            <w:r>
              <w:t>3.3</w:t>
            </w:r>
          </w:p>
        </w:tc>
        <w:tc>
          <w:tcPr>
            <w:tcW w:w="4111" w:type="dxa"/>
          </w:tcPr>
          <w:p w14:paraId="638798CB" w14:textId="77777777" w:rsidR="003D086B" w:rsidRPr="009D428D" w:rsidRDefault="003D086B" w:rsidP="003D086B">
            <w:pPr>
              <w:rPr>
                <w:rFonts w:asciiTheme="minorHAnsi" w:hAnsiTheme="minorHAnsi"/>
                <w:i/>
                <w:iCs/>
                <w:szCs w:val="22"/>
              </w:rPr>
            </w:pPr>
            <w:r w:rsidRPr="009D428D">
              <w:rPr>
                <w:rFonts w:asciiTheme="minorHAnsi" w:hAnsiTheme="minorHAnsi"/>
                <w:szCs w:val="22"/>
              </w:rPr>
              <w:t xml:space="preserve"> </w:t>
            </w:r>
            <w:r w:rsidRPr="009D428D">
              <w:rPr>
                <w:rFonts w:asciiTheme="minorHAnsi" w:hAnsiTheme="minorHAnsi"/>
                <w:b/>
                <w:bCs/>
                <w:i/>
                <w:iCs/>
                <w:szCs w:val="22"/>
              </w:rPr>
              <w:t xml:space="preserve">§ 5. </w:t>
            </w:r>
            <w:r w:rsidRPr="009D428D">
              <w:rPr>
                <w:rFonts w:asciiTheme="minorHAnsi" w:hAnsiTheme="minorHAnsi"/>
                <w:i/>
                <w:iCs/>
                <w:szCs w:val="22"/>
              </w:rPr>
              <w:t>Alle ansøgninger om tilsagn om tilskud, jf. § 6, projektændringer, jf. § 13 projektoverdragelser, jf. § 14 og udbetalinger, jf. §§ 15-16 indsendes elektronisk via tilskudsmyndighedens selvbetjeningsløsning.</w:t>
            </w:r>
          </w:p>
          <w:p w14:paraId="63FD88F9" w14:textId="77777777" w:rsidR="003D086B" w:rsidRPr="009D428D" w:rsidRDefault="003D086B" w:rsidP="003D086B">
            <w:pPr>
              <w:rPr>
                <w:rFonts w:asciiTheme="minorHAnsi" w:hAnsiTheme="minorHAnsi"/>
                <w:i/>
                <w:iCs/>
                <w:szCs w:val="22"/>
              </w:rPr>
            </w:pPr>
          </w:p>
          <w:p w14:paraId="107CA182"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sz w:val="22"/>
                <w:szCs w:val="22"/>
              </w:rPr>
              <w:t xml:space="preserve">I kapitlet redegøres der for, at alle ansøgninger om tilsagn om tilskud, </w:t>
            </w:r>
            <w:r w:rsidRPr="009D428D">
              <w:rPr>
                <w:rFonts w:asciiTheme="minorHAnsi" w:hAnsiTheme="minorHAnsi"/>
                <w:sz w:val="22"/>
                <w:szCs w:val="22"/>
              </w:rPr>
              <w:lastRenderedPageBreak/>
              <w:t xml:space="preserve">projektændringer, projekt-overdragelser, og udbetalinger der skal indsendes elektronisk via tilskudsmyndighedens selvbe-tjeningsløsning. </w:t>
            </w:r>
          </w:p>
          <w:p w14:paraId="184CC508" w14:textId="77777777" w:rsidR="003D086B" w:rsidRPr="009D428D" w:rsidRDefault="003D086B" w:rsidP="003D086B">
            <w:pPr>
              <w:rPr>
                <w:rFonts w:asciiTheme="minorHAnsi" w:hAnsiTheme="minorHAnsi"/>
                <w:i/>
                <w:iCs/>
                <w:szCs w:val="22"/>
              </w:rPr>
            </w:pPr>
            <w:r w:rsidRPr="009D428D">
              <w:rPr>
                <w:rFonts w:asciiTheme="minorHAnsi" w:hAnsiTheme="minorHAnsi"/>
                <w:szCs w:val="22"/>
              </w:rPr>
              <w:t>I hele tilskudsordningens historie har der været omfattende forsinkelser og problemer med at gennemføre projektændringer og overdragelser, således at en betydelig del af projekterne ikke vil kunne gennemføres indenfor projektperioden og dermed forventes at opgives. Med baggrund i de tilbagevendende, massive problemer, anbefales det, at der i stedet åbnes op for at lave manuel sagsbehandling.</w:t>
            </w:r>
          </w:p>
          <w:p w14:paraId="542F7E59" w14:textId="77777777" w:rsidR="003D086B" w:rsidRPr="009D428D" w:rsidRDefault="003D086B" w:rsidP="003D086B">
            <w:pPr>
              <w:rPr>
                <w:rFonts w:asciiTheme="minorHAnsi" w:hAnsiTheme="minorHAnsi"/>
                <w:szCs w:val="22"/>
              </w:rPr>
            </w:pPr>
          </w:p>
        </w:tc>
        <w:tc>
          <w:tcPr>
            <w:tcW w:w="4105" w:type="dxa"/>
          </w:tcPr>
          <w:p w14:paraId="3D0F103F" w14:textId="77777777" w:rsidR="003D086B" w:rsidRDefault="003D086B" w:rsidP="00086B6B">
            <w:pPr>
              <w:rPr>
                <w:b/>
              </w:rPr>
            </w:pPr>
            <w:r w:rsidRPr="005372C5">
              <w:rPr>
                <w:b/>
              </w:rPr>
              <w:lastRenderedPageBreak/>
              <w:t xml:space="preserve">Bemærkningen giver ikke anledning til ændringer </w:t>
            </w:r>
            <w:r w:rsidR="00EC418A">
              <w:rPr>
                <w:b/>
              </w:rPr>
              <w:t>i bekendtgørelsen</w:t>
            </w:r>
            <w:r w:rsidRPr="005372C5">
              <w:rPr>
                <w:b/>
              </w:rPr>
              <w:t>:</w:t>
            </w:r>
          </w:p>
          <w:p w14:paraId="05EF1AA8" w14:textId="77777777" w:rsidR="00D95916" w:rsidRDefault="00D95916" w:rsidP="00086B6B">
            <w:pPr>
              <w:rPr>
                <w:b/>
              </w:rPr>
            </w:pPr>
          </w:p>
          <w:p w14:paraId="40DE435F" w14:textId="77777777" w:rsidR="00D95916" w:rsidRPr="00D95916" w:rsidRDefault="00D95916" w:rsidP="00086B6B">
            <w:r w:rsidRPr="00D95916">
              <w:t xml:space="preserve">Der henvises til svar under punkt 2.6. </w:t>
            </w:r>
          </w:p>
        </w:tc>
      </w:tr>
      <w:tr w:rsidR="003D086B" w14:paraId="7442F5E5" w14:textId="77777777" w:rsidTr="000C3E32">
        <w:tc>
          <w:tcPr>
            <w:tcW w:w="1129" w:type="dxa"/>
            <w:shd w:val="clear" w:color="auto" w:fill="auto"/>
          </w:tcPr>
          <w:p w14:paraId="7CBBC107" w14:textId="77777777" w:rsidR="003D086B" w:rsidRDefault="00D95916" w:rsidP="00086B6B">
            <w:r>
              <w:t>3.4</w:t>
            </w:r>
          </w:p>
        </w:tc>
        <w:tc>
          <w:tcPr>
            <w:tcW w:w="4111" w:type="dxa"/>
          </w:tcPr>
          <w:p w14:paraId="49E91F2E" w14:textId="77777777" w:rsidR="003D086B" w:rsidRPr="009D428D" w:rsidRDefault="003D086B" w:rsidP="00D15AC1">
            <w:pPr>
              <w:rPr>
                <w:rFonts w:asciiTheme="minorHAnsi" w:hAnsiTheme="minorHAnsi"/>
                <w:i/>
                <w:iCs/>
                <w:szCs w:val="22"/>
              </w:rPr>
            </w:pPr>
            <w:r w:rsidRPr="009D428D">
              <w:rPr>
                <w:rFonts w:asciiTheme="minorHAnsi" w:hAnsiTheme="minorHAnsi"/>
                <w:i/>
                <w:iCs/>
                <w:szCs w:val="22"/>
              </w:rPr>
              <w:t>§</w:t>
            </w:r>
            <w:r w:rsidR="005073E7">
              <w:rPr>
                <w:rFonts w:asciiTheme="minorHAnsi" w:hAnsiTheme="minorHAnsi"/>
                <w:i/>
                <w:iCs/>
                <w:szCs w:val="22"/>
              </w:rPr>
              <w:t xml:space="preserve"> </w:t>
            </w:r>
            <w:r w:rsidRPr="009D428D">
              <w:rPr>
                <w:rFonts w:asciiTheme="minorHAnsi" w:hAnsiTheme="minorHAnsi"/>
                <w:i/>
                <w:iCs/>
                <w:szCs w:val="22"/>
              </w:rPr>
              <w:t>6. stk. 2.  Ansøgning om tilsagn om tilskud til etablering af konstruerede minivådområder, jf. § 2, stk. 1, herunder tilvalg af forskudsudbetaling, jf. § 17, stk. 1, ansøgning om kompensation for tabt indkomst og udgifter i forbindelse med vedligeholdelse af et minivådområde, jf. § 2, stk. 2, og ansøgning om tilskud til pumpe, jf. § 2, stk. 3, kan indgives i perioden fra den 25. maj til den 30. august 2022.</w:t>
            </w:r>
          </w:p>
          <w:p w14:paraId="0F5E0872" w14:textId="77777777" w:rsidR="003D086B" w:rsidRPr="009D428D" w:rsidRDefault="003D086B" w:rsidP="00D15AC1">
            <w:pPr>
              <w:rPr>
                <w:rFonts w:asciiTheme="minorHAnsi" w:hAnsiTheme="minorHAnsi"/>
                <w:i/>
                <w:iCs/>
                <w:szCs w:val="22"/>
              </w:rPr>
            </w:pPr>
          </w:p>
          <w:p w14:paraId="2576C400"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sz w:val="22"/>
                <w:szCs w:val="22"/>
              </w:rPr>
              <w:t>SEGES finder det meget beklageligt, at ansøgningsperioden er afkortet med ca. 2 uger i forhold til 2021, og at en stor del af ansøgningsperioden vil være sammenfaldende med sommerferien. Særligt da der i forbindelse med den ændrede bekendtgørelse er</w:t>
            </w:r>
            <w:r w:rsidR="00617F16">
              <w:rPr>
                <w:rFonts w:asciiTheme="minorHAnsi" w:hAnsiTheme="minorHAnsi"/>
                <w:sz w:val="22"/>
                <w:szCs w:val="22"/>
              </w:rPr>
              <w:t xml:space="preserve"> indført et krav om, at dokumen</w:t>
            </w:r>
            <w:r w:rsidRPr="009D428D">
              <w:rPr>
                <w:rFonts w:asciiTheme="minorHAnsi" w:hAnsiTheme="minorHAnsi"/>
                <w:sz w:val="22"/>
                <w:szCs w:val="22"/>
              </w:rPr>
              <w:t xml:space="preserve">tation for koordinering med kommunen om eventuel påvirkning af etablerede eller projekterede projekter skal indsendes allerede sammen med ansøgningen. </w:t>
            </w:r>
          </w:p>
          <w:p w14:paraId="5849EB85" w14:textId="77777777" w:rsidR="003D086B" w:rsidRPr="009D428D" w:rsidRDefault="003D086B" w:rsidP="003D086B">
            <w:pPr>
              <w:rPr>
                <w:rFonts w:asciiTheme="minorHAnsi" w:hAnsiTheme="minorHAnsi"/>
                <w:szCs w:val="22"/>
              </w:rPr>
            </w:pPr>
            <w:r w:rsidRPr="009D428D">
              <w:rPr>
                <w:rFonts w:asciiTheme="minorHAnsi" w:hAnsiTheme="minorHAnsi"/>
                <w:szCs w:val="22"/>
              </w:rPr>
              <w:t>SEGES vurderer, at det reelt vil være formålsløst at lave en ops</w:t>
            </w:r>
            <w:r w:rsidR="00617F16">
              <w:rPr>
                <w:rFonts w:asciiTheme="minorHAnsi" w:hAnsiTheme="minorHAnsi"/>
                <w:szCs w:val="22"/>
              </w:rPr>
              <w:t>øgende indsat overfor nye poten</w:t>
            </w:r>
            <w:r w:rsidRPr="009D428D">
              <w:rPr>
                <w:rFonts w:asciiTheme="minorHAnsi" w:hAnsiTheme="minorHAnsi"/>
                <w:szCs w:val="22"/>
              </w:rPr>
              <w:t xml:space="preserve">tielle ansøgere efter sommerferien, da det bliver for usikkert at kunne nå både detailplanlægning og koordinering med kommunen inden ansøgningsfristen. Den reelle ansøgningsperiode i 2022 er hermed </w:t>
            </w:r>
            <w:r w:rsidRPr="009D428D">
              <w:rPr>
                <w:rFonts w:asciiTheme="minorHAnsi" w:hAnsiTheme="minorHAnsi"/>
                <w:szCs w:val="22"/>
              </w:rPr>
              <w:lastRenderedPageBreak/>
              <w:t>afkortet til ca. 1 måned fra 25. maj indtil sommerferien, hvilket reducerer mulighederne betragteligt for at kunne søge tilskud til minivådområder i 2022. SEGES anbefaler, at ansøgnings-perioden i stedet forlænges indtil ca. 30. september, så den nødvendige forberedelse og koordinering kan nås, og der kan opnås en bedre søgning på ordningen.</w:t>
            </w:r>
          </w:p>
          <w:p w14:paraId="26DD3E03" w14:textId="77777777" w:rsidR="003D086B" w:rsidRPr="009D428D" w:rsidRDefault="003D086B" w:rsidP="003D086B">
            <w:pPr>
              <w:rPr>
                <w:rFonts w:asciiTheme="minorHAnsi" w:hAnsiTheme="minorHAnsi"/>
                <w:szCs w:val="22"/>
              </w:rPr>
            </w:pPr>
          </w:p>
        </w:tc>
        <w:tc>
          <w:tcPr>
            <w:tcW w:w="4105" w:type="dxa"/>
          </w:tcPr>
          <w:p w14:paraId="10A0B3C3" w14:textId="77777777" w:rsidR="003D086B" w:rsidRDefault="00617F16" w:rsidP="00086B6B">
            <w:pPr>
              <w:rPr>
                <w:b/>
              </w:rPr>
            </w:pPr>
            <w:r>
              <w:rPr>
                <w:b/>
              </w:rPr>
              <w:lastRenderedPageBreak/>
              <w:t>Bemærkningen giver</w:t>
            </w:r>
            <w:r w:rsidR="003D086B" w:rsidRPr="005372C5">
              <w:rPr>
                <w:b/>
              </w:rPr>
              <w:t xml:space="preserve"> anledning til ændringer </w:t>
            </w:r>
            <w:r>
              <w:rPr>
                <w:b/>
              </w:rPr>
              <w:t>i bekendtgørelsen</w:t>
            </w:r>
            <w:r w:rsidR="003D086B" w:rsidRPr="005372C5">
              <w:rPr>
                <w:b/>
              </w:rPr>
              <w:t>:</w:t>
            </w:r>
          </w:p>
          <w:p w14:paraId="001CFBF0" w14:textId="77777777" w:rsidR="00617F16" w:rsidRDefault="00617F16" w:rsidP="00086B6B">
            <w:pPr>
              <w:rPr>
                <w:b/>
              </w:rPr>
            </w:pPr>
          </w:p>
          <w:p w14:paraId="72F9CD39" w14:textId="77777777" w:rsidR="00617F16" w:rsidRPr="00617F16" w:rsidRDefault="00617F16" w:rsidP="00086B6B">
            <w:r>
              <w:t xml:space="preserve">Landbrugsstyrelsen tager bemærkningen til efterretning. Ansøgningsrunden forlænges til 30. september. </w:t>
            </w:r>
          </w:p>
        </w:tc>
      </w:tr>
      <w:tr w:rsidR="003D086B" w14:paraId="64E24D54" w14:textId="77777777" w:rsidTr="000C3E32">
        <w:tc>
          <w:tcPr>
            <w:tcW w:w="1129" w:type="dxa"/>
            <w:shd w:val="clear" w:color="auto" w:fill="auto"/>
          </w:tcPr>
          <w:p w14:paraId="47E059E3" w14:textId="77777777" w:rsidR="003D086B" w:rsidRDefault="00D95916" w:rsidP="00086B6B">
            <w:r>
              <w:t>3.5</w:t>
            </w:r>
          </w:p>
        </w:tc>
        <w:tc>
          <w:tcPr>
            <w:tcW w:w="4111" w:type="dxa"/>
          </w:tcPr>
          <w:p w14:paraId="04E53182" w14:textId="77777777" w:rsidR="003D086B" w:rsidRPr="009D428D" w:rsidRDefault="003D086B" w:rsidP="00D15AC1">
            <w:pPr>
              <w:rPr>
                <w:rFonts w:asciiTheme="minorHAnsi" w:hAnsiTheme="minorHAnsi"/>
                <w:i/>
                <w:iCs/>
                <w:szCs w:val="22"/>
              </w:rPr>
            </w:pPr>
            <w:r w:rsidRPr="009D428D">
              <w:rPr>
                <w:rFonts w:asciiTheme="minorHAnsi" w:hAnsiTheme="minorHAnsi"/>
                <w:i/>
                <w:iCs/>
                <w:szCs w:val="22"/>
              </w:rPr>
              <w:t>§</w:t>
            </w:r>
            <w:r w:rsidR="005073E7">
              <w:rPr>
                <w:rFonts w:asciiTheme="minorHAnsi" w:hAnsiTheme="minorHAnsi"/>
                <w:i/>
                <w:iCs/>
                <w:szCs w:val="22"/>
              </w:rPr>
              <w:t xml:space="preserve"> </w:t>
            </w:r>
            <w:r w:rsidRPr="009D428D">
              <w:rPr>
                <w:rFonts w:asciiTheme="minorHAnsi" w:hAnsiTheme="minorHAnsi"/>
                <w:i/>
                <w:iCs/>
                <w:szCs w:val="22"/>
              </w:rPr>
              <w:t>9</w:t>
            </w:r>
            <w:r w:rsidR="005073E7">
              <w:rPr>
                <w:rFonts w:asciiTheme="minorHAnsi" w:hAnsiTheme="minorHAnsi"/>
                <w:i/>
                <w:iCs/>
                <w:szCs w:val="22"/>
              </w:rPr>
              <w:t>, nr</w:t>
            </w:r>
            <w:r w:rsidRPr="009D428D">
              <w:rPr>
                <w:rFonts w:asciiTheme="minorHAnsi" w:hAnsiTheme="minorHAnsi"/>
                <w:i/>
                <w:iCs/>
                <w:szCs w:val="22"/>
              </w:rPr>
              <w:t>. 3) Projektarealet må ikke være større end 2 gange minivådområdets størrelse i ha.</w:t>
            </w:r>
          </w:p>
          <w:p w14:paraId="67A90C1C" w14:textId="77777777" w:rsidR="003D086B" w:rsidRPr="009D428D" w:rsidRDefault="003D086B" w:rsidP="00D15AC1">
            <w:pPr>
              <w:rPr>
                <w:rFonts w:asciiTheme="minorHAnsi" w:hAnsiTheme="minorHAnsi"/>
                <w:i/>
                <w:iCs/>
                <w:szCs w:val="22"/>
              </w:rPr>
            </w:pPr>
          </w:p>
          <w:p w14:paraId="5B427DBD"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sz w:val="22"/>
                <w:szCs w:val="22"/>
              </w:rPr>
              <w:t>Det er SEGES vurdering, at det er en væsentlig og unødvendig begrænsning, at projektarealet ikke må være større end 2 gange minivådområdets størrelse. Særligt set i lyset af de tilbagevendende problemer med Landbrugsstyrelsens selvbetjeningsløsning, der har medført betydelige forsinkelser med sagsbehandlingstider på op til 1 år, hvis projektarealet skulle ændres, for at kunne flytte eller tilpasse minivådområdet fx efter krav i de kommunale ti</w:t>
            </w:r>
            <w:r w:rsidR="00617F16">
              <w:rPr>
                <w:rFonts w:asciiTheme="minorHAnsi" w:hAnsiTheme="minorHAnsi"/>
                <w:sz w:val="22"/>
                <w:szCs w:val="22"/>
              </w:rPr>
              <w:t>lladelser. Hvis dette krav fast</w:t>
            </w:r>
            <w:r w:rsidRPr="009D428D">
              <w:rPr>
                <w:rFonts w:asciiTheme="minorHAnsi" w:hAnsiTheme="minorHAnsi"/>
                <w:sz w:val="22"/>
                <w:szCs w:val="22"/>
              </w:rPr>
              <w:t xml:space="preserve">holdes, er det SEGES vurdering, at der fortsat vil kunne opstå unødvendige forsinkelser og opgivne projekter. SEGES anbefaler, at denne begrænsning ophæves eller øges, så der fx kan angives et projektareal, der er 3 eller 4 gange minivådområdets størrelse. </w:t>
            </w:r>
          </w:p>
          <w:p w14:paraId="20DEA742" w14:textId="77777777" w:rsidR="003D086B" w:rsidRPr="009D428D" w:rsidRDefault="003D086B" w:rsidP="003D086B">
            <w:pPr>
              <w:rPr>
                <w:rFonts w:asciiTheme="minorHAnsi" w:hAnsiTheme="minorHAnsi"/>
                <w:szCs w:val="22"/>
              </w:rPr>
            </w:pPr>
          </w:p>
        </w:tc>
        <w:tc>
          <w:tcPr>
            <w:tcW w:w="4105" w:type="dxa"/>
          </w:tcPr>
          <w:p w14:paraId="18C36286" w14:textId="77777777" w:rsidR="003D086B" w:rsidRDefault="00326202" w:rsidP="00086B6B">
            <w:pPr>
              <w:rPr>
                <w:b/>
              </w:rPr>
            </w:pPr>
            <w:r w:rsidRPr="005372C5">
              <w:rPr>
                <w:b/>
              </w:rPr>
              <w:t>Bemærkningen giver ikke anledning til ændringer i bekendtgørelsen:</w:t>
            </w:r>
          </w:p>
          <w:p w14:paraId="1AA77677" w14:textId="77777777" w:rsidR="00617F16" w:rsidRDefault="00617F16" w:rsidP="00086B6B">
            <w:pPr>
              <w:rPr>
                <w:b/>
              </w:rPr>
            </w:pPr>
          </w:p>
          <w:p w14:paraId="25786728" w14:textId="77777777" w:rsidR="00617F16" w:rsidRDefault="00617F16" w:rsidP="00617F16">
            <w:r w:rsidRPr="00617F16">
              <w:t>Det er muligt at flytte et minivådområde inden for projektarealet. En begrænsning af projektarealets størrelse er dermed med til at sikre at projektet fortsat overholder kravene. En større ændring af placering forudsætter en ændringsanmodning. Landbrugsstyrelsen gør opmærksom på, at der til ansøgningsrunde</w:t>
            </w:r>
            <w:r>
              <w:t xml:space="preserve">n i 2022, bliver </w:t>
            </w:r>
            <w:r w:rsidRPr="00617F16">
              <w:t>mulighed for at søge dispensation fra</w:t>
            </w:r>
            <w:r>
              <w:t>,</w:t>
            </w:r>
            <w:r w:rsidRPr="00617F16">
              <w:t xml:space="preserve"> at Landbrugsstyrelsen ska</w:t>
            </w:r>
            <w:r>
              <w:t>l godkende en ændring inden den foretages</w:t>
            </w:r>
            <w:r w:rsidRPr="00617F16">
              <w:t xml:space="preserve">. </w:t>
            </w:r>
            <w:r>
              <w:t>En æ</w:t>
            </w:r>
            <w:r w:rsidRPr="00617F16">
              <w:t>ndring kan således foretages på egen regning og risiko</w:t>
            </w:r>
            <w:r>
              <w:t>, så snart der er ansøgt herom</w:t>
            </w:r>
            <w:r w:rsidRPr="00617F16">
              <w:t xml:space="preserve">. </w:t>
            </w:r>
          </w:p>
          <w:p w14:paraId="171A3EA7" w14:textId="77777777" w:rsidR="002B1C89" w:rsidRPr="00617F16" w:rsidRDefault="002B1C89" w:rsidP="00617F16">
            <w:r>
              <w:t xml:space="preserve">Landbrugsstyrelsen bemærker desuden, at kravet stemmer overens med den kompensation der kan søges på arealet. </w:t>
            </w:r>
          </w:p>
        </w:tc>
      </w:tr>
      <w:tr w:rsidR="003D086B" w14:paraId="0EC209C9" w14:textId="77777777" w:rsidTr="000C3E32">
        <w:tc>
          <w:tcPr>
            <w:tcW w:w="1129" w:type="dxa"/>
            <w:shd w:val="clear" w:color="auto" w:fill="auto"/>
          </w:tcPr>
          <w:p w14:paraId="58BD865A" w14:textId="77777777" w:rsidR="003D086B" w:rsidRDefault="00D95916" w:rsidP="00086B6B">
            <w:r>
              <w:t>3.6</w:t>
            </w:r>
          </w:p>
        </w:tc>
        <w:tc>
          <w:tcPr>
            <w:tcW w:w="4111" w:type="dxa"/>
          </w:tcPr>
          <w:p w14:paraId="79D807AE" w14:textId="77777777" w:rsidR="003D086B" w:rsidRPr="009D428D" w:rsidRDefault="003D086B" w:rsidP="00D15AC1">
            <w:pPr>
              <w:rPr>
                <w:rFonts w:asciiTheme="minorHAnsi" w:hAnsiTheme="minorHAnsi"/>
                <w:i/>
                <w:iCs/>
                <w:szCs w:val="22"/>
              </w:rPr>
            </w:pPr>
            <w:r w:rsidRPr="009D428D">
              <w:rPr>
                <w:rFonts w:asciiTheme="minorHAnsi" w:hAnsiTheme="minorHAnsi"/>
                <w:i/>
                <w:iCs/>
                <w:szCs w:val="22"/>
              </w:rPr>
              <w:t>§</w:t>
            </w:r>
            <w:r w:rsidR="005073E7">
              <w:rPr>
                <w:rFonts w:asciiTheme="minorHAnsi" w:hAnsiTheme="minorHAnsi"/>
                <w:i/>
                <w:iCs/>
                <w:szCs w:val="22"/>
              </w:rPr>
              <w:t xml:space="preserve"> </w:t>
            </w:r>
            <w:r w:rsidRPr="009D428D">
              <w:rPr>
                <w:rFonts w:asciiTheme="minorHAnsi" w:hAnsiTheme="minorHAnsi"/>
                <w:i/>
                <w:iCs/>
                <w:szCs w:val="22"/>
              </w:rPr>
              <w:t>9</w:t>
            </w:r>
            <w:r w:rsidR="005073E7">
              <w:rPr>
                <w:rFonts w:asciiTheme="minorHAnsi" w:hAnsiTheme="minorHAnsi"/>
                <w:i/>
                <w:iCs/>
                <w:szCs w:val="22"/>
              </w:rPr>
              <w:t>, nr</w:t>
            </w:r>
            <w:r w:rsidRPr="009D428D">
              <w:rPr>
                <w:rFonts w:asciiTheme="minorHAnsi" w:hAnsiTheme="minorHAnsi"/>
                <w:i/>
                <w:iCs/>
                <w:szCs w:val="22"/>
              </w:rPr>
              <w:t>. 4) Minimum 80 % af drænoplandet har været et omdriftsareal i et år forud for ansøgning om tilsagn om tilskud.</w:t>
            </w:r>
          </w:p>
          <w:p w14:paraId="6FAB8802" w14:textId="77777777" w:rsidR="003D086B" w:rsidRPr="009D428D" w:rsidRDefault="003D086B" w:rsidP="00D15AC1">
            <w:pPr>
              <w:rPr>
                <w:rFonts w:asciiTheme="minorHAnsi" w:hAnsiTheme="minorHAnsi"/>
                <w:i/>
                <w:iCs/>
                <w:szCs w:val="22"/>
              </w:rPr>
            </w:pPr>
          </w:p>
          <w:p w14:paraId="228DA0DA"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sz w:val="22"/>
                <w:szCs w:val="22"/>
              </w:rPr>
              <w:t xml:space="preserve">Det er SEGES vurdering, at det er meget problematisk, at dette krav er fastholdt, da mange kystnære projekter med høj effekt og god omkostningseffektivitet må opgives på grund af et unødvendigt krav til drænoplandets arealanvendelse. Det er SEGES opfattelse, at kravet alene er </w:t>
            </w:r>
          </w:p>
          <w:p w14:paraId="2E6082DE" w14:textId="77777777" w:rsidR="003D086B" w:rsidRPr="009D428D" w:rsidRDefault="003D086B" w:rsidP="003D086B">
            <w:pPr>
              <w:rPr>
                <w:rFonts w:asciiTheme="minorHAnsi" w:hAnsiTheme="minorHAnsi"/>
                <w:szCs w:val="22"/>
              </w:rPr>
            </w:pPr>
            <w:proofErr w:type="gramStart"/>
            <w:r w:rsidRPr="009D428D">
              <w:rPr>
                <w:rFonts w:asciiTheme="minorHAnsi" w:hAnsiTheme="minorHAnsi"/>
                <w:szCs w:val="22"/>
              </w:rPr>
              <w:lastRenderedPageBreak/>
              <w:t>fastholdt</w:t>
            </w:r>
            <w:proofErr w:type="gramEnd"/>
            <w:r w:rsidRPr="009D428D">
              <w:rPr>
                <w:rFonts w:asciiTheme="minorHAnsi" w:hAnsiTheme="minorHAnsi"/>
                <w:szCs w:val="22"/>
              </w:rPr>
              <w:t xml:space="preserve"> på grund af begrænsninger i Landbrugsstyrelsens selvbetjeningsløsning. SEGES anbe-faler, at kravet fjernes, så det ikke fortsat blokerer for mange gode projekter.</w:t>
            </w:r>
          </w:p>
        </w:tc>
        <w:tc>
          <w:tcPr>
            <w:tcW w:w="4105" w:type="dxa"/>
          </w:tcPr>
          <w:p w14:paraId="478956EA" w14:textId="77777777" w:rsidR="003D086B" w:rsidRDefault="00326202" w:rsidP="00086B6B">
            <w:pPr>
              <w:rPr>
                <w:b/>
              </w:rPr>
            </w:pPr>
            <w:r w:rsidRPr="005372C5">
              <w:rPr>
                <w:b/>
              </w:rPr>
              <w:lastRenderedPageBreak/>
              <w:t>Bemærkningen giver ikke anledning til ændringer i bekendtgørelsen:</w:t>
            </w:r>
          </w:p>
          <w:p w14:paraId="7AD827CB" w14:textId="77777777" w:rsidR="000C3E32" w:rsidRDefault="000C3E32" w:rsidP="00086B6B">
            <w:pPr>
              <w:rPr>
                <w:b/>
              </w:rPr>
            </w:pPr>
          </w:p>
          <w:p w14:paraId="45F0E0B0" w14:textId="1E2A7F29" w:rsidR="000C3E32" w:rsidRDefault="000C3E32" w:rsidP="00086B6B">
            <w:r>
              <w:t>Landbrugsstyrelsen kan hertil oplyse, at det ikke</w:t>
            </w:r>
            <w:r w:rsidR="006E39A0">
              <w:t xml:space="preserve"> til dette års ansøgningsrunde</w:t>
            </w:r>
            <w:r>
              <w:t xml:space="preserve"> har været muligt at foretage de nødvendige IT-tiltag der skal til, for at kunne ændre på eller helt fjerne kravet. </w:t>
            </w:r>
          </w:p>
          <w:p w14:paraId="517BA050" w14:textId="6F649A26" w:rsidR="006E39A0" w:rsidRDefault="006E39A0" w:rsidP="00086B6B"/>
        </w:tc>
      </w:tr>
      <w:tr w:rsidR="003D086B" w14:paraId="11F75346" w14:textId="77777777" w:rsidTr="000C3E32">
        <w:tc>
          <w:tcPr>
            <w:tcW w:w="1129" w:type="dxa"/>
            <w:shd w:val="clear" w:color="auto" w:fill="auto"/>
          </w:tcPr>
          <w:p w14:paraId="44FE2D00" w14:textId="77777777" w:rsidR="003D086B" w:rsidRDefault="00D95916" w:rsidP="00086B6B">
            <w:r>
              <w:t>3.7</w:t>
            </w:r>
          </w:p>
        </w:tc>
        <w:tc>
          <w:tcPr>
            <w:tcW w:w="4111" w:type="dxa"/>
          </w:tcPr>
          <w:p w14:paraId="66112FB1" w14:textId="77777777" w:rsidR="003D086B" w:rsidRPr="009D428D" w:rsidRDefault="003D086B" w:rsidP="00D15AC1">
            <w:pPr>
              <w:rPr>
                <w:rFonts w:asciiTheme="minorHAnsi" w:hAnsiTheme="minorHAnsi"/>
                <w:i/>
                <w:iCs/>
                <w:szCs w:val="22"/>
              </w:rPr>
            </w:pPr>
            <w:r w:rsidRPr="009D428D">
              <w:rPr>
                <w:rFonts w:asciiTheme="minorHAnsi" w:hAnsiTheme="minorHAnsi"/>
                <w:i/>
                <w:iCs/>
                <w:szCs w:val="22"/>
              </w:rPr>
              <w:t>§</w:t>
            </w:r>
            <w:r w:rsidR="005073E7">
              <w:rPr>
                <w:rFonts w:asciiTheme="minorHAnsi" w:hAnsiTheme="minorHAnsi"/>
                <w:i/>
                <w:iCs/>
                <w:szCs w:val="22"/>
              </w:rPr>
              <w:t xml:space="preserve"> </w:t>
            </w:r>
            <w:r w:rsidRPr="009D428D">
              <w:rPr>
                <w:rFonts w:asciiTheme="minorHAnsi" w:hAnsiTheme="minorHAnsi"/>
                <w:i/>
                <w:iCs/>
                <w:szCs w:val="22"/>
              </w:rPr>
              <w:t>9</w:t>
            </w:r>
            <w:r w:rsidR="005073E7">
              <w:rPr>
                <w:rFonts w:asciiTheme="minorHAnsi" w:hAnsiTheme="minorHAnsi"/>
                <w:i/>
                <w:iCs/>
                <w:szCs w:val="22"/>
              </w:rPr>
              <w:t>, nr.</w:t>
            </w:r>
            <w:r w:rsidRPr="009D428D">
              <w:rPr>
                <w:rFonts w:asciiTheme="minorHAnsi" w:hAnsiTheme="minorHAnsi"/>
                <w:i/>
                <w:iCs/>
                <w:szCs w:val="22"/>
              </w:rPr>
              <w:t xml:space="preserve"> 7) Etableres minivådområdet med pumpe skal drænoplandet dog minimum være 50 ha.</w:t>
            </w:r>
          </w:p>
          <w:p w14:paraId="3C5F7936" w14:textId="77777777" w:rsidR="003D086B" w:rsidRPr="009D428D" w:rsidRDefault="003D086B" w:rsidP="00D15AC1">
            <w:pPr>
              <w:rPr>
                <w:rFonts w:asciiTheme="minorHAnsi" w:hAnsiTheme="minorHAnsi"/>
                <w:i/>
                <w:iCs/>
                <w:szCs w:val="22"/>
              </w:rPr>
            </w:pPr>
          </w:p>
          <w:p w14:paraId="35B9D347" w14:textId="77777777" w:rsidR="003D086B" w:rsidRPr="009D428D" w:rsidRDefault="003D086B" w:rsidP="00D15AC1">
            <w:pPr>
              <w:rPr>
                <w:rFonts w:asciiTheme="minorHAnsi" w:hAnsiTheme="minorHAnsi"/>
                <w:szCs w:val="22"/>
              </w:rPr>
            </w:pPr>
            <w:r w:rsidRPr="009D428D">
              <w:rPr>
                <w:rFonts w:asciiTheme="minorHAnsi" w:hAnsiTheme="minorHAnsi"/>
                <w:szCs w:val="22"/>
              </w:rPr>
              <w:t>Det er SEGES vurdering, at et særligt krav om minivådområdets størrelse alene, hvis der er behov pumpe, bør udelades. Hvis minivådområdet har den påkrævede effekt og tilstrækkelig om-kostningseffektivitet, er det et unødvendigt krav, der blokerer for gode projekter.</w:t>
            </w:r>
          </w:p>
        </w:tc>
        <w:tc>
          <w:tcPr>
            <w:tcW w:w="4105" w:type="dxa"/>
          </w:tcPr>
          <w:p w14:paraId="34EB0949" w14:textId="77777777" w:rsidR="003D086B" w:rsidRDefault="00326202" w:rsidP="00086B6B">
            <w:pPr>
              <w:rPr>
                <w:b/>
              </w:rPr>
            </w:pPr>
            <w:r w:rsidRPr="005372C5">
              <w:rPr>
                <w:b/>
              </w:rPr>
              <w:t>Bemærkningen giver ikke anledning til ændringer i bekendtgørelsen</w:t>
            </w:r>
            <w:r w:rsidR="0088712C">
              <w:rPr>
                <w:b/>
              </w:rPr>
              <w:t>:</w:t>
            </w:r>
          </w:p>
          <w:p w14:paraId="37CFFBBA" w14:textId="77777777" w:rsidR="00825A7E" w:rsidRDefault="00825A7E" w:rsidP="00086B6B">
            <w:pPr>
              <w:rPr>
                <w:b/>
              </w:rPr>
            </w:pPr>
          </w:p>
          <w:p w14:paraId="40F8EFFA" w14:textId="77777777" w:rsidR="00825A7E" w:rsidRDefault="00825A7E" w:rsidP="00825A7E">
            <w:r>
              <w:t>Landbrugsstyrelsen har noteret sig bemærkningen. Krav om at drænvandopland skal være minimum 50 ha ved etablering af pumpe for at sikre omkostningseffektiviteten af minivådområdet, og derfor bibeholdes kravet i bekendtgørelsen.</w:t>
            </w:r>
            <w:r w:rsidR="00552537">
              <w:t xml:space="preserve"> Landbrugsstyrelsen vil se på, om der kan være grund til at fjerne kravet fremadrettet. </w:t>
            </w:r>
          </w:p>
          <w:p w14:paraId="291B28C2" w14:textId="77777777" w:rsidR="00552537" w:rsidRDefault="00552537" w:rsidP="00825A7E"/>
        </w:tc>
      </w:tr>
      <w:tr w:rsidR="003D086B" w14:paraId="6DDE892D" w14:textId="77777777" w:rsidTr="000C3E32">
        <w:tc>
          <w:tcPr>
            <w:tcW w:w="1129" w:type="dxa"/>
            <w:shd w:val="clear" w:color="auto" w:fill="auto"/>
          </w:tcPr>
          <w:p w14:paraId="58427221" w14:textId="77777777" w:rsidR="003D086B" w:rsidRDefault="00D95916" w:rsidP="00086B6B">
            <w:r>
              <w:t>3.8</w:t>
            </w:r>
          </w:p>
        </w:tc>
        <w:tc>
          <w:tcPr>
            <w:tcW w:w="4111" w:type="dxa"/>
          </w:tcPr>
          <w:p w14:paraId="082143B1" w14:textId="77777777" w:rsidR="003D086B" w:rsidRPr="009D428D" w:rsidRDefault="003D086B" w:rsidP="00D15AC1">
            <w:pPr>
              <w:rPr>
                <w:rFonts w:asciiTheme="minorHAnsi" w:hAnsiTheme="minorHAnsi"/>
                <w:i/>
                <w:iCs/>
                <w:szCs w:val="22"/>
              </w:rPr>
            </w:pPr>
            <w:r w:rsidRPr="009D428D">
              <w:rPr>
                <w:rFonts w:asciiTheme="minorHAnsi" w:hAnsiTheme="minorHAnsi"/>
                <w:i/>
                <w:iCs/>
                <w:szCs w:val="22"/>
              </w:rPr>
              <w:t>§</w:t>
            </w:r>
            <w:r w:rsidR="005073E7">
              <w:rPr>
                <w:rFonts w:asciiTheme="minorHAnsi" w:hAnsiTheme="minorHAnsi"/>
                <w:i/>
                <w:iCs/>
                <w:szCs w:val="22"/>
              </w:rPr>
              <w:t xml:space="preserve"> </w:t>
            </w:r>
            <w:r w:rsidRPr="009D428D">
              <w:rPr>
                <w:rFonts w:asciiTheme="minorHAnsi" w:hAnsiTheme="minorHAnsi"/>
                <w:i/>
                <w:iCs/>
                <w:szCs w:val="22"/>
              </w:rPr>
              <w:t>9</w:t>
            </w:r>
            <w:r w:rsidR="005073E7">
              <w:rPr>
                <w:rFonts w:asciiTheme="minorHAnsi" w:hAnsiTheme="minorHAnsi"/>
                <w:i/>
                <w:iCs/>
                <w:szCs w:val="22"/>
              </w:rPr>
              <w:t>, nr</w:t>
            </w:r>
            <w:r w:rsidRPr="009D428D">
              <w:rPr>
                <w:rFonts w:asciiTheme="minorHAnsi" w:hAnsiTheme="minorHAnsi"/>
                <w:i/>
                <w:iCs/>
                <w:szCs w:val="22"/>
              </w:rPr>
              <w:t>. 9) Minivådområdet placeres på egnede og potentielt egnede arealer, dog må maksimalt 10 % af minivådområdet placeres på ikke-egnede arealer, jf. bilag 6.</w:t>
            </w:r>
          </w:p>
          <w:p w14:paraId="7F2E9FC2" w14:textId="77777777" w:rsidR="003D086B" w:rsidRPr="009D428D" w:rsidRDefault="003D086B" w:rsidP="00D15AC1">
            <w:pPr>
              <w:rPr>
                <w:rFonts w:asciiTheme="minorHAnsi" w:hAnsiTheme="minorHAnsi"/>
                <w:i/>
                <w:iCs/>
                <w:szCs w:val="22"/>
              </w:rPr>
            </w:pPr>
          </w:p>
          <w:p w14:paraId="3AB3DA1A" w14:textId="77777777" w:rsidR="003D086B" w:rsidRPr="009D428D" w:rsidRDefault="003D086B" w:rsidP="008B6E79">
            <w:pPr>
              <w:rPr>
                <w:rFonts w:asciiTheme="minorHAnsi" w:hAnsiTheme="minorHAnsi"/>
                <w:szCs w:val="22"/>
              </w:rPr>
            </w:pPr>
            <w:r w:rsidRPr="009D428D">
              <w:rPr>
                <w:rFonts w:asciiTheme="minorHAnsi" w:hAnsiTheme="minorHAnsi"/>
                <w:szCs w:val="22"/>
              </w:rPr>
              <w:t xml:space="preserve">SEGES vurderer, at det er uhensigtsmæssigt for virkemidlets udbredelse, at minivådområder ikke længere kan placeres på betinget egnede og betinget potentielt egnede arealer, forudsat dræn-oplandet lever op til kriterierne. Særligt da der nu er krav om, at placeringen af minivådområder skal koordineres med kommunerne. SEGES anbefaler, at kravet fra fx BEK nr. 184 af 26/02/2019 </w:t>
            </w:r>
            <w:r w:rsidRPr="009D428D">
              <w:rPr>
                <w:rFonts w:asciiTheme="minorHAnsi" w:hAnsiTheme="minorHAnsi"/>
                <w:i/>
                <w:iCs/>
                <w:szCs w:val="22"/>
              </w:rPr>
              <w:t xml:space="preserve">”Minivådområdet kan placeres uden for de egnede eller potentielt egnede arealer, dog må maksimalt 10 pct. af minivådområdearealet bestå af ikke-egnet areal” </w:t>
            </w:r>
            <w:r w:rsidRPr="009D428D">
              <w:rPr>
                <w:rFonts w:asciiTheme="minorHAnsi" w:hAnsiTheme="minorHAnsi"/>
                <w:szCs w:val="22"/>
              </w:rPr>
              <w:t>fastholdes.</w:t>
            </w:r>
          </w:p>
        </w:tc>
        <w:tc>
          <w:tcPr>
            <w:tcW w:w="4105" w:type="dxa"/>
          </w:tcPr>
          <w:p w14:paraId="20C2DE68" w14:textId="77777777" w:rsidR="003D086B" w:rsidRDefault="00326202" w:rsidP="00086B6B">
            <w:pPr>
              <w:rPr>
                <w:b/>
              </w:rPr>
            </w:pPr>
            <w:r w:rsidRPr="005372C5">
              <w:rPr>
                <w:b/>
              </w:rPr>
              <w:t>Bemærkningen giver ikke anledning til ændringer i bekendtgørelsen:</w:t>
            </w:r>
          </w:p>
          <w:p w14:paraId="6EDAEFC7" w14:textId="77777777" w:rsidR="00552537" w:rsidRDefault="00552537" w:rsidP="00086B6B">
            <w:pPr>
              <w:rPr>
                <w:b/>
              </w:rPr>
            </w:pPr>
          </w:p>
          <w:p w14:paraId="602DA7BE" w14:textId="46D7A697" w:rsidR="00552537" w:rsidRDefault="00552537" w:rsidP="00086B6B">
            <w:r>
              <w:t>Landbrugsstyrelsen bemærker</w:t>
            </w:r>
            <w:r w:rsidR="005073E7">
              <w:t>,</w:t>
            </w:r>
            <w:r>
              <w:t xml:space="preserve"> at denne ændring er sket for at sikre hensigtsmæssig placering af minivådområdet. </w:t>
            </w:r>
          </w:p>
          <w:p w14:paraId="52890701" w14:textId="77777777" w:rsidR="00552537" w:rsidRPr="00552537" w:rsidRDefault="00552537" w:rsidP="00086B6B">
            <w:r>
              <w:t xml:space="preserve">Der gøres desuden opmærksom på, at der forud for ansøgningsrunden, kan frigives arealer i de betingede kategorier, der således vil fremgå som egnet eller potentielt egnet under ansøgningsrunden. </w:t>
            </w:r>
          </w:p>
        </w:tc>
      </w:tr>
      <w:tr w:rsidR="003D086B" w14:paraId="37CFA7A5" w14:textId="77777777" w:rsidTr="000C3E32">
        <w:tc>
          <w:tcPr>
            <w:tcW w:w="1129" w:type="dxa"/>
            <w:shd w:val="clear" w:color="auto" w:fill="auto"/>
          </w:tcPr>
          <w:p w14:paraId="0D417F0F" w14:textId="77777777" w:rsidR="003D086B" w:rsidRDefault="00D95916" w:rsidP="00086B6B">
            <w:r>
              <w:t>3.9</w:t>
            </w:r>
          </w:p>
        </w:tc>
        <w:tc>
          <w:tcPr>
            <w:tcW w:w="4111" w:type="dxa"/>
          </w:tcPr>
          <w:p w14:paraId="24B411BB"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sz w:val="22"/>
                <w:szCs w:val="22"/>
              </w:rPr>
              <w:t xml:space="preserve">Det er desuden SEGES vurdering, at ændringerne af potentialekortet i 2021, hvor arealer på Tekstur 2014 kortet blev omklassificeret til at være ikke-egnede arealer, har medført en betydelig reduktion i potentialet for at lave minivådområder. Når arealer, der er </w:t>
            </w:r>
            <w:r w:rsidRPr="009D428D">
              <w:rPr>
                <w:rFonts w:asciiTheme="minorHAnsi" w:hAnsiTheme="minorHAnsi"/>
                <w:sz w:val="22"/>
                <w:szCs w:val="22"/>
              </w:rPr>
              <w:lastRenderedPageBreak/>
              <w:t xml:space="preserve">karakteriseret som tørvejord, undersøges i forbindelse med forundersøgelserne til et lavbundsprojekt, kan tørven være brændt af, eller der kan være andre årsager til, at der ikke kan etableres et projekt. </w:t>
            </w:r>
          </w:p>
          <w:p w14:paraId="2B18FE03"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sz w:val="22"/>
                <w:szCs w:val="22"/>
              </w:rPr>
              <w:t xml:space="preserve">Hvis en kommune vurderer, at der ikke kan gennemføres et vådområde på et areal, der er karakteriseret som Lavbund i ådal, kan kommunerne anmode om at frigive arealet, så de tilstødende betinget egnede og betinget potentielt egnede arealer omklassificeres til egnede og potentielt egnede. </w:t>
            </w:r>
          </w:p>
          <w:p w14:paraId="78D59313"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sz w:val="22"/>
                <w:szCs w:val="22"/>
              </w:rPr>
              <w:t xml:space="preserve">For arealer, der er blevet karakteriseret som ikke-egnede på grund af Tekstur 2014, vil der ikke være risiko for trykvand som i lavbund i ådal, og arealerne burde kunne frigives til etablering af minivådområder, hvis </w:t>
            </w:r>
          </w:p>
          <w:p w14:paraId="347845E0" w14:textId="77777777" w:rsidR="003D086B" w:rsidRPr="009D428D" w:rsidRDefault="003D086B" w:rsidP="003D086B">
            <w:pPr>
              <w:pStyle w:val="Default"/>
              <w:rPr>
                <w:rFonts w:asciiTheme="minorHAnsi" w:hAnsiTheme="minorHAnsi"/>
                <w:sz w:val="22"/>
                <w:szCs w:val="22"/>
              </w:rPr>
            </w:pPr>
            <w:proofErr w:type="gramStart"/>
            <w:r w:rsidRPr="009D428D">
              <w:rPr>
                <w:rFonts w:asciiTheme="minorHAnsi" w:hAnsiTheme="minorHAnsi"/>
                <w:sz w:val="22"/>
                <w:szCs w:val="22"/>
              </w:rPr>
              <w:t>kommunen</w:t>
            </w:r>
            <w:proofErr w:type="gramEnd"/>
            <w:r w:rsidRPr="009D428D">
              <w:rPr>
                <w:rFonts w:asciiTheme="minorHAnsi" w:hAnsiTheme="minorHAnsi"/>
                <w:sz w:val="22"/>
                <w:szCs w:val="22"/>
              </w:rPr>
              <w:t xml:space="preserve"> eller Naturstyrelsen vurderer, at der ikke kan etableres et lavbundsareal. </w:t>
            </w:r>
          </w:p>
          <w:p w14:paraId="051D7387" w14:textId="77777777" w:rsidR="003D086B" w:rsidRPr="009D428D" w:rsidRDefault="003D086B" w:rsidP="003D086B">
            <w:pPr>
              <w:rPr>
                <w:rFonts w:asciiTheme="minorHAnsi" w:hAnsiTheme="minorHAnsi"/>
                <w:szCs w:val="22"/>
              </w:rPr>
            </w:pPr>
            <w:r w:rsidRPr="009D428D">
              <w:rPr>
                <w:rFonts w:asciiTheme="minorHAnsi" w:hAnsiTheme="minorHAnsi"/>
                <w:szCs w:val="22"/>
              </w:rPr>
              <w:t>SEGES vurderer, at det nuværende ufleksible håndtering af potentialekortet på baggrund af Tek-stur 2014 kortet bør ændres, så kommuner eller Naturstyrelsen kan frigive arealer til etablering af minivådområder, hvor der ikke kan etableres lavbundsprojekter.</w:t>
            </w:r>
          </w:p>
        </w:tc>
        <w:tc>
          <w:tcPr>
            <w:tcW w:w="4105" w:type="dxa"/>
          </w:tcPr>
          <w:p w14:paraId="55E5AAA7" w14:textId="77777777" w:rsidR="003D086B" w:rsidRDefault="00326202" w:rsidP="00086B6B">
            <w:pPr>
              <w:rPr>
                <w:b/>
              </w:rPr>
            </w:pPr>
            <w:r w:rsidRPr="005372C5">
              <w:rPr>
                <w:b/>
              </w:rPr>
              <w:lastRenderedPageBreak/>
              <w:t>Bemærkningen giver ikke anledning til ændringer i bekendtgørelsen:</w:t>
            </w:r>
          </w:p>
          <w:p w14:paraId="66D0B3BD" w14:textId="77777777" w:rsidR="00552537" w:rsidRDefault="00552537" w:rsidP="00086B6B">
            <w:pPr>
              <w:rPr>
                <w:b/>
              </w:rPr>
            </w:pPr>
          </w:p>
          <w:p w14:paraId="6F8C4927" w14:textId="77777777" w:rsidR="00552537" w:rsidRDefault="00552537" w:rsidP="00086B6B">
            <w:r>
              <w:t>Landbrugsstyrelsen kan hertil oplyse, at anvendelsen af potentialekortet muliggør en hurtig sagsbehandling.</w:t>
            </w:r>
            <w:r w:rsidR="00D86BCA">
              <w:t xml:space="preserve"> </w:t>
            </w:r>
            <w:r>
              <w:t xml:space="preserve"> </w:t>
            </w:r>
            <w:r>
              <w:lastRenderedPageBreak/>
              <w:t>Der vil altid være usikkerheder forbundet med brugen af kort som administrationsgrundlag, men Landbrugsstyrelsen vurderer</w:t>
            </w:r>
            <w:r w:rsidR="005073E7">
              <w:t>,</w:t>
            </w:r>
            <w:r>
              <w:t xml:space="preserve"> at fordele ved brugen af kortet opvejer ulemperne. </w:t>
            </w:r>
          </w:p>
          <w:p w14:paraId="73DF41CB" w14:textId="77777777" w:rsidR="00552537" w:rsidRDefault="00552537" w:rsidP="00086B6B"/>
          <w:p w14:paraId="5D944E9F" w14:textId="77777777" w:rsidR="00E544E8" w:rsidRDefault="00552537" w:rsidP="00E544E8">
            <w:r>
              <w:t>Det bemærkes</w:t>
            </w:r>
            <w:r w:rsidR="005073E7">
              <w:t>,</w:t>
            </w:r>
            <w:r>
              <w:t xml:space="preserve"> at det er forekomster større end 3 ha, dvs. hvor der er en formodning om større forekomster af tørvejord, </w:t>
            </w:r>
            <w:r w:rsidR="00D86BCA">
              <w:t xml:space="preserve">der er udelukket fra ordningen. </w:t>
            </w:r>
          </w:p>
          <w:p w14:paraId="1476623D" w14:textId="77777777" w:rsidR="00E544E8" w:rsidRDefault="00E544E8" w:rsidP="00E544E8"/>
          <w:p w14:paraId="56EC06D9" w14:textId="6CDEE6C5" w:rsidR="00552537" w:rsidRPr="00552537" w:rsidRDefault="00E544E8" w:rsidP="00E544E8">
            <w:r>
              <w:t>Landbrugsstyrelsen noterer sig ønsket, herunder også ønske om at kunne bruge teksturanalyser. Det er for nuværende ikke administrativt muligt at frigive arealer indenfor ”ikke-egnet” kategorien. Ønsket</w:t>
            </w:r>
            <w:r w:rsidR="00D86BCA">
              <w:t xml:space="preserve"> vil dog videregives til det videre arbejde med koordinering af udtagningsindsatsen</w:t>
            </w:r>
            <w:r>
              <w:t xml:space="preserve"> og minivådområdeordningen</w:t>
            </w:r>
            <w:r w:rsidR="00D86BCA">
              <w:t xml:space="preserve">. </w:t>
            </w:r>
          </w:p>
        </w:tc>
      </w:tr>
      <w:tr w:rsidR="003D086B" w14:paraId="6F77AFCE" w14:textId="77777777" w:rsidTr="000C3E32">
        <w:tc>
          <w:tcPr>
            <w:tcW w:w="1129" w:type="dxa"/>
            <w:shd w:val="clear" w:color="auto" w:fill="auto"/>
          </w:tcPr>
          <w:p w14:paraId="345F459A" w14:textId="77777777" w:rsidR="003D086B" w:rsidRDefault="00D95916" w:rsidP="00086B6B">
            <w:r>
              <w:lastRenderedPageBreak/>
              <w:t>3.10</w:t>
            </w:r>
          </w:p>
        </w:tc>
        <w:tc>
          <w:tcPr>
            <w:tcW w:w="4111" w:type="dxa"/>
          </w:tcPr>
          <w:p w14:paraId="45FDE48F" w14:textId="77777777" w:rsidR="003D086B" w:rsidRPr="009D428D" w:rsidRDefault="003D086B" w:rsidP="00D15AC1">
            <w:pPr>
              <w:rPr>
                <w:rFonts w:asciiTheme="minorHAnsi" w:hAnsiTheme="minorHAnsi"/>
                <w:i/>
                <w:iCs/>
                <w:szCs w:val="22"/>
              </w:rPr>
            </w:pPr>
            <w:r w:rsidRPr="009D428D">
              <w:rPr>
                <w:rFonts w:asciiTheme="minorHAnsi" w:hAnsiTheme="minorHAnsi"/>
                <w:i/>
                <w:iCs/>
                <w:szCs w:val="22"/>
              </w:rPr>
              <w:t>§</w:t>
            </w:r>
            <w:r w:rsidR="005073E7">
              <w:rPr>
                <w:rFonts w:asciiTheme="minorHAnsi" w:hAnsiTheme="minorHAnsi"/>
                <w:i/>
                <w:iCs/>
                <w:szCs w:val="22"/>
              </w:rPr>
              <w:t xml:space="preserve"> </w:t>
            </w:r>
            <w:r w:rsidRPr="009D428D">
              <w:rPr>
                <w:rFonts w:asciiTheme="minorHAnsi" w:hAnsiTheme="minorHAnsi"/>
                <w:i/>
                <w:iCs/>
                <w:szCs w:val="22"/>
              </w:rPr>
              <w:t>9</w:t>
            </w:r>
            <w:r w:rsidR="005073E7">
              <w:rPr>
                <w:rFonts w:asciiTheme="minorHAnsi" w:hAnsiTheme="minorHAnsi"/>
                <w:i/>
                <w:iCs/>
                <w:szCs w:val="22"/>
              </w:rPr>
              <w:t>, nr</w:t>
            </w:r>
            <w:r w:rsidRPr="009D428D">
              <w:rPr>
                <w:rFonts w:asciiTheme="minorHAnsi" w:hAnsiTheme="minorHAnsi"/>
                <w:i/>
                <w:iCs/>
                <w:szCs w:val="22"/>
              </w:rPr>
              <w:t>. 10) Drænoplandet til minivådområdet er drænet og der er identificeret et hoveddræn, der leder til minivådområdet.</w:t>
            </w:r>
          </w:p>
          <w:p w14:paraId="383623F5" w14:textId="77777777" w:rsidR="003D086B" w:rsidRPr="009D428D" w:rsidRDefault="003D086B" w:rsidP="00D15AC1">
            <w:pPr>
              <w:rPr>
                <w:rFonts w:asciiTheme="minorHAnsi" w:hAnsiTheme="minorHAnsi"/>
                <w:i/>
                <w:iCs/>
                <w:szCs w:val="22"/>
              </w:rPr>
            </w:pPr>
          </w:p>
          <w:p w14:paraId="100E37F6" w14:textId="77777777" w:rsidR="003D086B" w:rsidRPr="009D428D" w:rsidRDefault="003D086B" w:rsidP="00D15AC1">
            <w:pPr>
              <w:rPr>
                <w:rFonts w:asciiTheme="minorHAnsi" w:hAnsiTheme="minorHAnsi"/>
                <w:szCs w:val="22"/>
              </w:rPr>
            </w:pPr>
            <w:r w:rsidRPr="009D428D">
              <w:rPr>
                <w:rFonts w:asciiTheme="minorHAnsi" w:hAnsiTheme="minorHAnsi"/>
                <w:szCs w:val="22"/>
              </w:rPr>
              <w:t xml:space="preserve">Det anbefales, at formuleringen ændres til </w:t>
            </w:r>
            <w:r w:rsidRPr="009D428D">
              <w:rPr>
                <w:rFonts w:asciiTheme="minorHAnsi" w:hAnsiTheme="minorHAnsi"/>
                <w:i/>
                <w:iCs/>
                <w:szCs w:val="22"/>
              </w:rPr>
              <w:t>et eller flere hoveddræn.</w:t>
            </w:r>
          </w:p>
        </w:tc>
        <w:tc>
          <w:tcPr>
            <w:tcW w:w="4105" w:type="dxa"/>
          </w:tcPr>
          <w:p w14:paraId="0C859690" w14:textId="77777777" w:rsidR="003D086B" w:rsidRDefault="00326202" w:rsidP="00086B6B">
            <w:pPr>
              <w:rPr>
                <w:b/>
              </w:rPr>
            </w:pPr>
            <w:r w:rsidRPr="005372C5">
              <w:rPr>
                <w:b/>
              </w:rPr>
              <w:t>Bemærkningen giver ikke anledning til ændringer i bekendtgørelsen:</w:t>
            </w:r>
          </w:p>
          <w:p w14:paraId="7BEDBCA5" w14:textId="77777777" w:rsidR="00D86BCA" w:rsidRDefault="00D86BCA" w:rsidP="00086B6B">
            <w:pPr>
              <w:rPr>
                <w:b/>
              </w:rPr>
            </w:pPr>
          </w:p>
          <w:p w14:paraId="6A6AF7D5" w14:textId="77777777" w:rsidR="00D86BCA" w:rsidRDefault="00D86BCA" w:rsidP="00086B6B">
            <w:r>
              <w:t xml:space="preserve">Den nuværende formulering er et minimumskrav til minivådområdet. Det udelukker ikke, at der kan være identificeret flere hoveddræn. Dette skal dog indtegnes korrekt i indtegning af drænopland. </w:t>
            </w:r>
          </w:p>
          <w:p w14:paraId="24B283D1" w14:textId="77777777" w:rsidR="00D86BCA" w:rsidRPr="00D86BCA" w:rsidRDefault="00D86BCA" w:rsidP="00086B6B"/>
        </w:tc>
      </w:tr>
      <w:tr w:rsidR="003D086B" w14:paraId="5DA0289F" w14:textId="77777777" w:rsidTr="000C3E32">
        <w:tc>
          <w:tcPr>
            <w:tcW w:w="1129" w:type="dxa"/>
            <w:shd w:val="clear" w:color="auto" w:fill="auto"/>
          </w:tcPr>
          <w:p w14:paraId="5DA06B98" w14:textId="77777777" w:rsidR="003D086B" w:rsidRDefault="00D95916" w:rsidP="00086B6B">
            <w:r>
              <w:t>3.1</w:t>
            </w:r>
            <w:r w:rsidR="002E7D06">
              <w:t>1</w:t>
            </w:r>
          </w:p>
        </w:tc>
        <w:tc>
          <w:tcPr>
            <w:tcW w:w="4111" w:type="dxa"/>
          </w:tcPr>
          <w:p w14:paraId="6E4C8680" w14:textId="77777777" w:rsidR="003D086B" w:rsidRPr="009D428D" w:rsidRDefault="003D086B" w:rsidP="00D15AC1">
            <w:pPr>
              <w:rPr>
                <w:rFonts w:asciiTheme="minorHAnsi" w:hAnsiTheme="minorHAnsi"/>
                <w:i/>
                <w:iCs/>
                <w:szCs w:val="22"/>
              </w:rPr>
            </w:pPr>
            <w:r w:rsidRPr="009D428D">
              <w:rPr>
                <w:rFonts w:asciiTheme="minorHAnsi" w:hAnsiTheme="minorHAnsi"/>
                <w:i/>
                <w:iCs/>
                <w:szCs w:val="22"/>
              </w:rPr>
              <w:t>§</w:t>
            </w:r>
            <w:r w:rsidR="005073E7">
              <w:rPr>
                <w:rFonts w:asciiTheme="minorHAnsi" w:hAnsiTheme="minorHAnsi"/>
                <w:i/>
                <w:iCs/>
                <w:szCs w:val="22"/>
              </w:rPr>
              <w:t xml:space="preserve"> </w:t>
            </w:r>
            <w:r w:rsidRPr="009D428D">
              <w:rPr>
                <w:rFonts w:asciiTheme="minorHAnsi" w:hAnsiTheme="minorHAnsi"/>
                <w:i/>
                <w:iCs/>
                <w:szCs w:val="22"/>
              </w:rPr>
              <w:t>9</w:t>
            </w:r>
            <w:r w:rsidR="005073E7">
              <w:rPr>
                <w:rFonts w:asciiTheme="minorHAnsi" w:hAnsiTheme="minorHAnsi"/>
                <w:i/>
                <w:iCs/>
                <w:szCs w:val="22"/>
              </w:rPr>
              <w:t>, nr</w:t>
            </w:r>
            <w:r w:rsidRPr="009D428D">
              <w:rPr>
                <w:rFonts w:asciiTheme="minorHAnsi" w:hAnsiTheme="minorHAnsi"/>
                <w:i/>
                <w:iCs/>
                <w:szCs w:val="22"/>
              </w:rPr>
              <w:t>. 17) Projektet er ikke omfattet af oplandet til vådområder og lavbundsområder under en anden tilskudsordning fra en offentlig myndighed, som forventes at forringe effekten af vådområdeprojektet eller lavbundsprojektet.</w:t>
            </w:r>
          </w:p>
          <w:p w14:paraId="08D0C601" w14:textId="77777777" w:rsidR="003D086B" w:rsidRPr="009D428D" w:rsidRDefault="003D086B" w:rsidP="00D15AC1">
            <w:pPr>
              <w:rPr>
                <w:rFonts w:asciiTheme="minorHAnsi" w:hAnsiTheme="minorHAnsi"/>
                <w:i/>
                <w:iCs/>
                <w:szCs w:val="22"/>
              </w:rPr>
            </w:pPr>
          </w:p>
          <w:p w14:paraId="4C48BE3F"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sz w:val="22"/>
                <w:szCs w:val="22"/>
              </w:rPr>
              <w:t xml:space="preserve">Det er SEGES vurdering, at kravet, der blev indført i forbindelse med ansøgningsrunden i 2021 vil umuliggøre udrulning af minivådområder i det planlagte omfang. I ”Vejledning til koordination mellem minivådområder og ’store’ vådområdeprojekter” fra 2021, blev det fastlagt, at der maksimalt bør etableres ét minivådområde pr. 10 km2 vandløbsopland, hvis der er etableret et nedstrøms vådområde- eller lavbundsprojekt. </w:t>
            </w:r>
          </w:p>
          <w:p w14:paraId="1DB76555"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sz w:val="22"/>
                <w:szCs w:val="22"/>
              </w:rPr>
              <w:t>Ét minivådområde pr 10 km2 reducerer kvælstoftilførslen til havet med ca. 1 % fra oplandet. Men en målsætning om at reducere den gennemsnitlige tilførsel til havet med 25%, og endnu mere i overbelastede oplande, skal der etableres virkemidler i et omfang, så de vil nedsætte effekten af hinanden. I oplande med de største reduktionskrav jf</w:t>
            </w:r>
            <w:r w:rsidR="008B6E79">
              <w:rPr>
                <w:rFonts w:asciiTheme="minorHAnsi" w:hAnsiTheme="minorHAnsi"/>
                <w:sz w:val="22"/>
                <w:szCs w:val="22"/>
              </w:rPr>
              <w:t>.</w:t>
            </w:r>
            <w:r w:rsidRPr="009D428D">
              <w:rPr>
                <w:rFonts w:asciiTheme="minorHAnsi" w:hAnsiTheme="minorHAnsi"/>
                <w:sz w:val="22"/>
                <w:szCs w:val="22"/>
              </w:rPr>
              <w:t xml:space="preserve"> vandområdeplanerne for 3. vandplanperiode vil drænvand fra næsten alle arealer skulle igennem et eller flere drænvirkemidler for at le-vere den nødvendige effekt. </w:t>
            </w:r>
          </w:p>
          <w:p w14:paraId="1FB73DAE" w14:textId="77777777" w:rsidR="003D086B" w:rsidRPr="009D428D" w:rsidRDefault="003D086B" w:rsidP="008B6E79">
            <w:pPr>
              <w:rPr>
                <w:rFonts w:asciiTheme="minorHAnsi" w:hAnsiTheme="minorHAnsi"/>
                <w:szCs w:val="22"/>
              </w:rPr>
            </w:pPr>
            <w:r w:rsidRPr="009D428D">
              <w:rPr>
                <w:rFonts w:asciiTheme="minorHAnsi" w:hAnsiTheme="minorHAnsi"/>
                <w:szCs w:val="22"/>
              </w:rPr>
              <w:t>SEGES bifalder, at indsatserne koordineres med kommunerne, men anbefaler at det pågældende krav om maksimalt antal minivådområder i et opland fjernes, så der ikke fastlægges begrænsninger for den samlede miljøeffekt, der kan opnås med alle tilgængelige virkemidler.</w:t>
            </w:r>
          </w:p>
        </w:tc>
        <w:tc>
          <w:tcPr>
            <w:tcW w:w="4105" w:type="dxa"/>
          </w:tcPr>
          <w:p w14:paraId="53C600D8" w14:textId="77777777" w:rsidR="003D086B" w:rsidRDefault="00326202" w:rsidP="00086B6B">
            <w:pPr>
              <w:rPr>
                <w:b/>
              </w:rPr>
            </w:pPr>
            <w:r w:rsidRPr="005372C5">
              <w:rPr>
                <w:b/>
              </w:rPr>
              <w:lastRenderedPageBreak/>
              <w:t>Bemærkningen giver ikke anledning til ændringer i bekendtgørelsen:</w:t>
            </w:r>
          </w:p>
          <w:p w14:paraId="6E1B46FE" w14:textId="77777777" w:rsidR="00D86BCA" w:rsidRDefault="00D86BCA" w:rsidP="00086B6B">
            <w:pPr>
              <w:rPr>
                <w:b/>
              </w:rPr>
            </w:pPr>
          </w:p>
          <w:p w14:paraId="277F6706" w14:textId="77777777" w:rsidR="00D86BCA" w:rsidRPr="00D86BCA" w:rsidRDefault="00D86BCA" w:rsidP="00086B6B">
            <w:r>
              <w:t>Der henvises til en vejledning, altså ikke et krav i bekendtgørelsen. Vejledningen er udarbejdet til kommuner</w:t>
            </w:r>
            <w:r w:rsidR="005073E7">
              <w:t>,</w:t>
            </w:r>
            <w:r>
              <w:t xml:space="preserve"> der </w:t>
            </w:r>
            <w:r>
              <w:lastRenderedPageBreak/>
              <w:t xml:space="preserve">anmodes om at udfylde den efterspurgte erklæring. Miljøstyrelsen har med denne vejledning, leveret det faglige grundlag for en sådan vurdering. Der er dog tale om en vejledning, hvorfor lokale forhold, eller kommunens egen viden om projektet, kan medføre en anden vurdering. </w:t>
            </w:r>
          </w:p>
        </w:tc>
      </w:tr>
      <w:tr w:rsidR="003D086B" w14:paraId="36CB721D" w14:textId="77777777" w:rsidTr="000C3E32">
        <w:tc>
          <w:tcPr>
            <w:tcW w:w="1129" w:type="dxa"/>
            <w:shd w:val="clear" w:color="auto" w:fill="auto"/>
          </w:tcPr>
          <w:p w14:paraId="644334A0" w14:textId="77777777" w:rsidR="003D086B" w:rsidRDefault="00D95916" w:rsidP="00086B6B">
            <w:r>
              <w:lastRenderedPageBreak/>
              <w:t>3.12</w:t>
            </w:r>
          </w:p>
        </w:tc>
        <w:tc>
          <w:tcPr>
            <w:tcW w:w="4111" w:type="dxa"/>
          </w:tcPr>
          <w:p w14:paraId="0146C84D" w14:textId="77777777" w:rsidR="003D086B" w:rsidRPr="009D428D" w:rsidRDefault="003D086B" w:rsidP="00D15AC1">
            <w:pPr>
              <w:rPr>
                <w:rFonts w:asciiTheme="minorHAnsi" w:hAnsiTheme="minorHAnsi"/>
                <w:i/>
                <w:iCs/>
                <w:szCs w:val="22"/>
              </w:rPr>
            </w:pPr>
            <w:r w:rsidRPr="009D428D">
              <w:rPr>
                <w:rFonts w:asciiTheme="minorHAnsi" w:hAnsiTheme="minorHAnsi"/>
                <w:i/>
                <w:iCs/>
                <w:szCs w:val="22"/>
              </w:rPr>
              <w:t>§ 13. Ændring af et projekt kan godkendes på betingelse af, at projektet i sin ændrede form ville være blevet prioriteret, jf. § 8 og projektet fortsat opfylder kriterierne, jf. § 9. Ændring af projektets slutdato kan godkendes, dog ikke senere end den 31. december 2024.</w:t>
            </w:r>
          </w:p>
          <w:p w14:paraId="137EF436" w14:textId="77777777" w:rsidR="003D086B" w:rsidRPr="009D428D" w:rsidRDefault="003D086B" w:rsidP="00D15AC1">
            <w:pPr>
              <w:rPr>
                <w:rFonts w:asciiTheme="minorHAnsi" w:hAnsiTheme="minorHAnsi"/>
                <w:i/>
                <w:iCs/>
                <w:szCs w:val="22"/>
              </w:rPr>
            </w:pPr>
          </w:p>
          <w:p w14:paraId="086B84FA" w14:textId="77777777" w:rsidR="003D086B" w:rsidRPr="009D428D" w:rsidRDefault="003D086B" w:rsidP="008B6E79">
            <w:pPr>
              <w:rPr>
                <w:rFonts w:asciiTheme="minorHAnsi" w:hAnsiTheme="minorHAnsi"/>
                <w:szCs w:val="22"/>
              </w:rPr>
            </w:pPr>
            <w:r w:rsidRPr="009D428D">
              <w:rPr>
                <w:rFonts w:asciiTheme="minorHAnsi" w:hAnsiTheme="minorHAnsi"/>
                <w:szCs w:val="22"/>
              </w:rPr>
              <w:t xml:space="preserve">Det er SEGES vurdering, at det er meget beklageligt med en endelig frist for at gennemføre projekterne på maksimalt 2 år og 4 måneder, i særdeleshed set i lyset af de omfattende problemer, der har været med </w:t>
            </w:r>
            <w:r w:rsidRPr="009D428D">
              <w:rPr>
                <w:rFonts w:asciiTheme="minorHAnsi" w:hAnsiTheme="minorHAnsi"/>
                <w:szCs w:val="22"/>
              </w:rPr>
              <w:lastRenderedPageBreak/>
              <w:t>Landbrugsstyrelsens selvbetjeningsløsning, med sagsbehandlingstider på projektændringer fx efter krav i de kommunale tilladelser på mere</w:t>
            </w:r>
            <w:r w:rsidR="008F3C64">
              <w:rPr>
                <w:rFonts w:asciiTheme="minorHAnsi" w:hAnsiTheme="minorHAnsi"/>
                <w:szCs w:val="22"/>
              </w:rPr>
              <w:t xml:space="preserve"> end et år i visse tilfælde. SE</w:t>
            </w:r>
            <w:r w:rsidRPr="009D428D">
              <w:rPr>
                <w:rFonts w:asciiTheme="minorHAnsi" w:hAnsiTheme="minorHAnsi"/>
                <w:szCs w:val="22"/>
              </w:rPr>
              <w:t>GES forudser, at disse problemer fortsætter, og at der vil være projekter, der ikke vil kunne etab-leres indenfor den fastsatte frist. SEGES anbefaler derfor, at kravet om endelig slutdato den 31. december 2024 frafaldes.</w:t>
            </w:r>
          </w:p>
        </w:tc>
        <w:tc>
          <w:tcPr>
            <w:tcW w:w="4105" w:type="dxa"/>
          </w:tcPr>
          <w:p w14:paraId="1FD92322" w14:textId="77777777" w:rsidR="003D086B" w:rsidRDefault="008F3C64" w:rsidP="00086B6B">
            <w:r>
              <w:rPr>
                <w:b/>
              </w:rPr>
              <w:lastRenderedPageBreak/>
              <w:t xml:space="preserve">Bemærkningen giver </w:t>
            </w:r>
            <w:r w:rsidRPr="005372C5">
              <w:rPr>
                <w:b/>
              </w:rPr>
              <w:t xml:space="preserve">anledning til ændringer </w:t>
            </w:r>
            <w:r>
              <w:rPr>
                <w:b/>
              </w:rPr>
              <w:t>i bekendtgørelsen</w:t>
            </w:r>
            <w:r w:rsidRPr="005372C5">
              <w:rPr>
                <w:b/>
              </w:rPr>
              <w:t>:</w:t>
            </w:r>
          </w:p>
          <w:p w14:paraId="682582F0" w14:textId="77777777" w:rsidR="008F3C64" w:rsidRDefault="008F3C64" w:rsidP="00086B6B"/>
          <w:p w14:paraId="021D207F" w14:textId="77777777" w:rsidR="008F3C64" w:rsidRDefault="008F3C64" w:rsidP="00086B6B">
            <w:r>
              <w:t xml:space="preserve">Landbrugsstyrelsen imødekommer dette ønske delvist, idet det anerkendes, at et minivådområdeprojekt kan forsinkes af mange årsager, herunder også sæson og sagsbehandling af myndighedstilladelser. </w:t>
            </w:r>
          </w:p>
          <w:p w14:paraId="006F6039" w14:textId="329E40ED" w:rsidR="008F3C64" w:rsidRDefault="008F3C64" w:rsidP="00D86BCA">
            <w:r>
              <w:t xml:space="preserve">Derfor udskydes fristen for projektets slutdato til den </w:t>
            </w:r>
            <w:r w:rsidR="00271E7D">
              <w:t>28. februar</w:t>
            </w:r>
            <w:r>
              <w:t xml:space="preserve"> 2025. </w:t>
            </w:r>
          </w:p>
          <w:p w14:paraId="32746820" w14:textId="4DA74895" w:rsidR="00271E7D" w:rsidRDefault="00271E7D" w:rsidP="00D86BCA">
            <w:r>
              <w:t xml:space="preserve">Landbrugsstyrelsen vil se på et eventuelt konkret behov for dispensation fra denne regel, under </w:t>
            </w:r>
            <w:r>
              <w:lastRenderedPageBreak/>
              <w:t>hensyn til bl.a.</w:t>
            </w:r>
            <w:r w:rsidR="009D3A4D">
              <w:t xml:space="preserve"> fortsat at kunne sikre</w:t>
            </w:r>
            <w:r>
              <w:t xml:space="preserve"> rettidig sagsbehandling. </w:t>
            </w:r>
          </w:p>
        </w:tc>
      </w:tr>
      <w:tr w:rsidR="003D086B" w14:paraId="6B718930" w14:textId="77777777" w:rsidTr="000C3E32">
        <w:tc>
          <w:tcPr>
            <w:tcW w:w="1129" w:type="dxa"/>
            <w:shd w:val="clear" w:color="auto" w:fill="auto"/>
          </w:tcPr>
          <w:p w14:paraId="35E58EE3" w14:textId="77777777" w:rsidR="003D086B" w:rsidRDefault="00D95916" w:rsidP="00086B6B">
            <w:r>
              <w:lastRenderedPageBreak/>
              <w:t>3.13</w:t>
            </w:r>
          </w:p>
        </w:tc>
        <w:tc>
          <w:tcPr>
            <w:tcW w:w="4111" w:type="dxa"/>
          </w:tcPr>
          <w:p w14:paraId="42A777D3" w14:textId="77777777" w:rsidR="003D086B" w:rsidRPr="009D428D" w:rsidRDefault="003D086B" w:rsidP="00D15AC1">
            <w:pPr>
              <w:rPr>
                <w:rFonts w:asciiTheme="minorHAnsi" w:hAnsiTheme="minorHAnsi"/>
                <w:i/>
                <w:iCs/>
                <w:szCs w:val="22"/>
              </w:rPr>
            </w:pPr>
            <w:r w:rsidRPr="009D428D">
              <w:rPr>
                <w:rFonts w:asciiTheme="minorHAnsi" w:hAnsiTheme="minorHAnsi"/>
                <w:i/>
                <w:iCs/>
                <w:szCs w:val="22"/>
              </w:rPr>
              <w:t xml:space="preserve">Arealforholdet mellem hver sekvens af dybe og lavvandede vegetationszoner skal være mellem </w:t>
            </w:r>
            <w:proofErr w:type="gramStart"/>
            <w:r w:rsidRPr="009D428D">
              <w:rPr>
                <w:rFonts w:asciiTheme="minorHAnsi" w:hAnsiTheme="minorHAnsi"/>
                <w:i/>
                <w:iCs/>
                <w:szCs w:val="22"/>
              </w:rPr>
              <w:t>1,5:1</w:t>
            </w:r>
            <w:proofErr w:type="gramEnd"/>
            <w:r w:rsidRPr="009D428D">
              <w:rPr>
                <w:rFonts w:asciiTheme="minorHAnsi" w:hAnsiTheme="minorHAnsi"/>
                <w:i/>
                <w:iCs/>
                <w:szCs w:val="22"/>
              </w:rPr>
              <w:t>-2:1</w:t>
            </w:r>
          </w:p>
          <w:p w14:paraId="2DACBFEE" w14:textId="77777777" w:rsidR="003D086B" w:rsidRPr="009D428D" w:rsidRDefault="003D086B" w:rsidP="00D15AC1">
            <w:pPr>
              <w:rPr>
                <w:rFonts w:asciiTheme="minorHAnsi" w:hAnsiTheme="minorHAnsi"/>
                <w:i/>
                <w:iCs/>
                <w:szCs w:val="22"/>
              </w:rPr>
            </w:pPr>
          </w:p>
          <w:p w14:paraId="574BE4FA"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sz w:val="22"/>
                <w:szCs w:val="22"/>
              </w:rPr>
              <w:t xml:space="preserve">Det er SEGES erfaring, at dette krav skaber betydelig usikkerhed i forhold til fysisk, da kontrollen som hovedregel først gennemføres, når minivådområdet er vandfyldt, og overgangene kan være vanskelige at konstatere. Selv små usikkerheder i vurderingen, kan føre til store ændringer i det beregnede arealforhold, hvorved projekterne i forhold til kontrolresultatet ikke lever op til kravene. Samtidig medfører kravet, at man tilstræber at lave minivådområder med så få og store bassiner som muligt, da dette gør dem mere ”robuste” i forhold til usikkerhederne ved kontrollen. Kravet fører dermed til, at minivådområderne reelt udformes med et dårligere design end hvis tolerancerne var større. SEGES har set eksempler på, at en usikkerhed på 25 cm på fastlæggelsen af overgangen imellem dybe og lave zoner, har medført, at et minivådområde ikke lever op til kravene. </w:t>
            </w:r>
          </w:p>
          <w:p w14:paraId="159C2AA8" w14:textId="77777777" w:rsidR="003D086B" w:rsidRPr="009D428D" w:rsidRDefault="003D086B" w:rsidP="003D086B">
            <w:pPr>
              <w:rPr>
                <w:rFonts w:asciiTheme="minorHAnsi" w:hAnsiTheme="minorHAnsi"/>
                <w:szCs w:val="22"/>
              </w:rPr>
            </w:pPr>
            <w:r w:rsidRPr="009D428D">
              <w:rPr>
                <w:rFonts w:asciiTheme="minorHAnsi" w:hAnsiTheme="minorHAnsi"/>
                <w:szCs w:val="22"/>
              </w:rPr>
              <w:t>SEGES anbefaler derfor, at kravet fjernes eller det tilladte interval øges.</w:t>
            </w:r>
          </w:p>
        </w:tc>
        <w:tc>
          <w:tcPr>
            <w:tcW w:w="4105" w:type="dxa"/>
          </w:tcPr>
          <w:p w14:paraId="231D2EB9" w14:textId="77777777" w:rsidR="003D086B" w:rsidRDefault="00326202" w:rsidP="00086B6B">
            <w:pPr>
              <w:rPr>
                <w:b/>
              </w:rPr>
            </w:pPr>
            <w:r w:rsidRPr="005372C5">
              <w:rPr>
                <w:b/>
              </w:rPr>
              <w:t>Bemærkningen giver ikke anledning til ændringer i bekendtgørelsen</w:t>
            </w:r>
            <w:r w:rsidR="0088712C">
              <w:rPr>
                <w:b/>
              </w:rPr>
              <w:t>:</w:t>
            </w:r>
          </w:p>
          <w:p w14:paraId="319631D2" w14:textId="77777777" w:rsidR="00825A7E" w:rsidRDefault="00825A7E" w:rsidP="00086B6B">
            <w:pPr>
              <w:rPr>
                <w:b/>
              </w:rPr>
            </w:pPr>
          </w:p>
          <w:p w14:paraId="6A020B1F" w14:textId="77777777" w:rsidR="00825A7E" w:rsidRPr="007231E4" w:rsidRDefault="00825A7E" w:rsidP="00086B6B">
            <w:r w:rsidRPr="0088712C">
              <w:t>Landbrugsstyrelsen bemærker</w:t>
            </w:r>
            <w:r w:rsidR="005073E7">
              <w:t>,</w:t>
            </w:r>
            <w:r w:rsidRPr="0088712C">
              <w:t xml:space="preserve"> at arealforholdet følger anbefalingerne fra Aarhus Universitet</w:t>
            </w:r>
            <w:r w:rsidR="00676BEB">
              <w:t xml:space="preserve"> og derfor ikke ændres i bekendtgørelsen</w:t>
            </w:r>
            <w:r w:rsidRPr="0088712C">
              <w:t xml:space="preserve">. </w:t>
            </w:r>
          </w:p>
        </w:tc>
      </w:tr>
      <w:tr w:rsidR="003D086B" w14:paraId="3E0336B9" w14:textId="77777777" w:rsidTr="000C3E32">
        <w:tc>
          <w:tcPr>
            <w:tcW w:w="1129" w:type="dxa"/>
            <w:shd w:val="clear" w:color="auto" w:fill="auto"/>
          </w:tcPr>
          <w:p w14:paraId="7DA8E9F9" w14:textId="77777777" w:rsidR="003D086B" w:rsidRDefault="000C3E32" w:rsidP="00086B6B">
            <w:r>
              <w:t>3.14</w:t>
            </w:r>
          </w:p>
        </w:tc>
        <w:tc>
          <w:tcPr>
            <w:tcW w:w="4111" w:type="dxa"/>
          </w:tcPr>
          <w:p w14:paraId="5424F941" w14:textId="77777777" w:rsidR="003D086B" w:rsidRPr="009D428D" w:rsidRDefault="003D086B" w:rsidP="00D15AC1">
            <w:pPr>
              <w:rPr>
                <w:rFonts w:asciiTheme="minorHAnsi" w:hAnsiTheme="minorHAnsi"/>
                <w:i/>
                <w:iCs/>
                <w:szCs w:val="22"/>
              </w:rPr>
            </w:pPr>
            <w:r w:rsidRPr="009D428D">
              <w:rPr>
                <w:rFonts w:asciiTheme="minorHAnsi" w:hAnsiTheme="minorHAnsi"/>
                <w:i/>
                <w:iCs/>
                <w:szCs w:val="22"/>
              </w:rPr>
              <w:t>Sedimentationsbassinet skal etableres med en vanddybde på mellem 0,8 m og 1 m.</w:t>
            </w:r>
          </w:p>
          <w:p w14:paraId="297B1FEF" w14:textId="77777777" w:rsidR="003D086B" w:rsidRPr="009D428D" w:rsidRDefault="003D086B" w:rsidP="00D15AC1">
            <w:pPr>
              <w:rPr>
                <w:rFonts w:asciiTheme="minorHAnsi" w:hAnsiTheme="minorHAnsi"/>
                <w:i/>
                <w:iCs/>
                <w:szCs w:val="22"/>
              </w:rPr>
            </w:pPr>
          </w:p>
          <w:p w14:paraId="7384EE2F"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sz w:val="22"/>
                <w:szCs w:val="22"/>
              </w:rPr>
              <w:t xml:space="preserve">SEGES er undrende overfor hvorfor dette krav er fastholdt. I Levering på bestillingen ”Uddybning af fagligt grundlag for design af minivådområder med overfladestrømning” af 2. april </w:t>
            </w:r>
            <w:r w:rsidRPr="009D428D">
              <w:rPr>
                <w:rFonts w:asciiTheme="minorHAnsi" w:hAnsiTheme="minorHAnsi"/>
                <w:sz w:val="22"/>
                <w:szCs w:val="22"/>
              </w:rPr>
              <w:lastRenderedPageBreak/>
              <w:t xml:space="preserve">2020, har Aarhus Universitet redegjort for, at en afvigelse fra det fastsatte interval alene vil have betydning for, hvor hyppigt sedimentationsbassinet skal oprenses, hvilket kun har betydning for ansøgers arbejdsbyrde, og ikke minivådområdets effekt. </w:t>
            </w:r>
          </w:p>
          <w:p w14:paraId="4DB28386"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sz w:val="22"/>
                <w:szCs w:val="22"/>
              </w:rPr>
              <w:t xml:space="preserve">Det er herudover SEGES erfaring, at kravet skaber usikkerhed i forhold til fysisk, da kontrollen som hovedregel først gennemføres, når minivådområdet er vandfyldt, hvor det bliver vanskeligt at fastlægge dybden. </w:t>
            </w:r>
          </w:p>
          <w:p w14:paraId="546C8EA9" w14:textId="77777777" w:rsidR="003D086B" w:rsidRPr="009D428D" w:rsidRDefault="003D086B" w:rsidP="003D086B">
            <w:pPr>
              <w:rPr>
                <w:rFonts w:asciiTheme="minorHAnsi" w:hAnsiTheme="minorHAnsi"/>
                <w:szCs w:val="22"/>
              </w:rPr>
            </w:pPr>
            <w:r w:rsidRPr="009D428D">
              <w:rPr>
                <w:rFonts w:asciiTheme="minorHAnsi" w:hAnsiTheme="minorHAnsi"/>
                <w:szCs w:val="22"/>
              </w:rPr>
              <w:t>SEGES anbefaler derfor, at kravet fjernes eller det tilladte interval øges.</w:t>
            </w:r>
          </w:p>
        </w:tc>
        <w:tc>
          <w:tcPr>
            <w:tcW w:w="4105" w:type="dxa"/>
          </w:tcPr>
          <w:p w14:paraId="63A9C135" w14:textId="77777777" w:rsidR="00676BEB" w:rsidRDefault="00676BEB" w:rsidP="00676BEB">
            <w:r>
              <w:rPr>
                <w:b/>
              </w:rPr>
              <w:lastRenderedPageBreak/>
              <w:t xml:space="preserve">Bemærkningen giver ikke </w:t>
            </w:r>
            <w:r w:rsidRPr="005372C5">
              <w:rPr>
                <w:b/>
              </w:rPr>
              <w:t xml:space="preserve">anledning til ændringer </w:t>
            </w:r>
            <w:r w:rsidR="00EC418A">
              <w:rPr>
                <w:b/>
              </w:rPr>
              <w:t>i bekendtgørelsen</w:t>
            </w:r>
            <w:r w:rsidRPr="005372C5">
              <w:rPr>
                <w:b/>
              </w:rPr>
              <w:t>:</w:t>
            </w:r>
          </w:p>
          <w:p w14:paraId="026609F7" w14:textId="77777777" w:rsidR="003D086B" w:rsidRDefault="003D086B" w:rsidP="00086B6B"/>
          <w:p w14:paraId="1F98F7F0" w14:textId="77777777" w:rsidR="00E0467C" w:rsidRDefault="00E0467C" w:rsidP="00086B6B">
            <w:r>
              <w:t>Landbrugsstyrelsen tager bemærkningen til efterretning. Kravet fastholdes</w:t>
            </w:r>
            <w:r w:rsidR="006700E0">
              <w:t xml:space="preserve"> dog</w:t>
            </w:r>
            <w:r>
              <w:t xml:space="preserve">, da det er Aarhus Universitets (AU) </w:t>
            </w:r>
            <w:r w:rsidR="006700E0">
              <w:t>retningslinjer for</w:t>
            </w:r>
            <w:r w:rsidR="00246134">
              <w:t xml:space="preserve"> </w:t>
            </w:r>
            <w:r>
              <w:t xml:space="preserve">hvordan et funktionsdygtigt </w:t>
            </w:r>
            <w:r>
              <w:lastRenderedPageBreak/>
              <w:t xml:space="preserve">sedimentationsbassin skal udformes. Ved overtrædelser af dette krav, vil væsentlighedsvurderingen også ske på baggrund af nævnte levering fra AU. </w:t>
            </w:r>
          </w:p>
          <w:p w14:paraId="4A6C764D" w14:textId="77777777" w:rsidR="004C38CF" w:rsidRDefault="004C38CF" w:rsidP="00086B6B"/>
        </w:tc>
      </w:tr>
      <w:tr w:rsidR="003D086B" w14:paraId="7D42443D" w14:textId="77777777" w:rsidTr="000C3E32">
        <w:tc>
          <w:tcPr>
            <w:tcW w:w="1129" w:type="dxa"/>
            <w:shd w:val="clear" w:color="auto" w:fill="auto"/>
          </w:tcPr>
          <w:p w14:paraId="1C572D61" w14:textId="77777777" w:rsidR="003D086B" w:rsidRDefault="00D95916" w:rsidP="00086B6B">
            <w:r>
              <w:lastRenderedPageBreak/>
              <w:t>3.1</w:t>
            </w:r>
            <w:r w:rsidR="000C3E32">
              <w:t>5</w:t>
            </w:r>
          </w:p>
        </w:tc>
        <w:tc>
          <w:tcPr>
            <w:tcW w:w="4111" w:type="dxa"/>
          </w:tcPr>
          <w:p w14:paraId="5774915E" w14:textId="77777777" w:rsidR="003D086B" w:rsidRPr="009D428D" w:rsidRDefault="003D086B" w:rsidP="00D15AC1">
            <w:pPr>
              <w:rPr>
                <w:rFonts w:asciiTheme="minorHAnsi" w:hAnsiTheme="minorHAnsi"/>
                <w:i/>
                <w:iCs/>
                <w:szCs w:val="22"/>
              </w:rPr>
            </w:pPr>
            <w:r w:rsidRPr="009D428D">
              <w:rPr>
                <w:rFonts w:asciiTheme="minorHAnsi" w:hAnsiTheme="minorHAnsi"/>
                <w:i/>
                <w:iCs/>
                <w:szCs w:val="22"/>
              </w:rPr>
              <w:t>De dybe zoner i vådområdet skal etableres med en vanddybde på mellem 0,85 m og 1,15 m.</w:t>
            </w:r>
          </w:p>
          <w:p w14:paraId="2DF9A6A8" w14:textId="77777777" w:rsidR="003D086B" w:rsidRPr="009D428D" w:rsidRDefault="003D086B" w:rsidP="00D15AC1">
            <w:pPr>
              <w:rPr>
                <w:rFonts w:asciiTheme="minorHAnsi" w:hAnsiTheme="minorHAnsi"/>
                <w:i/>
                <w:iCs/>
                <w:szCs w:val="22"/>
              </w:rPr>
            </w:pPr>
          </w:p>
          <w:p w14:paraId="5D7B36E6"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sz w:val="22"/>
                <w:szCs w:val="22"/>
              </w:rPr>
              <w:t xml:space="preserve">SEGES er undrende overfor hvorfor dette krav er fastholdt. I Levering på bestillingen ”Uddybning af fagligt grundlag for design af minivådområder med overfladestrømning” af 2. april 2020, har Aarhus Universitet redegjort for, at en øget vanddybde vil gavne kvælstoffjernelsen. </w:t>
            </w:r>
          </w:p>
          <w:p w14:paraId="5AF5F46A"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sz w:val="22"/>
                <w:szCs w:val="22"/>
              </w:rPr>
              <w:t xml:space="preserve">Det er herudover SEGES erfaring, at kravet skaber usikkerhed i forhold til fysisk, da kontrollen som hovedregel først gennemføres, når minivådområdet er vandfyldt, hvor det bliver vanskeligt at fastlægge dybden. </w:t>
            </w:r>
          </w:p>
          <w:p w14:paraId="28AE5EB3" w14:textId="77777777" w:rsidR="003D086B" w:rsidRPr="009D428D" w:rsidRDefault="003D086B" w:rsidP="003D086B">
            <w:pPr>
              <w:rPr>
                <w:rFonts w:asciiTheme="minorHAnsi" w:hAnsiTheme="minorHAnsi"/>
                <w:i/>
                <w:iCs/>
                <w:szCs w:val="22"/>
              </w:rPr>
            </w:pPr>
            <w:r w:rsidRPr="009D428D">
              <w:rPr>
                <w:rFonts w:asciiTheme="minorHAnsi" w:hAnsiTheme="minorHAnsi"/>
                <w:szCs w:val="22"/>
              </w:rPr>
              <w:t>SEGES anbefaler derfor, at der kun stilles krav om en mindste vanddybde og at der ikke er krav om en maksimal vanddybde.</w:t>
            </w:r>
          </w:p>
        </w:tc>
        <w:tc>
          <w:tcPr>
            <w:tcW w:w="4105" w:type="dxa"/>
          </w:tcPr>
          <w:p w14:paraId="4473CAD9" w14:textId="77777777" w:rsidR="003D086B" w:rsidRDefault="00326202" w:rsidP="00086B6B">
            <w:pPr>
              <w:rPr>
                <w:b/>
              </w:rPr>
            </w:pPr>
            <w:r w:rsidRPr="005372C5">
              <w:rPr>
                <w:b/>
              </w:rPr>
              <w:t>Bemærkningen giver anledning til ændringer i bekendtgørelsen</w:t>
            </w:r>
            <w:r w:rsidR="0088712C">
              <w:rPr>
                <w:b/>
              </w:rPr>
              <w:t>:</w:t>
            </w:r>
          </w:p>
          <w:p w14:paraId="2939CE29" w14:textId="77777777" w:rsidR="007231E4" w:rsidRDefault="007231E4" w:rsidP="00086B6B">
            <w:pPr>
              <w:rPr>
                <w:b/>
              </w:rPr>
            </w:pPr>
          </w:p>
          <w:p w14:paraId="29A6C0E1" w14:textId="77777777" w:rsidR="007231E4" w:rsidRDefault="007231E4" w:rsidP="00676BEB">
            <w:r>
              <w:t xml:space="preserve">Landbrugsstyrelsen </w:t>
            </w:r>
            <w:r w:rsidR="00EB4B8B">
              <w:t xml:space="preserve">imødekommer ønsket og </w:t>
            </w:r>
            <w:r>
              <w:t>ændrer kravet til</w:t>
            </w:r>
            <w:r w:rsidR="00676BEB">
              <w:t xml:space="preserve"> vanddybden i de dybe zoner, så der i bekendtgørelsen udelukkende stilles et minimumskrav på 0,85 m. Ændringen sker </w:t>
            </w:r>
            <w:r w:rsidR="004C38CF">
              <w:t xml:space="preserve">desuden </w:t>
            </w:r>
            <w:r w:rsidR="00676BEB">
              <w:t>på baggrund af en levering fra Aarhus Universitet (leveret 4. marts 2022)</w:t>
            </w:r>
            <w:r w:rsidR="004C38CF">
              <w:t>, hvor der er spurgt særskilt herom</w:t>
            </w:r>
            <w:r w:rsidR="00676BEB">
              <w:t xml:space="preserve">. </w:t>
            </w:r>
          </w:p>
        </w:tc>
      </w:tr>
      <w:tr w:rsidR="003D086B" w14:paraId="064E8C30" w14:textId="77777777" w:rsidTr="000C3E32">
        <w:tc>
          <w:tcPr>
            <w:tcW w:w="1129" w:type="dxa"/>
            <w:shd w:val="clear" w:color="auto" w:fill="auto"/>
          </w:tcPr>
          <w:p w14:paraId="7240C374" w14:textId="77777777" w:rsidR="003D086B" w:rsidRDefault="00D95916" w:rsidP="00086B6B">
            <w:r>
              <w:t>3.1</w:t>
            </w:r>
            <w:r w:rsidR="000C3E32">
              <w:t>6</w:t>
            </w:r>
          </w:p>
        </w:tc>
        <w:tc>
          <w:tcPr>
            <w:tcW w:w="4111" w:type="dxa"/>
          </w:tcPr>
          <w:p w14:paraId="39973D8A"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i/>
                <w:iCs/>
                <w:sz w:val="22"/>
                <w:szCs w:val="22"/>
              </w:rPr>
              <w:t xml:space="preserve">Minivådområdet skal overholde et gennemsnitligt længde:bredde forhold fra 3:1 til 5:1. </w:t>
            </w:r>
          </w:p>
          <w:p w14:paraId="7A20AF78" w14:textId="77777777" w:rsidR="003D086B" w:rsidRPr="009D428D" w:rsidRDefault="003D086B" w:rsidP="003D086B">
            <w:pPr>
              <w:rPr>
                <w:rFonts w:asciiTheme="minorHAnsi" w:hAnsiTheme="minorHAnsi"/>
                <w:szCs w:val="22"/>
              </w:rPr>
            </w:pPr>
          </w:p>
          <w:p w14:paraId="52F894B7"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sz w:val="22"/>
                <w:szCs w:val="22"/>
              </w:rPr>
              <w:t xml:space="preserve">Det er SEGES vurdering, at den foreslående reduktion af det tilladte interval fra de hidtidige 3:1 til 7:1 til de foreslåede 3:1 til 5:1 vil medføre, at en lang række projekter ikke vil kunne gennemføres. I kuperet terræn, vil hoveddræn ofte være placeret i slugter, hvor det ikke vil være muligt at øge minivådområdets bredde, da der så vil skulle bortgraves så jordmængder langs </w:t>
            </w:r>
            <w:r w:rsidRPr="009D428D">
              <w:rPr>
                <w:rFonts w:asciiTheme="minorHAnsi" w:hAnsiTheme="minorHAnsi"/>
                <w:sz w:val="22"/>
                <w:szCs w:val="22"/>
              </w:rPr>
              <w:lastRenderedPageBreak/>
              <w:t xml:space="preserve">siderne af minivådområdet, at projektet ikke kan holdes indenfor den økonomiske ramme. I andre lavninger vil den eneste mulighed for at indpasse et minivådområde i forhold til terræn ofte være at udforme minivådområdet i en S-form, der ikke vil kunne holdes indenfor det foreslåede, reducerede interval. </w:t>
            </w:r>
          </w:p>
          <w:p w14:paraId="256E0FB7"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sz w:val="22"/>
                <w:szCs w:val="22"/>
              </w:rPr>
              <w:t xml:space="preserve">Da det er usikkert at projektere minivådområder med et længde:bredde-forhold, der ligger tæt på grænserne for det tilladte interval, vil den foreslåede ændring mindst medføre en halveret fleksibilitet i mulighederne for at indpasse minivådområderne i forhold til terræn. </w:t>
            </w:r>
          </w:p>
          <w:p w14:paraId="0A5DB427" w14:textId="77777777" w:rsidR="003D086B" w:rsidRPr="009D428D" w:rsidRDefault="003D086B" w:rsidP="003D086B">
            <w:pPr>
              <w:rPr>
                <w:rFonts w:asciiTheme="minorHAnsi" w:hAnsiTheme="minorHAnsi"/>
                <w:szCs w:val="22"/>
              </w:rPr>
            </w:pPr>
            <w:r w:rsidRPr="009D428D">
              <w:rPr>
                <w:rFonts w:asciiTheme="minorHAnsi" w:hAnsiTheme="minorHAnsi"/>
                <w:szCs w:val="22"/>
              </w:rPr>
              <w:t>SEGES anbefaler at den foreslåede ændring ikke gennemføres, da det vil udgøre en betydelig barriere for at etablere minivådområder, og dermed reducere potentialet for virkemidlet.</w:t>
            </w:r>
          </w:p>
        </w:tc>
        <w:tc>
          <w:tcPr>
            <w:tcW w:w="4105" w:type="dxa"/>
          </w:tcPr>
          <w:p w14:paraId="47D4F962" w14:textId="77777777" w:rsidR="00676BEB" w:rsidRDefault="00676BEB" w:rsidP="00676BEB">
            <w:pPr>
              <w:rPr>
                <w:b/>
              </w:rPr>
            </w:pPr>
            <w:r>
              <w:rPr>
                <w:b/>
              </w:rPr>
              <w:lastRenderedPageBreak/>
              <w:t xml:space="preserve">Bemærkningen giver ikke </w:t>
            </w:r>
            <w:r w:rsidRPr="005372C5">
              <w:rPr>
                <w:b/>
              </w:rPr>
              <w:t xml:space="preserve">anledning til ændringer </w:t>
            </w:r>
            <w:r w:rsidR="00EC418A">
              <w:rPr>
                <w:b/>
              </w:rPr>
              <w:t>i bekendtgørelsen</w:t>
            </w:r>
            <w:r w:rsidRPr="005372C5">
              <w:rPr>
                <w:b/>
              </w:rPr>
              <w:t>:</w:t>
            </w:r>
          </w:p>
          <w:p w14:paraId="50700DCD" w14:textId="77777777" w:rsidR="00676BEB" w:rsidRDefault="00676BEB" w:rsidP="00676BEB">
            <w:pPr>
              <w:rPr>
                <w:b/>
              </w:rPr>
            </w:pPr>
          </w:p>
          <w:p w14:paraId="75CE4C35" w14:textId="77777777" w:rsidR="003D086B" w:rsidRDefault="00676BEB" w:rsidP="008B6E79">
            <w:r w:rsidRPr="00FC5D0E">
              <w:t>Landbrugsstyrelsen bemærker</w:t>
            </w:r>
            <w:r w:rsidR="005073E7">
              <w:t>,</w:t>
            </w:r>
            <w:r>
              <w:t xml:space="preserve"> at krav til længde:bredde forhold</w:t>
            </w:r>
            <w:r w:rsidRPr="00FC5D0E">
              <w:t xml:space="preserve"> følger anbefalingerne fra Aarhus Universitet</w:t>
            </w:r>
            <w:r w:rsidR="004C38CF">
              <w:t xml:space="preserve">. </w:t>
            </w:r>
            <w:r>
              <w:t xml:space="preserve"> </w:t>
            </w:r>
            <w:r w:rsidR="004C38CF">
              <w:t>Bemærkningen giver derfor ikke anledning til ændringer i</w:t>
            </w:r>
            <w:r>
              <w:t xml:space="preserve"> bekendtgørelsen</w:t>
            </w:r>
            <w:r w:rsidRPr="00FC5D0E">
              <w:t>.</w:t>
            </w:r>
          </w:p>
        </w:tc>
      </w:tr>
      <w:tr w:rsidR="003D086B" w14:paraId="5780AF27" w14:textId="77777777" w:rsidTr="000C3E32">
        <w:tc>
          <w:tcPr>
            <w:tcW w:w="1129" w:type="dxa"/>
            <w:shd w:val="clear" w:color="auto" w:fill="auto"/>
          </w:tcPr>
          <w:p w14:paraId="0E64B587" w14:textId="77777777" w:rsidR="003D086B" w:rsidRDefault="00D95916" w:rsidP="00086B6B">
            <w:r>
              <w:t>3.1</w:t>
            </w:r>
            <w:r w:rsidR="000C3E32">
              <w:t>7</w:t>
            </w:r>
          </w:p>
        </w:tc>
        <w:tc>
          <w:tcPr>
            <w:tcW w:w="4111" w:type="dxa"/>
          </w:tcPr>
          <w:p w14:paraId="4894B656" w14:textId="77777777" w:rsidR="003D086B" w:rsidRPr="009D428D" w:rsidRDefault="003D086B" w:rsidP="00D15AC1">
            <w:pPr>
              <w:rPr>
                <w:rFonts w:asciiTheme="minorHAnsi" w:hAnsiTheme="minorHAnsi"/>
                <w:i/>
                <w:iCs/>
                <w:szCs w:val="22"/>
              </w:rPr>
            </w:pPr>
            <w:r w:rsidRPr="009D428D">
              <w:rPr>
                <w:rFonts w:asciiTheme="minorHAnsi" w:hAnsiTheme="minorHAnsi"/>
                <w:i/>
                <w:iCs/>
                <w:szCs w:val="22"/>
              </w:rPr>
              <w:t>Minivådområdets bund og sider skal være lav permeabel.</w:t>
            </w:r>
          </w:p>
          <w:p w14:paraId="0C23E739" w14:textId="77777777" w:rsidR="003D086B" w:rsidRPr="009D428D" w:rsidRDefault="003D086B" w:rsidP="00D15AC1">
            <w:pPr>
              <w:rPr>
                <w:rFonts w:asciiTheme="minorHAnsi" w:hAnsiTheme="minorHAnsi"/>
                <w:i/>
                <w:iCs/>
                <w:szCs w:val="22"/>
              </w:rPr>
            </w:pPr>
          </w:p>
          <w:p w14:paraId="586A3159" w14:textId="77777777" w:rsidR="003D086B" w:rsidRPr="009D428D" w:rsidRDefault="003D086B" w:rsidP="003D086B">
            <w:pPr>
              <w:pStyle w:val="Default"/>
              <w:rPr>
                <w:rFonts w:asciiTheme="minorHAnsi" w:hAnsiTheme="minorHAnsi"/>
                <w:sz w:val="22"/>
                <w:szCs w:val="22"/>
              </w:rPr>
            </w:pPr>
            <w:r w:rsidRPr="009D428D">
              <w:rPr>
                <w:rFonts w:asciiTheme="minorHAnsi" w:hAnsiTheme="minorHAnsi"/>
                <w:sz w:val="22"/>
                <w:szCs w:val="22"/>
              </w:rPr>
              <w:t xml:space="preserve">Det er SEGES vurdering, at den foreslåede ændring i forhold til tidligere bekendtgørelser for tilskudsordningen, vil medføre en betydelig usikkerhed for potentielle ansøgere om hvorvidt projektet kan etableres indenfor tilskudsordningens rammer. Tidligere blev kravene til ansøgere stillet med udgangspunkt i potentialekortets klassificering. </w:t>
            </w:r>
          </w:p>
          <w:p w14:paraId="7CF413A5" w14:textId="77777777" w:rsidR="003D086B" w:rsidRPr="009D428D" w:rsidRDefault="003D086B" w:rsidP="003D086B">
            <w:pPr>
              <w:rPr>
                <w:rFonts w:asciiTheme="minorHAnsi" w:hAnsiTheme="minorHAnsi"/>
                <w:i/>
                <w:iCs/>
                <w:szCs w:val="22"/>
              </w:rPr>
            </w:pPr>
            <w:r w:rsidRPr="009D428D">
              <w:rPr>
                <w:rFonts w:asciiTheme="minorHAnsi" w:hAnsiTheme="minorHAnsi"/>
                <w:szCs w:val="22"/>
              </w:rPr>
              <w:t>SEGES foreslår derfor, at kravet holdes uændret i forhold til fx BEK nr</w:t>
            </w:r>
            <w:r w:rsidR="008B6E79">
              <w:rPr>
                <w:rFonts w:asciiTheme="minorHAnsi" w:hAnsiTheme="minorHAnsi"/>
                <w:szCs w:val="22"/>
              </w:rPr>
              <w:t>.</w:t>
            </w:r>
            <w:r w:rsidRPr="009D428D">
              <w:rPr>
                <w:rFonts w:asciiTheme="minorHAnsi" w:hAnsiTheme="minorHAnsi"/>
                <w:szCs w:val="22"/>
              </w:rPr>
              <w:t xml:space="preserve"> 184 af 26/02/2019: </w:t>
            </w:r>
            <w:r w:rsidRPr="009D428D">
              <w:rPr>
                <w:rFonts w:asciiTheme="minorHAnsi" w:hAnsiTheme="minorHAnsi"/>
                <w:i/>
                <w:iCs/>
                <w:szCs w:val="22"/>
              </w:rPr>
              <w:t xml:space="preserve">”Mini-vådområdets bund skal være lav permeabel. Såfremt minivådområdets bund har lerindhold &gt;12 % jf. Udpegningskort for minivådområder 2019 anses dette kriterie som opfyldt. Ved lerindhold </w:t>
            </w:r>
            <w:proofErr w:type="gramStart"/>
            <w:r w:rsidRPr="009D428D">
              <w:rPr>
                <w:rFonts w:asciiTheme="minorHAnsi" w:hAnsiTheme="minorHAnsi"/>
                <w:i/>
                <w:iCs/>
                <w:szCs w:val="22"/>
              </w:rPr>
              <w:t>&lt; 12</w:t>
            </w:r>
            <w:proofErr w:type="gramEnd"/>
            <w:r w:rsidRPr="009D428D">
              <w:rPr>
                <w:rFonts w:asciiTheme="minorHAnsi" w:hAnsiTheme="minorHAnsi"/>
                <w:i/>
                <w:iCs/>
                <w:szCs w:val="22"/>
              </w:rPr>
              <w:t xml:space="preserve"> % skal der etableres en lermembran”.</w:t>
            </w:r>
          </w:p>
        </w:tc>
        <w:tc>
          <w:tcPr>
            <w:tcW w:w="4105" w:type="dxa"/>
          </w:tcPr>
          <w:p w14:paraId="3AA2ABDC" w14:textId="77777777" w:rsidR="003D086B" w:rsidRDefault="00326202" w:rsidP="00086B6B">
            <w:pPr>
              <w:rPr>
                <w:b/>
              </w:rPr>
            </w:pPr>
            <w:r w:rsidRPr="005372C5">
              <w:rPr>
                <w:b/>
              </w:rPr>
              <w:t>Bemærkningen giver ikke anledning til ændringer i bekendtgørelsen:</w:t>
            </w:r>
          </w:p>
          <w:p w14:paraId="0DA7E7C6" w14:textId="77777777" w:rsidR="004C38CF" w:rsidRDefault="004C38CF" w:rsidP="00086B6B">
            <w:pPr>
              <w:rPr>
                <w:b/>
              </w:rPr>
            </w:pPr>
          </w:p>
          <w:p w14:paraId="7D734A07" w14:textId="5A1EBB6E" w:rsidR="004C38CF" w:rsidRDefault="004C38CF" w:rsidP="00086B6B">
            <w:r w:rsidRPr="0088712C">
              <w:t xml:space="preserve">Landbrugsstyrelsen bemærker hertil, </w:t>
            </w:r>
            <w:proofErr w:type="gramStart"/>
            <w:r w:rsidRPr="0088712C">
              <w:t xml:space="preserve">at </w:t>
            </w:r>
            <w:r>
              <w:t xml:space="preserve"> det</w:t>
            </w:r>
            <w:proofErr w:type="gramEnd"/>
            <w:r>
              <w:t xml:space="preserve"> er af væsentlig betydning for minivådområdets effekt, at bunden er lavpermeabel. Den tidligere formulering tager bl.a. ikke højde for mindre forekomster af tørvejord. Manglende membran kan desuden betyde</w:t>
            </w:r>
            <w:r w:rsidR="00246134">
              <w:t>,</w:t>
            </w:r>
            <w:r>
              <w:t xml:space="preserve"> at dimensionskrav til minivådområdet ikke kan overholdes, hvorfor det må betragtes at være en del af oplandskonsulente</w:t>
            </w:r>
            <w:r w:rsidR="008B6E79">
              <w:t>n</w:t>
            </w:r>
            <w:r>
              <w:t>s vurdering af en given placerings egnethed og behovet for membran. Det bemærkes desuden</w:t>
            </w:r>
            <w:r w:rsidR="005073E7">
              <w:t>,</w:t>
            </w:r>
            <w:r>
              <w:t xml:space="preserve"> at udgifter til eventuel membran er indeholdt i tilskuddet til etableringsomkostninger. Bemærkningen giver derfor ikke anledning til ændringer i bekendtgørelsen. </w:t>
            </w:r>
          </w:p>
          <w:p w14:paraId="4AEBEA19" w14:textId="77777777" w:rsidR="004C38CF" w:rsidRPr="004C38CF" w:rsidRDefault="004C38CF" w:rsidP="00086B6B"/>
        </w:tc>
      </w:tr>
      <w:tr w:rsidR="003D086B" w14:paraId="3E56DC56" w14:textId="77777777" w:rsidTr="000C3E32">
        <w:tc>
          <w:tcPr>
            <w:tcW w:w="1129" w:type="dxa"/>
            <w:shd w:val="clear" w:color="auto" w:fill="auto"/>
          </w:tcPr>
          <w:p w14:paraId="7ECC3E7C" w14:textId="77777777" w:rsidR="003D086B" w:rsidRDefault="00D95916" w:rsidP="00086B6B">
            <w:r>
              <w:t>3.1</w:t>
            </w:r>
            <w:r w:rsidR="000C3E32">
              <w:t>8</w:t>
            </w:r>
          </w:p>
        </w:tc>
        <w:tc>
          <w:tcPr>
            <w:tcW w:w="4111" w:type="dxa"/>
          </w:tcPr>
          <w:p w14:paraId="7C861AA5" w14:textId="77777777" w:rsidR="009D428D" w:rsidRPr="009D428D" w:rsidRDefault="009D428D" w:rsidP="009D428D">
            <w:pPr>
              <w:pStyle w:val="Default"/>
              <w:rPr>
                <w:rFonts w:asciiTheme="minorHAnsi" w:hAnsiTheme="minorHAnsi"/>
                <w:sz w:val="22"/>
                <w:szCs w:val="22"/>
              </w:rPr>
            </w:pPr>
            <w:r w:rsidRPr="009D428D">
              <w:rPr>
                <w:rFonts w:asciiTheme="minorHAnsi" w:hAnsiTheme="minorHAnsi"/>
                <w:sz w:val="22"/>
                <w:szCs w:val="22"/>
              </w:rPr>
              <w:t xml:space="preserve">Standardomkostningerne er fastsat på baggrund af tilbud på konkrete projekter fra ansøgningsrunden i 2018. </w:t>
            </w:r>
          </w:p>
          <w:p w14:paraId="3FB93908" w14:textId="77777777" w:rsidR="009D428D" w:rsidRPr="009D428D" w:rsidRDefault="009D428D" w:rsidP="009D428D">
            <w:pPr>
              <w:pStyle w:val="Default"/>
              <w:rPr>
                <w:rFonts w:asciiTheme="minorHAnsi" w:hAnsiTheme="minorHAnsi"/>
                <w:sz w:val="22"/>
                <w:szCs w:val="22"/>
              </w:rPr>
            </w:pPr>
            <w:r w:rsidRPr="009D428D">
              <w:rPr>
                <w:rFonts w:asciiTheme="minorHAnsi" w:hAnsiTheme="minorHAnsi"/>
                <w:sz w:val="22"/>
                <w:szCs w:val="22"/>
              </w:rPr>
              <w:t xml:space="preserve">Danske Maskinstationer &amp; Entreprenører, der organiserer </w:t>
            </w:r>
            <w:r w:rsidRPr="009D428D">
              <w:rPr>
                <w:rFonts w:asciiTheme="minorHAnsi" w:hAnsiTheme="minorHAnsi"/>
                <w:sz w:val="22"/>
                <w:szCs w:val="22"/>
              </w:rPr>
              <w:lastRenderedPageBreak/>
              <w:t xml:space="preserve">hovedparten af de entreprenørvirksom-heder, der etablerer minivådområder, har oplyst til SEGES, at indekspriserne på entreprenørarbejde er stedet 7,5 % i perioden juni 2019 til marts 2022 (se vedlagte oversigt). </w:t>
            </w:r>
          </w:p>
          <w:p w14:paraId="3FCDC2F2" w14:textId="77777777" w:rsidR="003D086B" w:rsidRPr="009D428D" w:rsidRDefault="009D428D" w:rsidP="009D428D">
            <w:pPr>
              <w:rPr>
                <w:rFonts w:asciiTheme="minorHAnsi" w:hAnsiTheme="minorHAnsi"/>
                <w:i/>
                <w:iCs/>
                <w:szCs w:val="22"/>
              </w:rPr>
            </w:pPr>
            <w:r w:rsidRPr="009D428D">
              <w:rPr>
                <w:rFonts w:asciiTheme="minorHAnsi" w:hAnsiTheme="minorHAnsi"/>
                <w:szCs w:val="22"/>
              </w:rPr>
              <w:t>SEGES foreslår derfor, at standardomkostningerne startpris og pris pr m2 opjusteres med 7,5 %, så tilskuddet fortsat er på 100 % af de tilskudsberettigede omkostninger.</w:t>
            </w:r>
          </w:p>
        </w:tc>
        <w:tc>
          <w:tcPr>
            <w:tcW w:w="4105" w:type="dxa"/>
          </w:tcPr>
          <w:p w14:paraId="53BC8BFD" w14:textId="77777777" w:rsidR="003D086B" w:rsidRDefault="00326202" w:rsidP="00086B6B">
            <w:pPr>
              <w:rPr>
                <w:b/>
              </w:rPr>
            </w:pPr>
            <w:r w:rsidRPr="005372C5">
              <w:rPr>
                <w:b/>
              </w:rPr>
              <w:lastRenderedPageBreak/>
              <w:t>Bemærkningen giver ikke anledning til ændringer i bekendtgørelsen:</w:t>
            </w:r>
          </w:p>
          <w:p w14:paraId="03534D18" w14:textId="77777777" w:rsidR="00B22D4C" w:rsidRDefault="00B22D4C" w:rsidP="00086B6B">
            <w:pPr>
              <w:rPr>
                <w:b/>
              </w:rPr>
            </w:pPr>
          </w:p>
          <w:p w14:paraId="2DC13F94" w14:textId="77777777" w:rsidR="00B22D4C" w:rsidRDefault="00B22D4C" w:rsidP="00086B6B"/>
          <w:p w14:paraId="69B0CA89" w14:textId="77777777" w:rsidR="00936D94" w:rsidRPr="00B22D4C" w:rsidRDefault="00936D94" w:rsidP="00086B6B">
            <w:r>
              <w:t xml:space="preserve">Der henvises til svar under punkt 2.4. </w:t>
            </w:r>
          </w:p>
        </w:tc>
      </w:tr>
      <w:tr w:rsidR="00F97645" w14:paraId="20A45090" w14:textId="77777777" w:rsidTr="000C3E32">
        <w:tc>
          <w:tcPr>
            <w:tcW w:w="1129" w:type="dxa"/>
            <w:shd w:val="clear" w:color="auto" w:fill="auto"/>
          </w:tcPr>
          <w:p w14:paraId="254F9EAB" w14:textId="77777777" w:rsidR="00F97645" w:rsidRDefault="00F97645" w:rsidP="00086B6B">
            <w:r>
              <w:lastRenderedPageBreak/>
              <w:t>4.</w:t>
            </w:r>
          </w:p>
        </w:tc>
        <w:tc>
          <w:tcPr>
            <w:tcW w:w="8216" w:type="dxa"/>
            <w:gridSpan w:val="2"/>
          </w:tcPr>
          <w:p w14:paraId="7A86CE46" w14:textId="77777777" w:rsidR="00F97645" w:rsidRPr="00F97645" w:rsidRDefault="00F97645" w:rsidP="00086B6B">
            <w:pPr>
              <w:rPr>
                <w:b/>
              </w:rPr>
            </w:pPr>
            <w:r w:rsidRPr="00F97645">
              <w:rPr>
                <w:b/>
              </w:rPr>
              <w:t>Bæredygtigt Landbrug</w:t>
            </w:r>
          </w:p>
        </w:tc>
      </w:tr>
      <w:tr w:rsidR="003D086B" w14:paraId="45C71BA4" w14:textId="77777777" w:rsidTr="000C3E32">
        <w:tc>
          <w:tcPr>
            <w:tcW w:w="1129" w:type="dxa"/>
            <w:shd w:val="clear" w:color="auto" w:fill="auto"/>
          </w:tcPr>
          <w:p w14:paraId="5AB364F9" w14:textId="77777777" w:rsidR="003D086B" w:rsidRDefault="000C3E32" w:rsidP="00086B6B">
            <w:r>
              <w:t>4.1</w:t>
            </w:r>
          </w:p>
        </w:tc>
        <w:tc>
          <w:tcPr>
            <w:tcW w:w="4111" w:type="dxa"/>
          </w:tcPr>
          <w:p w14:paraId="2F359B4B" w14:textId="77777777" w:rsidR="003D086B" w:rsidRPr="0014490D" w:rsidRDefault="00F97645" w:rsidP="00D15AC1">
            <w:pPr>
              <w:rPr>
                <w:iCs/>
                <w:szCs w:val="22"/>
              </w:rPr>
            </w:pPr>
            <w:r w:rsidRPr="0014490D">
              <w:rPr>
                <w:iCs/>
                <w:szCs w:val="22"/>
              </w:rPr>
              <w:t>De nye regler, der udvider ordningens muligheder, bør således omfatte, at der måles for kvælstof og fosfor ved ind- og udløb til minivådområderne. Det er logisk, at et minivådområde ikke fungerer, hvis der er for lidt kvælstof i det tilførte drænvand. Heri ligger der et selvstændigt problem, fordi i umålte oplande lægges der et normtal (modelberegnet tal) til grund, men landmændene i området må i mange tilfælde ikke bruge minivådområde som virkemiddel, fordi der ikke er målinger. Realiteten er derfor, at landmændene (stadig) underlægges modelberegninger, fratages virkemidler – og i sidste ende uden tilstrækkelig saglig grund, reduceres i sin anvendelse af gødning, fordi det er snart det eneste virkemiddel, der tæller i miljøregnskabet. Og selv dette virkemiddel er utrolig ringe og samtidig det dyreste for samfund og landmand. Man bør derfor overveje at lempe kravene til landbruget i de umålte oplande – indtil der foreligger endelige målinger for kvælstof.</w:t>
            </w:r>
          </w:p>
        </w:tc>
        <w:tc>
          <w:tcPr>
            <w:tcW w:w="4105" w:type="dxa"/>
          </w:tcPr>
          <w:p w14:paraId="3693693C" w14:textId="77777777" w:rsidR="003D086B" w:rsidRDefault="00326202" w:rsidP="00086B6B">
            <w:pPr>
              <w:rPr>
                <w:b/>
              </w:rPr>
            </w:pPr>
            <w:r w:rsidRPr="005372C5">
              <w:rPr>
                <w:b/>
              </w:rPr>
              <w:t xml:space="preserve">Bemærkningen giver ikke anledning til ændringer </w:t>
            </w:r>
            <w:r w:rsidR="00EC418A">
              <w:rPr>
                <w:b/>
              </w:rPr>
              <w:t>i bekendtgørelsen</w:t>
            </w:r>
            <w:r w:rsidRPr="005372C5">
              <w:rPr>
                <w:b/>
              </w:rPr>
              <w:t>:</w:t>
            </w:r>
          </w:p>
          <w:p w14:paraId="5038E63B" w14:textId="77777777" w:rsidR="003B08FB" w:rsidRDefault="003B08FB" w:rsidP="00086B6B">
            <w:pPr>
              <w:rPr>
                <w:b/>
              </w:rPr>
            </w:pPr>
          </w:p>
          <w:p w14:paraId="31E5518E" w14:textId="77777777" w:rsidR="003B08FB" w:rsidRDefault="003B08FB" w:rsidP="00086B6B">
            <w:r w:rsidRPr="003B08FB">
              <w:t>Landbrugsstyrelsen har noteret sig bemærkningen.  Det oplyses at der på nuværende tidspunkt er krav om måling af drænvandets kvælstofindhold, i områder hvor der i udpegningskortet</w:t>
            </w:r>
            <w:r>
              <w:t xml:space="preserve"> er kan være tvivl (potentielt egnede områder). </w:t>
            </w:r>
          </w:p>
          <w:p w14:paraId="4576928C" w14:textId="77777777" w:rsidR="003B08FB" w:rsidRDefault="003B08FB" w:rsidP="00086B6B"/>
          <w:p w14:paraId="70E0D627" w14:textId="77777777" w:rsidR="003B08FB" w:rsidRDefault="003B08FB" w:rsidP="00086B6B">
            <w:r>
              <w:t xml:space="preserve">Aarhus Universitet har udarbejdet et udpegningskort, som effekten beregnes ud fra. </w:t>
            </w:r>
          </w:p>
          <w:p w14:paraId="7C849970" w14:textId="77777777" w:rsidR="003B08FB" w:rsidRDefault="003B08FB" w:rsidP="00086B6B"/>
          <w:p w14:paraId="05FF66E3" w14:textId="7386375A" w:rsidR="003B08FB" w:rsidRPr="003B08FB" w:rsidRDefault="00246134" w:rsidP="00086B6B">
            <w:r>
              <w:t>Landbrugsstyrelsen bemærker, at i</w:t>
            </w:r>
            <w:r w:rsidR="003B08FB">
              <w:t xml:space="preserve">ndsatsbehovet i de enkelte delvandoplande </w:t>
            </w:r>
            <w:r>
              <w:t xml:space="preserve">opgøres og fastlægges </w:t>
            </w:r>
            <w:r w:rsidR="003B08FB">
              <w:t xml:space="preserve">i </w:t>
            </w:r>
            <w:r>
              <w:t xml:space="preserve">regi af de statslige </w:t>
            </w:r>
            <w:r w:rsidR="003B08FB">
              <w:t>vand</w:t>
            </w:r>
            <w:r>
              <w:t>område</w:t>
            </w:r>
            <w:r w:rsidR="003B08FB">
              <w:t>planer.</w:t>
            </w:r>
            <w:r>
              <w:t xml:space="preserve"> Styrelsen henviser til Miljøstyrelsen for kommentarer til opgørelser af indsatsbehovet herunder vedrørende modelberegninger.</w:t>
            </w:r>
            <w:r w:rsidR="003B08FB">
              <w:t xml:space="preserve"> </w:t>
            </w:r>
          </w:p>
          <w:p w14:paraId="321AB60F" w14:textId="77777777" w:rsidR="003B08FB" w:rsidRDefault="003B08FB" w:rsidP="00086B6B"/>
        </w:tc>
      </w:tr>
      <w:tr w:rsidR="003D086B" w14:paraId="6AB004D8" w14:textId="77777777" w:rsidTr="000C3E32">
        <w:tc>
          <w:tcPr>
            <w:tcW w:w="1129" w:type="dxa"/>
            <w:shd w:val="clear" w:color="auto" w:fill="auto"/>
          </w:tcPr>
          <w:p w14:paraId="027C3348" w14:textId="77777777" w:rsidR="003D086B" w:rsidRDefault="000C3E32" w:rsidP="00086B6B">
            <w:r>
              <w:t>4.2</w:t>
            </w:r>
          </w:p>
        </w:tc>
        <w:tc>
          <w:tcPr>
            <w:tcW w:w="4111" w:type="dxa"/>
          </w:tcPr>
          <w:p w14:paraId="71C7F651" w14:textId="77777777" w:rsidR="003D086B" w:rsidRPr="0014490D" w:rsidRDefault="00F97645" w:rsidP="00D15AC1">
            <w:pPr>
              <w:rPr>
                <w:iCs/>
                <w:szCs w:val="22"/>
              </w:rPr>
            </w:pPr>
            <w:r w:rsidRPr="0014490D">
              <w:rPr>
                <w:iCs/>
                <w:szCs w:val="22"/>
              </w:rPr>
              <w:t>Fra vores medlemmer har vi flere gange hørt om urimeligt lange sagsbehandlingstider for etablering af minivådområder. Vi kan derfor anbefale, at man i forbindelse med implementeringen af den nye bekendtgørelse, laver en enkel og sporbar sagsbehandling (ligesom når man modtager en pakke med kurer el.lign.).</w:t>
            </w:r>
          </w:p>
        </w:tc>
        <w:tc>
          <w:tcPr>
            <w:tcW w:w="4105" w:type="dxa"/>
          </w:tcPr>
          <w:p w14:paraId="1F41853B" w14:textId="77777777" w:rsidR="003B08FB" w:rsidRDefault="003B08FB" w:rsidP="003B08FB">
            <w:pPr>
              <w:rPr>
                <w:b/>
              </w:rPr>
            </w:pPr>
            <w:r w:rsidRPr="005372C5">
              <w:rPr>
                <w:b/>
              </w:rPr>
              <w:t xml:space="preserve">Bemærkningen giver ikke anledning til ændringer </w:t>
            </w:r>
            <w:r w:rsidR="00EC418A">
              <w:rPr>
                <w:b/>
              </w:rPr>
              <w:t>i bekendtgørelsen</w:t>
            </w:r>
            <w:r w:rsidRPr="005372C5">
              <w:rPr>
                <w:b/>
              </w:rPr>
              <w:t>:</w:t>
            </w:r>
          </w:p>
          <w:p w14:paraId="2FA0DFF5" w14:textId="77777777" w:rsidR="003D086B" w:rsidRDefault="003D086B" w:rsidP="00086B6B"/>
          <w:p w14:paraId="49BC8455" w14:textId="77777777" w:rsidR="003B08FB" w:rsidRDefault="003B08FB" w:rsidP="00086B6B">
            <w:r>
              <w:t>Landbrugsstyrelsen har noteret sig bemærkningen.</w:t>
            </w:r>
          </w:p>
          <w:p w14:paraId="602D91E9" w14:textId="77777777" w:rsidR="003B08FB" w:rsidRDefault="003B08FB" w:rsidP="00086B6B"/>
          <w:p w14:paraId="4F437A1A" w14:textId="77777777" w:rsidR="003B08FB" w:rsidRDefault="003B08FB" w:rsidP="00086B6B">
            <w:r>
              <w:t>Der henvises i øvrigt til svar under punkt 2.6.</w:t>
            </w:r>
          </w:p>
        </w:tc>
      </w:tr>
      <w:tr w:rsidR="003D086B" w14:paraId="3B03B881" w14:textId="77777777" w:rsidTr="000C3E32">
        <w:tc>
          <w:tcPr>
            <w:tcW w:w="1129" w:type="dxa"/>
            <w:shd w:val="clear" w:color="auto" w:fill="auto"/>
          </w:tcPr>
          <w:p w14:paraId="7DB6C4A8" w14:textId="77777777" w:rsidR="003D086B" w:rsidRDefault="000C3E32" w:rsidP="00086B6B">
            <w:r>
              <w:lastRenderedPageBreak/>
              <w:t>4.3</w:t>
            </w:r>
          </w:p>
        </w:tc>
        <w:tc>
          <w:tcPr>
            <w:tcW w:w="4111" w:type="dxa"/>
          </w:tcPr>
          <w:p w14:paraId="67A35A57" w14:textId="77777777" w:rsidR="00F97645" w:rsidRPr="0014490D" w:rsidRDefault="00F97645" w:rsidP="00F97645">
            <w:pPr>
              <w:rPr>
                <w:iCs/>
                <w:szCs w:val="22"/>
              </w:rPr>
            </w:pPr>
            <w:r w:rsidRPr="0014490D">
              <w:rPr>
                <w:iCs/>
                <w:szCs w:val="22"/>
              </w:rPr>
              <w:t>Det er problematisk, at tilskud til konstruktion af minivådområder er underlagt reglerne om deminimis. Problemet er indlysende da der efterhånden er så mange forskellige ordninger, hvor landbruget kan søge tilskud, der ligeledes er underlagt deminimis. Idet deminimis er et samlet loft, så vidt vides på kr. 150.000, der også omfatter den målrettede regulering, fx efterafgrøder, men også omfatter andre ordninger, der ikke har noget med vandmiljøet at gøre, så rammer danske landmænd meget hurtigt loftet.</w:t>
            </w:r>
          </w:p>
          <w:p w14:paraId="00CD9872" w14:textId="77777777" w:rsidR="00F97645" w:rsidRPr="0014490D" w:rsidRDefault="00F97645" w:rsidP="00F97645">
            <w:pPr>
              <w:rPr>
                <w:iCs/>
                <w:szCs w:val="22"/>
              </w:rPr>
            </w:pPr>
            <w:r w:rsidRPr="0014490D">
              <w:rPr>
                <w:iCs/>
                <w:szCs w:val="22"/>
              </w:rPr>
              <w:t>Tilskuddet er i mange tilfælde illusorisk, fordi landmanden ofte ender med at tilbagebetale hele støttebeløbet pga. deminimis reglerne.</w:t>
            </w:r>
          </w:p>
          <w:p w14:paraId="6A5E02E9" w14:textId="77777777" w:rsidR="00F97645" w:rsidRPr="0014490D" w:rsidRDefault="00F97645" w:rsidP="00F97645">
            <w:pPr>
              <w:rPr>
                <w:iCs/>
                <w:szCs w:val="22"/>
              </w:rPr>
            </w:pPr>
          </w:p>
          <w:p w14:paraId="33A29903" w14:textId="77777777" w:rsidR="00F97645" w:rsidRPr="0014490D" w:rsidRDefault="00F97645" w:rsidP="00F97645">
            <w:pPr>
              <w:rPr>
                <w:iCs/>
                <w:szCs w:val="22"/>
              </w:rPr>
            </w:pPr>
            <w:r w:rsidRPr="0014490D">
              <w:rPr>
                <w:iCs/>
                <w:szCs w:val="22"/>
              </w:rPr>
              <w:t>Bæredygtigt landbrug er langtfra altid enig i, at det er landbrugets udledning af kvælstof, der udgør det væsentligste problem i forhold til vandmiljøet (fjorde og kystvande). Dette må nødvendigvis bero på en konkret vurdering af det enkelte opland.</w:t>
            </w:r>
          </w:p>
          <w:p w14:paraId="7FD4CA66" w14:textId="77777777" w:rsidR="00F97645" w:rsidRPr="0014490D" w:rsidRDefault="00F97645" w:rsidP="00F97645">
            <w:pPr>
              <w:rPr>
                <w:iCs/>
                <w:szCs w:val="22"/>
              </w:rPr>
            </w:pPr>
          </w:p>
          <w:p w14:paraId="2165A1BE" w14:textId="77777777" w:rsidR="003D086B" w:rsidRPr="0014490D" w:rsidRDefault="00F97645" w:rsidP="00F97645">
            <w:pPr>
              <w:rPr>
                <w:iCs/>
                <w:szCs w:val="22"/>
              </w:rPr>
            </w:pPr>
            <w:r w:rsidRPr="0014490D">
              <w:rPr>
                <w:iCs/>
                <w:szCs w:val="22"/>
              </w:rPr>
              <w:t>Der er rigtig mange tilfælde, hvor hovedproblemet er fosfor og spildevand, og når udledningen af kvælstof gøres til synderen, så dækker det over det virkelige problem, der skyldes fortidens synder, i form af måske mere end 100 års udledning af urenset spildevand.</w:t>
            </w:r>
          </w:p>
          <w:p w14:paraId="52FAC512" w14:textId="77777777" w:rsidR="00F97645" w:rsidRPr="0014490D" w:rsidRDefault="00F97645" w:rsidP="00F97645">
            <w:pPr>
              <w:rPr>
                <w:iCs/>
                <w:szCs w:val="22"/>
              </w:rPr>
            </w:pPr>
          </w:p>
          <w:p w14:paraId="79673594" w14:textId="77777777" w:rsidR="00F97645" w:rsidRPr="0014490D" w:rsidRDefault="00F97645" w:rsidP="00F97645">
            <w:pPr>
              <w:rPr>
                <w:iCs/>
                <w:szCs w:val="22"/>
              </w:rPr>
            </w:pPr>
            <w:r w:rsidRPr="0014490D">
              <w:rPr>
                <w:iCs/>
                <w:szCs w:val="22"/>
              </w:rPr>
              <w:t>Hvis spildevandet var blevet renset, så ville der i rigtig mange tilfælde, ikke være behov for at begrænse udledningen af kvælstof og derfor heller ikke grundlag for at etablere et minivådområde.</w:t>
            </w:r>
          </w:p>
          <w:p w14:paraId="077F5A24" w14:textId="77777777" w:rsidR="00F97645" w:rsidRPr="0014490D" w:rsidRDefault="00F97645" w:rsidP="00F97645">
            <w:pPr>
              <w:rPr>
                <w:iCs/>
                <w:szCs w:val="22"/>
              </w:rPr>
            </w:pPr>
          </w:p>
          <w:p w14:paraId="3BB1D5CB" w14:textId="77777777" w:rsidR="00F97645" w:rsidRPr="0014490D" w:rsidRDefault="00F97645" w:rsidP="00F97645">
            <w:pPr>
              <w:rPr>
                <w:i/>
                <w:iCs/>
                <w:szCs w:val="22"/>
              </w:rPr>
            </w:pPr>
            <w:r w:rsidRPr="0014490D">
              <w:rPr>
                <w:iCs/>
                <w:szCs w:val="22"/>
              </w:rPr>
              <w:t xml:space="preserve">Det er derfor ensidigt og langt fra rigtigt at underlægge danske landmænd reglerne om deminimis, fordi begrænsningen af kvælstof fra landbruget i virkeligheden er et tiltag, </w:t>
            </w:r>
            <w:r w:rsidRPr="0014490D">
              <w:rPr>
                <w:iCs/>
                <w:szCs w:val="22"/>
              </w:rPr>
              <w:lastRenderedPageBreak/>
              <w:t>som spildevandsselskaberne og byerne burde betale.</w:t>
            </w:r>
          </w:p>
        </w:tc>
        <w:tc>
          <w:tcPr>
            <w:tcW w:w="4105" w:type="dxa"/>
          </w:tcPr>
          <w:p w14:paraId="3063A7DC" w14:textId="77777777" w:rsidR="003D086B" w:rsidRDefault="00326202" w:rsidP="00086B6B">
            <w:pPr>
              <w:rPr>
                <w:b/>
              </w:rPr>
            </w:pPr>
            <w:r w:rsidRPr="005372C5">
              <w:rPr>
                <w:b/>
              </w:rPr>
              <w:lastRenderedPageBreak/>
              <w:t xml:space="preserve">Bemærkningen giver ikke anledning til ændringer </w:t>
            </w:r>
            <w:r w:rsidR="00EC418A">
              <w:rPr>
                <w:b/>
              </w:rPr>
              <w:t>i bekendtgørelsen</w:t>
            </w:r>
            <w:r w:rsidRPr="005372C5">
              <w:rPr>
                <w:b/>
              </w:rPr>
              <w:t>:</w:t>
            </w:r>
          </w:p>
          <w:p w14:paraId="7A2B77F6" w14:textId="77777777" w:rsidR="003B08FB" w:rsidRDefault="003B08FB" w:rsidP="00086B6B">
            <w:pPr>
              <w:rPr>
                <w:b/>
              </w:rPr>
            </w:pPr>
          </w:p>
          <w:p w14:paraId="70A61EC9" w14:textId="77777777" w:rsidR="003B08FB" w:rsidRDefault="003B08FB" w:rsidP="00086B6B">
            <w:r w:rsidRPr="00380D55">
              <w:t xml:space="preserve">Der henvises til svar under punkt </w:t>
            </w:r>
            <w:r w:rsidR="00264DB6" w:rsidRPr="00380D55">
              <w:t>2.5.</w:t>
            </w:r>
          </w:p>
          <w:p w14:paraId="2FF80021" w14:textId="77777777" w:rsidR="00246134" w:rsidRDefault="00246134" w:rsidP="00086B6B"/>
          <w:p w14:paraId="5829B63F" w14:textId="77777777" w:rsidR="00246134" w:rsidRPr="003B08FB" w:rsidRDefault="00246134" w:rsidP="00246134">
            <w:r>
              <w:t xml:space="preserve">Endvidere bemærkes, at indsatsbehov og samlet indsatsprogram i de enkelte delvandoplande opgøres og fastlægges i regi af de statslige vandområdeplaner. Styrelsen henviser til Miljøstyrelsen for kommentarer til opgørelser af indsatsbehovet og fastlæggelse af indsatser herunder vedrørende forhold vedrørende rensning af spildevand. </w:t>
            </w:r>
          </w:p>
          <w:p w14:paraId="53417AEF" w14:textId="77777777" w:rsidR="00246134" w:rsidRDefault="00246134" w:rsidP="00086B6B"/>
          <w:p w14:paraId="1215F9D2" w14:textId="77777777" w:rsidR="00E00D0A" w:rsidRDefault="00E00D0A" w:rsidP="00086B6B"/>
          <w:p w14:paraId="701D9C57" w14:textId="77777777" w:rsidR="00E00D0A" w:rsidRPr="00324B6A" w:rsidRDefault="00E00D0A" w:rsidP="00086B6B"/>
        </w:tc>
      </w:tr>
      <w:tr w:rsidR="00F97645" w14:paraId="55E831D5" w14:textId="77777777" w:rsidTr="000C3E32">
        <w:tc>
          <w:tcPr>
            <w:tcW w:w="1129" w:type="dxa"/>
            <w:shd w:val="clear" w:color="auto" w:fill="auto"/>
          </w:tcPr>
          <w:p w14:paraId="18CA134B" w14:textId="77777777" w:rsidR="00F97645" w:rsidRDefault="00F97645" w:rsidP="00086B6B">
            <w:r>
              <w:t>5</w:t>
            </w:r>
          </w:p>
        </w:tc>
        <w:tc>
          <w:tcPr>
            <w:tcW w:w="8216" w:type="dxa"/>
            <w:gridSpan w:val="2"/>
          </w:tcPr>
          <w:p w14:paraId="1B52E357" w14:textId="77777777" w:rsidR="00F97645" w:rsidRPr="0014490D" w:rsidRDefault="00F97645" w:rsidP="00086B6B">
            <w:pPr>
              <w:rPr>
                <w:b/>
              </w:rPr>
            </w:pPr>
            <w:r w:rsidRPr="0014490D">
              <w:rPr>
                <w:b/>
              </w:rPr>
              <w:t>AgriNord</w:t>
            </w:r>
          </w:p>
        </w:tc>
      </w:tr>
      <w:tr w:rsidR="00F97645" w14:paraId="7532EB84" w14:textId="77777777" w:rsidTr="000C3E32">
        <w:tc>
          <w:tcPr>
            <w:tcW w:w="1129" w:type="dxa"/>
            <w:shd w:val="clear" w:color="auto" w:fill="auto"/>
          </w:tcPr>
          <w:p w14:paraId="47CC9F2E" w14:textId="77777777" w:rsidR="00F97645" w:rsidRDefault="000C3E32" w:rsidP="00086B6B">
            <w:r>
              <w:t>5.1</w:t>
            </w:r>
          </w:p>
        </w:tc>
        <w:tc>
          <w:tcPr>
            <w:tcW w:w="4111" w:type="dxa"/>
          </w:tcPr>
          <w:p w14:paraId="100389A5" w14:textId="77777777" w:rsidR="00B23596" w:rsidRDefault="00AC774A" w:rsidP="00F97645">
            <w:r>
              <w:t>Bemærkning</w:t>
            </w:r>
            <w:r w:rsidR="00B23596">
              <w:t xml:space="preserve"> til § 9</w:t>
            </w:r>
            <w:r w:rsidR="002E7D06">
              <w:t>,</w:t>
            </w:r>
            <w:r w:rsidR="00B23596">
              <w:t xml:space="preserve"> stk. 1: </w:t>
            </w:r>
          </w:p>
          <w:p w14:paraId="72C441ED" w14:textId="77777777" w:rsidR="00324B6A" w:rsidRDefault="00324B6A" w:rsidP="00F97645"/>
          <w:p w14:paraId="6E2209C5" w14:textId="77777777" w:rsidR="00B23596" w:rsidRDefault="00B23596" w:rsidP="00F97645"/>
          <w:p w14:paraId="2ADDC154" w14:textId="77777777" w:rsidR="00EC1E20" w:rsidRDefault="00EC1E20" w:rsidP="00F97645">
            <w:pPr>
              <w:rPr>
                <w:i/>
                <w:iCs/>
                <w:sz w:val="20"/>
              </w:rPr>
            </w:pPr>
            <w:r>
              <w:t>Fra 2021-ansøgningsrunden kom ikke-egnede arealer til også at omfatte arealer på mere end 3 ha uden for ådale med kulstofrig jord (&gt;6 % C). Det vil sige, at en række tidligere egnede eller potentielt egnede arealer da ikke længere var anvendelige som drænopland til et minivådområde – eller i hvert fald kun med maksimalt 10 %. Der gælder således de samme bestemmelser for placering af minivådområder i forbindelse med denne arealtype som for lavbund i ådale</w:t>
            </w:r>
          </w:p>
          <w:p w14:paraId="184E899C" w14:textId="77777777" w:rsidR="00EC1E20" w:rsidRDefault="00EC1E20" w:rsidP="00F97645">
            <w:pPr>
              <w:rPr>
                <w:i/>
                <w:iCs/>
                <w:sz w:val="20"/>
              </w:rPr>
            </w:pPr>
          </w:p>
          <w:p w14:paraId="1801F433" w14:textId="77777777" w:rsidR="00EC1E20" w:rsidRDefault="00EC1E20" w:rsidP="00F97645">
            <w:r>
              <w:t>En del landmænd har imidlertid fået foretaget teksturanalyser, da kvælstofnormen for JB 11-jorde fra gødningsåret 2020/21 blev reduceret markant. Det er nemlig muligt at rette jordbundstypen i markplanen, hvis det ud fra teksturmålinger kan dokumenteres, at jordtypen er en anden end den, der fremgår af markkortet.</w:t>
            </w:r>
            <w:r w:rsidR="00324B6A">
              <w:t xml:space="preserve"> Dette er beskrevet i afsnit 9.5 i ”Vejledning om gødsknings- og harmoniregler. Planperioden 1. august 2021 til 31. juli 2022”.</w:t>
            </w:r>
          </w:p>
          <w:p w14:paraId="1E0209CB" w14:textId="77777777" w:rsidR="00EC1E20" w:rsidRDefault="00EC1E20" w:rsidP="00F97645"/>
          <w:p w14:paraId="4F3E6C3D" w14:textId="77777777" w:rsidR="00EC1E20" w:rsidRDefault="00EC1E20" w:rsidP="00F97645">
            <w:r>
              <w:t xml:space="preserve">Forslaget er derfor, at denne dokumentation også kan anvendes ved ansøgning om tilskud til et minivådområde på de arealer, der ellers er kategoriserede som ikke-egnede som følge af mere end 3 ha overlap med tekstur2014-kortet. Hvis der beviseligt ikke er mindst 6 % organisk kulstof i jorden, kan arealerne ikke komme i betragtning til en lavbundsudtagning – og det ville i øvrigt være uden den ønskede klimaeffekt og spild af penge gennemføre et sådant projekt der. Det er ikke hensigtsmæssigt, at en ukorrekt registrering på et kort forhindrer en landmand i at lave en anden type </w:t>
            </w:r>
            <w:r>
              <w:lastRenderedPageBreak/>
              <w:t>miljøtiltag i form af et minivådområde. Når teksturanalyser kan accepteres af LBST i forhold til gødningsreglerne, må en tilsvarende anvendelse kunne finde sted i minivådområdeordningen. Der kunne stilles vilkår om, at teksturanalyserne skal vedhæftes ved indsendelse af ansøgningen. Det vil være i tråd med kravene fra 2022 om, at dokumentation for koordinering med kommunen samt vedtægter og referat fra generalforsamling skal indsendes sammen med ansøgningen.</w:t>
            </w:r>
          </w:p>
          <w:p w14:paraId="28CB428B" w14:textId="77777777" w:rsidR="00EC1E20" w:rsidRDefault="00EC1E20" w:rsidP="00F97645"/>
          <w:p w14:paraId="18C494EE" w14:textId="77777777" w:rsidR="00EC1E20" w:rsidRDefault="00EC1E20" w:rsidP="00F97645">
            <w:r>
              <w:t>Som det er nu, vil mere end 10 % overlap med ikke-egnede arealer give en blokerende fejl i ansøgningsskemaet. Det kunne løses ved, at blokeringen fjernes og erstattes af en advarsel om overlappet. Heri kunne det skrives klart, at kun ved dokumentation af et kulstofindhold under 6 %, vil tilsagn kunne opnås. Ved at stille krav om, at denne dokumentation vedhæftes på ansøgningstidspunktet, vil det være relativt simpelt at sagsbehandle og meddele afslag, hvis dokumentationen ikke foreligger. Det ansøgte drænopland kan sammenholdes med udpegningskortet fra 2020, hvor det udelukkende var lavbund i ådal, der var kategoriseret som ikke-egnede arealer.</w:t>
            </w:r>
          </w:p>
          <w:p w14:paraId="48923E69" w14:textId="77777777" w:rsidR="00EC1E20" w:rsidRDefault="00EC1E20" w:rsidP="00F97645"/>
          <w:p w14:paraId="663490C3" w14:textId="7F066649" w:rsidR="00F97645" w:rsidRDefault="00EC1E20" w:rsidP="00F97645">
            <w:pPr>
              <w:rPr>
                <w:i/>
                <w:iCs/>
                <w:sz w:val="20"/>
              </w:rPr>
            </w:pPr>
            <w:r>
              <w:t>Der forventes ikke mange ansøgninger af den her foreslåede type, men muligheden for at ”frigive” ellers ikke-egnede arealer er vigtig. For miljøet er det vigtigt, at vi laver de nødvendige tiltag der, hvor de virker. Det er vigtigt for den landmand, der gerne vil bidrage til at reducere nitratudvaskningen, men er forhindret i det som følge af hensynet til et eventuelt klimaprojekt. Hvis han kan se på sine teksturanalyser, at arealerne aldrig vil være aktuelle til en lavbundsudtagning, skaber det frustrationer og sår tvivl om, hvorvidt miljø- og klimakravene egentlig er rimelige og gennemtænkte.</w:t>
            </w:r>
          </w:p>
          <w:p w14:paraId="09A27258" w14:textId="77777777" w:rsidR="00F97645" w:rsidRDefault="00F97645" w:rsidP="00F97645">
            <w:pPr>
              <w:rPr>
                <w:i/>
                <w:iCs/>
                <w:sz w:val="20"/>
              </w:rPr>
            </w:pPr>
          </w:p>
        </w:tc>
        <w:tc>
          <w:tcPr>
            <w:tcW w:w="4105" w:type="dxa"/>
          </w:tcPr>
          <w:p w14:paraId="380943DB" w14:textId="77777777" w:rsidR="00F97645" w:rsidRDefault="00326202" w:rsidP="00086B6B">
            <w:pPr>
              <w:rPr>
                <w:b/>
              </w:rPr>
            </w:pPr>
            <w:r w:rsidRPr="005372C5">
              <w:rPr>
                <w:b/>
              </w:rPr>
              <w:lastRenderedPageBreak/>
              <w:t xml:space="preserve">Bemærkningen giver ikke anledning til ændringer </w:t>
            </w:r>
            <w:r w:rsidR="00EC418A">
              <w:rPr>
                <w:b/>
              </w:rPr>
              <w:t>i bekendtgørelsen</w:t>
            </w:r>
            <w:r w:rsidRPr="005372C5">
              <w:rPr>
                <w:b/>
              </w:rPr>
              <w:t>:</w:t>
            </w:r>
          </w:p>
          <w:p w14:paraId="567CF0A3" w14:textId="77777777" w:rsidR="00E31C8B" w:rsidRDefault="00E31C8B" w:rsidP="00086B6B">
            <w:pPr>
              <w:rPr>
                <w:b/>
              </w:rPr>
            </w:pPr>
          </w:p>
          <w:p w14:paraId="12289361" w14:textId="77777777" w:rsidR="00EB4B8B" w:rsidRDefault="00EB4B8B" w:rsidP="00086B6B">
            <w:r>
              <w:t xml:space="preserve">Landbrugsstyrelsen har </w:t>
            </w:r>
            <w:r w:rsidR="00E00D0A">
              <w:t>noteret sig bemærkningen</w:t>
            </w:r>
            <w:r w:rsidR="00EC418A">
              <w:t xml:space="preserve">. </w:t>
            </w:r>
          </w:p>
          <w:p w14:paraId="39AAB4E0" w14:textId="77777777" w:rsidR="00EB4B8B" w:rsidRDefault="00EB4B8B" w:rsidP="00086B6B"/>
          <w:p w14:paraId="64E9B789" w14:textId="6763C259" w:rsidR="00E31C8B" w:rsidRPr="00E31C8B" w:rsidRDefault="00E31C8B" w:rsidP="00086B6B">
            <w:r w:rsidRPr="00EB4B8B">
              <w:t xml:space="preserve">Der henvises </w:t>
            </w:r>
            <w:r w:rsidR="00EB4B8B">
              <w:t xml:space="preserve">i øvrigt </w:t>
            </w:r>
            <w:r w:rsidRPr="00EB4B8B">
              <w:t>til svar under punkt 3.1</w:t>
            </w:r>
            <w:r w:rsidR="00E544E8">
              <w:t xml:space="preserve"> og 3.9</w:t>
            </w:r>
            <w:r w:rsidRPr="00EB4B8B">
              <w:t>.</w:t>
            </w:r>
          </w:p>
        </w:tc>
      </w:tr>
    </w:tbl>
    <w:p w14:paraId="3D82249C" w14:textId="77777777" w:rsidR="00F32EB8" w:rsidRPr="00A53A52" w:rsidRDefault="00F32EB8" w:rsidP="00086B6B"/>
    <w:p w14:paraId="44C33FAD" w14:textId="77777777" w:rsidR="00021E8C" w:rsidRPr="00A53A52" w:rsidRDefault="00021E8C" w:rsidP="00FE7E77"/>
    <w:sectPr w:rsidR="00021E8C" w:rsidRPr="00A53A52" w:rsidSect="00BA4AB4">
      <w:headerReference w:type="default" r:id="rId7"/>
      <w:footerReference w:type="even" r:id="rId8"/>
      <w:footerReference w:type="default" r:id="rId9"/>
      <w:headerReference w:type="first" r:id="rId10"/>
      <w:footerReference w:type="first" r:id="rId11"/>
      <w:pgSz w:w="11906" w:h="16838" w:code="9"/>
      <w:pgMar w:top="2041" w:right="1133" w:bottom="1701" w:left="1418" w:header="459" w:footer="7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D56B3" w14:textId="77777777" w:rsidR="002105D4" w:rsidRDefault="002105D4">
      <w:r>
        <w:separator/>
      </w:r>
    </w:p>
  </w:endnote>
  <w:endnote w:type="continuationSeparator" w:id="0">
    <w:p w14:paraId="48ED1149" w14:textId="77777777" w:rsidR="002105D4" w:rsidRDefault="0021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63095" w14:textId="77777777" w:rsidR="00936D94" w:rsidRDefault="00936D94" w:rsidP="00495993">
    <w:pPr>
      <w:framePr w:wrap="around" w:vAnchor="text" w:hAnchor="margin" w:xAlign="right" w:y="1"/>
    </w:pPr>
    <w:r>
      <w:fldChar w:fldCharType="begin"/>
    </w:r>
    <w:r>
      <w:instrText xml:space="preserve">PAGE  </w:instrText>
    </w:r>
    <w:r>
      <w:fldChar w:fldCharType="separate"/>
    </w:r>
    <w:r>
      <w:rPr>
        <w:noProof/>
      </w:rPr>
      <w:t>1</w:t>
    </w:r>
    <w:r>
      <w:fldChar w:fldCharType="end"/>
    </w:r>
    <w:bookmarkStart w:id="2" w:name="OFF_InstitutionHIF"/>
    <w:bookmarkStart w:id="3" w:name="XIF_MMFirstAddressLine"/>
    <w:bookmarkStart w:id="4" w:name="OFF_Institution"/>
  </w:p>
  <w:bookmarkEnd w:id="2"/>
  <w:bookmarkEnd w:id="3"/>
  <w:bookmarkEnd w:id="4"/>
  <w:p w14:paraId="5822B545" w14:textId="77777777" w:rsidR="00936D94" w:rsidRDefault="00936D94" w:rsidP="00E9485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55097" w14:textId="77777777" w:rsidR="00936D94" w:rsidRDefault="00936D94" w:rsidP="00BC1C77">
    <w:pPr>
      <w:jc w:val="right"/>
    </w:pPr>
    <w:r>
      <w:fldChar w:fldCharType="begin"/>
    </w:r>
    <w:r>
      <w:instrText xml:space="preserve"> PAGE </w:instrText>
    </w:r>
    <w:r>
      <w:fldChar w:fldCharType="separate"/>
    </w:r>
    <w:r w:rsidR="00D51ED5">
      <w:rPr>
        <w:noProof/>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E919F" w14:textId="77777777" w:rsidR="00936D94" w:rsidRPr="0053660A" w:rsidRDefault="00936D94" w:rsidP="001701A9">
    <w:pPr>
      <w:pStyle w:val="Template-Address"/>
    </w:pPr>
    <w:bookmarkStart w:id="25" w:name="CNT_FooterFirst"/>
    <w:r w:rsidRPr="00F83DEE">
      <w:t>Natur</w:t>
    </w:r>
    <w:r>
      <w:t>Erhverv</w:t>
    </w:r>
    <w:r w:rsidRPr="00F83DEE">
      <w:t xml:space="preserve">styrelsen </w:t>
    </w:r>
    <w:r w:rsidRPr="0053660A">
      <w:t xml:space="preserve">• </w:t>
    </w:r>
    <w:bookmarkStart w:id="26" w:name="OFF_AddressA"/>
    <w:bookmarkStart w:id="27" w:name="OFF_AddressAHIF"/>
    <w:r w:rsidRPr="00F83DEE">
      <w:t>Nyropsgade 30</w:t>
    </w:r>
    <w:bookmarkEnd w:id="26"/>
    <w:r w:rsidRPr="00F83DEE">
      <w:t xml:space="preserve"> </w:t>
    </w:r>
    <w:bookmarkEnd w:id="27"/>
    <w:r w:rsidRPr="0053660A">
      <w:rPr>
        <w:vanish/>
      </w:rPr>
      <w:t xml:space="preserve">• </w:t>
    </w:r>
    <w:bookmarkStart w:id="28" w:name="OFF_AddressB"/>
    <w:bookmarkStart w:id="29" w:name="OFF_AddressBHIF"/>
    <w:bookmarkEnd w:id="28"/>
    <w:r w:rsidRPr="00F83DEE">
      <w:rPr>
        <w:vanish/>
      </w:rPr>
      <w:t xml:space="preserve"> </w:t>
    </w:r>
    <w:bookmarkEnd w:id="29"/>
    <w:r w:rsidRPr="0053660A">
      <w:rPr>
        <w:vanish/>
      </w:rPr>
      <w:t xml:space="preserve">• </w:t>
    </w:r>
    <w:bookmarkStart w:id="30" w:name="OFF_AddressC"/>
    <w:bookmarkStart w:id="31" w:name="OFF_AddressCHIF"/>
    <w:bookmarkEnd w:id="30"/>
    <w:r w:rsidRPr="00F83DEE">
      <w:rPr>
        <w:vanish/>
      </w:rPr>
      <w:t xml:space="preserve"> </w:t>
    </w:r>
    <w:bookmarkEnd w:id="31"/>
    <w:r w:rsidRPr="0053660A">
      <w:t xml:space="preserve">• </w:t>
    </w:r>
    <w:bookmarkStart w:id="32" w:name="OFF_AddressD"/>
    <w:bookmarkStart w:id="33" w:name="OFF_AddressDHIF"/>
    <w:r w:rsidRPr="00F83DEE">
      <w:t>1780</w:t>
    </w:r>
    <w:bookmarkEnd w:id="32"/>
    <w:r w:rsidRPr="00F83DEE">
      <w:t xml:space="preserve"> </w:t>
    </w:r>
    <w:bookmarkStart w:id="34" w:name="OFF_City"/>
    <w:r>
      <w:t>København V</w:t>
    </w:r>
    <w:bookmarkEnd w:id="34"/>
    <w:r w:rsidRPr="00F83DEE">
      <w:t xml:space="preserve"> </w:t>
    </w:r>
    <w:bookmarkEnd w:id="33"/>
  </w:p>
  <w:p w14:paraId="23C528ED" w14:textId="77777777" w:rsidR="00936D94" w:rsidRDefault="00936D94" w:rsidP="001701A9">
    <w:pPr>
      <w:pStyle w:val="Template-Address"/>
    </w:pPr>
    <w:bookmarkStart w:id="35" w:name="LAN_Phone"/>
    <w:bookmarkStart w:id="36" w:name="OFF_PhoneHIF"/>
    <w:bookmarkStart w:id="37" w:name="XIF_MMSecondAddressLine"/>
    <w:r>
      <w:t>Tlf.</w:t>
    </w:r>
    <w:bookmarkEnd w:id="35"/>
    <w:r w:rsidRPr="00F83DEE">
      <w:t xml:space="preserve"> </w:t>
    </w:r>
    <w:bookmarkStart w:id="38" w:name="OFF_Phone"/>
    <w:r w:rsidRPr="00F83DEE">
      <w:t>33 95 80 00</w:t>
    </w:r>
    <w:bookmarkEnd w:id="38"/>
    <w:r w:rsidRPr="00F83DEE">
      <w:t xml:space="preserve"> </w:t>
    </w:r>
    <w:bookmarkEnd w:id="36"/>
    <w:r w:rsidRPr="0053660A">
      <w:rPr>
        <w:vanish/>
      </w:rPr>
      <w:t xml:space="preserve">• </w:t>
    </w:r>
    <w:bookmarkStart w:id="39" w:name="LAN_Fax"/>
    <w:bookmarkStart w:id="40" w:name="OFF_FaxHIF"/>
    <w:r>
      <w:rPr>
        <w:vanish/>
      </w:rPr>
      <w:t>Fax</w:t>
    </w:r>
    <w:bookmarkEnd w:id="39"/>
    <w:r w:rsidRPr="00F83DEE">
      <w:rPr>
        <w:vanish/>
      </w:rPr>
      <w:t xml:space="preserve"> </w:t>
    </w:r>
    <w:bookmarkStart w:id="41" w:name="OFF_Fax"/>
    <w:bookmarkEnd w:id="41"/>
    <w:r w:rsidRPr="00F83DEE">
      <w:rPr>
        <w:vanish/>
      </w:rPr>
      <w:t xml:space="preserve"> </w:t>
    </w:r>
    <w:bookmarkEnd w:id="40"/>
    <w:r w:rsidRPr="0053660A">
      <w:rPr>
        <w:vanish/>
      </w:rPr>
      <w:t xml:space="preserve">• </w:t>
    </w:r>
    <w:bookmarkStart w:id="42" w:name="OFF_CVRHIF"/>
    <w:r w:rsidRPr="00F83DEE">
      <w:rPr>
        <w:vanish/>
      </w:rPr>
      <w:t xml:space="preserve">CVR </w:t>
    </w:r>
    <w:bookmarkStart w:id="43" w:name="OFF_CVR"/>
    <w:bookmarkEnd w:id="43"/>
    <w:r w:rsidRPr="00F83DEE">
      <w:rPr>
        <w:vanish/>
      </w:rPr>
      <w:t xml:space="preserve"> </w:t>
    </w:r>
    <w:bookmarkEnd w:id="42"/>
    <w:r w:rsidRPr="0053660A">
      <w:t xml:space="preserve">• </w:t>
    </w:r>
    <w:bookmarkStart w:id="44" w:name="OFF_EANHIF"/>
    <w:r w:rsidRPr="00F83DEE">
      <w:t xml:space="preserve">EAN </w:t>
    </w:r>
    <w:bookmarkStart w:id="45" w:name="OFF_EAN"/>
    <w:r w:rsidRPr="00F83DEE">
      <w:t>5798000877955</w:t>
    </w:r>
    <w:bookmarkEnd w:id="45"/>
    <w:r w:rsidRPr="00F83DEE">
      <w:t xml:space="preserve"> </w:t>
    </w:r>
    <w:bookmarkEnd w:id="44"/>
    <w:r w:rsidRPr="0053660A">
      <w:t xml:space="preserve">• </w:t>
    </w:r>
    <w:bookmarkStart w:id="46" w:name="OFF_Email"/>
    <w:bookmarkStart w:id="47" w:name="OFF_EmailHIF"/>
    <w:r w:rsidRPr="00F83DEE">
      <w:t>mail@naturerhverv.dk</w:t>
    </w:r>
    <w:bookmarkEnd w:id="46"/>
    <w:r w:rsidRPr="00F83DEE">
      <w:t xml:space="preserve"> </w:t>
    </w:r>
    <w:bookmarkEnd w:id="47"/>
    <w:r w:rsidRPr="0053660A">
      <w:t xml:space="preserve">• </w:t>
    </w:r>
    <w:bookmarkStart w:id="48" w:name="OFF_Web"/>
    <w:bookmarkStart w:id="49" w:name="OFF_WebHIF"/>
    <w:r w:rsidRPr="00F83DEE">
      <w:t>www.naturerhverv.dk</w:t>
    </w:r>
    <w:bookmarkEnd w:id="48"/>
    <w:r w:rsidRPr="00F83DEE">
      <w:t xml:space="preserve"> </w:t>
    </w:r>
    <w:bookmarkEnd w:id="37"/>
    <w:bookmarkEnd w:id="49"/>
  </w:p>
  <w:bookmarkEnd w:id="25"/>
  <w:p w14:paraId="5DBFCD5C" w14:textId="77777777" w:rsidR="00936D94" w:rsidRDefault="00936D94" w:rsidP="001701A9">
    <w:pPr>
      <w:pStyle w:val="Template-Address"/>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8030A" w14:textId="77777777" w:rsidR="002105D4" w:rsidRDefault="002105D4">
      <w:r>
        <w:separator/>
      </w:r>
    </w:p>
  </w:footnote>
  <w:footnote w:type="continuationSeparator" w:id="0">
    <w:p w14:paraId="73B50D53" w14:textId="77777777" w:rsidR="002105D4" w:rsidRDefault="00210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1724C" w14:textId="77777777" w:rsidR="00936D94" w:rsidRDefault="00936D94">
    <w:bookmarkStart w:id="1" w:name="BIT_PrimaryHeader"/>
  </w:p>
  <w:bookmarkEnd w:id="1"/>
  <w:p w14:paraId="301ABDC7" w14:textId="77777777" w:rsidR="00936D94" w:rsidRDefault="00936D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B1EE" w14:textId="77777777" w:rsidR="00936D94" w:rsidRDefault="00936D94" w:rsidP="00CF614F">
    <w:bookmarkStart w:id="5" w:name="CNT_HeaderFirst"/>
    <w:r>
      <w:rPr>
        <w:noProof/>
      </w:rPr>
      <mc:AlternateContent>
        <mc:Choice Requires="wps">
          <w:drawing>
            <wp:anchor distT="0" distB="0" distL="114300" distR="114300" simplePos="0" relativeHeight="251658240" behindDoc="0" locked="1" layoutInCell="1" allowOverlap="1" wp14:anchorId="219976C8" wp14:editId="176EA69C">
              <wp:simplePos x="0" y="0"/>
              <wp:positionH relativeFrom="page">
                <wp:align>right</wp:align>
              </wp:positionH>
              <wp:positionV relativeFrom="margin">
                <wp:posOffset>0</wp:posOffset>
              </wp:positionV>
              <wp:extent cx="2016000" cy="874800"/>
              <wp:effectExtent l="0" t="0" r="3810" b="1905"/>
              <wp:wrapNone/>
              <wp:docPr id="1" name="Kolofon"/>
              <wp:cNvGraphicFramePr/>
              <a:graphic xmlns:a="http://schemas.openxmlformats.org/drawingml/2006/main">
                <a:graphicData uri="http://schemas.microsoft.com/office/word/2010/wordprocessingShape">
                  <wps:wsp>
                    <wps:cNvSpPr txBox="1"/>
                    <wps:spPr>
                      <a:xfrm>
                        <a:off x="0" y="0"/>
                        <a:ext cx="2016000" cy="87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28" w:type="dxa"/>
                              <w:right w:w="0" w:type="dxa"/>
                            </w:tblCellMar>
                            <w:tblLook w:val="01E0" w:firstRow="1" w:lastRow="1" w:firstColumn="1" w:lastColumn="1" w:noHBand="0" w:noVBand="0"/>
                          </w:tblPr>
                          <w:tblGrid>
                            <w:gridCol w:w="2977"/>
                          </w:tblGrid>
                          <w:tr w:rsidR="00936D94" w14:paraId="390A1F01" w14:textId="77777777" w:rsidTr="000762F8">
                            <w:trPr>
                              <w:cantSplit/>
                              <w:trHeight w:val="2778"/>
                            </w:trPr>
                            <w:tc>
                              <w:tcPr>
                                <w:tcW w:w="2977" w:type="dxa"/>
                                <w:tcMar>
                                  <w:top w:w="34" w:type="dxa"/>
                                  <w:left w:w="0" w:type="dxa"/>
                                  <w:bottom w:w="28" w:type="dxa"/>
                                  <w:right w:w="0" w:type="dxa"/>
                                </w:tcMar>
                              </w:tcPr>
                              <w:p w14:paraId="0AFA5AE2" w14:textId="77777777" w:rsidR="00936D94" w:rsidRPr="00F83DEE" w:rsidRDefault="00936D94" w:rsidP="001701A9">
                                <w:pPr>
                                  <w:pStyle w:val="Kolofontekst"/>
                                </w:pPr>
                                <w:bookmarkStart w:id="6" w:name="OFF_Department"/>
                                <w:bookmarkStart w:id="7" w:name="OFF_DepartmentHIF"/>
                                <w:r w:rsidRPr="00F83DEE">
                                  <w:t>&lt;</w:t>
                                </w:r>
                                <w:proofErr w:type="gramStart"/>
                                <w:r w:rsidRPr="00F83DEE">
                                  <w:t>enhed</w:t>
                                </w:r>
                                <w:proofErr w:type="gramEnd"/>
                                <w:r w:rsidRPr="00F83DEE">
                                  <w:t>&gt;</w:t>
                                </w:r>
                                <w:bookmarkEnd w:id="6"/>
                              </w:p>
                              <w:p w14:paraId="417D4A05" w14:textId="77777777" w:rsidR="00936D94" w:rsidRPr="0053660A" w:rsidRDefault="00936D94" w:rsidP="001701A9">
                                <w:pPr>
                                  <w:pStyle w:val="Kolofontekst"/>
                                </w:pPr>
                                <w:bookmarkStart w:id="8" w:name="LAN_CaseNo"/>
                                <w:bookmarkStart w:id="9" w:name="sagsnrHIF"/>
                                <w:bookmarkEnd w:id="7"/>
                                <w:r w:rsidRPr="0053660A">
                                  <w:t>J.nr.</w:t>
                                </w:r>
                                <w:bookmarkEnd w:id="8"/>
                                <w:r w:rsidRPr="0053660A">
                                  <w:t xml:space="preserve"> </w:t>
                                </w:r>
                                <w:bookmarkStart w:id="10" w:name="sagsnr"/>
                                <w:r w:rsidRPr="0053660A">
                                  <w:t>&lt;sagsnr&gt;</w:t>
                                </w:r>
                                <w:bookmarkEnd w:id="10"/>
                              </w:p>
                              <w:p w14:paraId="7E8D8B50" w14:textId="77777777" w:rsidR="00936D94" w:rsidRPr="00F83DEE" w:rsidRDefault="00936D94" w:rsidP="001701A9">
                                <w:pPr>
                                  <w:pStyle w:val="Kolofontekst"/>
                                </w:pPr>
                                <w:bookmarkStart w:id="11" w:name="LAN_Ref"/>
                                <w:bookmarkStart w:id="12" w:name="USR_InitialsHIF"/>
                                <w:bookmarkEnd w:id="9"/>
                                <w:r>
                                  <w:t>Ref.</w:t>
                                </w:r>
                                <w:bookmarkEnd w:id="11"/>
                                <w:r w:rsidRPr="00F83DEE">
                                  <w:t xml:space="preserve"> </w:t>
                                </w:r>
                                <w:bookmarkStart w:id="13" w:name="USR_Initials"/>
                                <w:r w:rsidRPr="00F83DEE">
                                  <w:t>&lt;initialer&gt;</w:t>
                                </w:r>
                                <w:bookmarkEnd w:id="13"/>
                              </w:p>
                              <w:p w14:paraId="172672AD" w14:textId="77777777" w:rsidR="00936D94" w:rsidRDefault="00936D94" w:rsidP="001701A9">
                                <w:pPr>
                                  <w:pStyle w:val="Kolofontekst"/>
                                </w:pPr>
                                <w:bookmarkStart w:id="14" w:name="FLD_DocumentDate"/>
                                <w:bookmarkEnd w:id="12"/>
                                <w:r>
                                  <w:rPr>
                                    <w:noProof/>
                                  </w:rPr>
                                  <w:t xml:space="preserve">Den </w:t>
                                </w:r>
                                <w:bookmarkEnd w:id="14"/>
                              </w:p>
                            </w:tc>
                          </w:tr>
                        </w:tbl>
                        <w:p w14:paraId="54544021" w14:textId="77777777" w:rsidR="00936D94" w:rsidRDefault="00936D94" w:rsidP="00CF614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976C8" id="_x0000_t202" coordsize="21600,21600" o:spt="202" path="m,l,21600r21600,l21600,xe">
              <v:stroke joinstyle="miter"/>
              <v:path gradientshapeok="t" o:connecttype="rect"/>
            </v:shapetype>
            <v:shape id="Kolofon" o:spid="_x0000_s1026" type="#_x0000_t202" style="position:absolute;margin-left:107.55pt;margin-top:0;width:158.75pt;height:68.9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" filled="f" stroked="f" strokeweight=".5pt">
              <v:textbox inset="0,0,0,0">
                <w:txbxContent>
                  <w:tbl>
                    <w:tblPr>
                      <w:tblW w:w="0" w:type="auto"/>
                      <w:tblLayout w:type="fixed"/>
                      <w:tblCellMar>
                        <w:left w:w="28" w:type="dxa"/>
                        <w:right w:w="0" w:type="dxa"/>
                      </w:tblCellMar>
                      <w:tblLook w:val="01E0" w:firstRow="1" w:lastRow="1" w:firstColumn="1" w:lastColumn="1" w:noHBand="0" w:noVBand="0"/>
                    </w:tblPr>
                    <w:tblGrid>
                      <w:gridCol w:w="2977"/>
                    </w:tblGrid>
                    <w:tr w:rsidR="00936D94" w14:paraId="390A1F01" w14:textId="77777777" w:rsidTr="000762F8">
                      <w:trPr>
                        <w:cantSplit/>
                        <w:trHeight w:val="2778"/>
                      </w:trPr>
                      <w:tc>
                        <w:tcPr>
                          <w:tcW w:w="2977" w:type="dxa"/>
                          <w:tcMar>
                            <w:top w:w="34" w:type="dxa"/>
                            <w:left w:w="0" w:type="dxa"/>
                            <w:bottom w:w="28" w:type="dxa"/>
                            <w:right w:w="0" w:type="dxa"/>
                          </w:tcMar>
                        </w:tcPr>
                        <w:p w14:paraId="0AFA5AE2" w14:textId="77777777" w:rsidR="00936D94" w:rsidRPr="00F83DEE" w:rsidRDefault="00936D94" w:rsidP="001701A9">
                          <w:pPr>
                            <w:pStyle w:val="Kolofontekst"/>
                          </w:pPr>
                          <w:bookmarkStart w:id="15" w:name="OFF_Department"/>
                          <w:bookmarkStart w:id="16" w:name="OFF_DepartmentHIF"/>
                          <w:r w:rsidRPr="00F83DEE">
                            <w:t>&lt;</w:t>
                          </w:r>
                          <w:proofErr w:type="gramStart"/>
                          <w:r w:rsidRPr="00F83DEE">
                            <w:t>enhed</w:t>
                          </w:r>
                          <w:proofErr w:type="gramEnd"/>
                          <w:r w:rsidRPr="00F83DEE">
                            <w:t>&gt;</w:t>
                          </w:r>
                          <w:bookmarkEnd w:id="15"/>
                        </w:p>
                        <w:p w14:paraId="417D4A05" w14:textId="77777777" w:rsidR="00936D94" w:rsidRPr="0053660A" w:rsidRDefault="00936D94" w:rsidP="001701A9">
                          <w:pPr>
                            <w:pStyle w:val="Kolofontekst"/>
                          </w:pPr>
                          <w:bookmarkStart w:id="17" w:name="LAN_CaseNo"/>
                          <w:bookmarkStart w:id="18" w:name="sagsnrHIF"/>
                          <w:bookmarkEnd w:id="16"/>
                          <w:r w:rsidRPr="0053660A">
                            <w:t>J.nr.</w:t>
                          </w:r>
                          <w:bookmarkEnd w:id="17"/>
                          <w:r w:rsidRPr="0053660A">
                            <w:t xml:space="preserve"> </w:t>
                          </w:r>
                          <w:bookmarkStart w:id="19" w:name="sagsnr"/>
                          <w:r w:rsidRPr="0053660A">
                            <w:t>&lt;sagsnr&gt;</w:t>
                          </w:r>
                          <w:bookmarkEnd w:id="19"/>
                        </w:p>
                        <w:p w14:paraId="7E8D8B50" w14:textId="77777777" w:rsidR="00936D94" w:rsidRPr="00F83DEE" w:rsidRDefault="00936D94" w:rsidP="001701A9">
                          <w:pPr>
                            <w:pStyle w:val="Kolofontekst"/>
                          </w:pPr>
                          <w:bookmarkStart w:id="20" w:name="LAN_Ref"/>
                          <w:bookmarkStart w:id="21" w:name="USR_InitialsHIF"/>
                          <w:bookmarkEnd w:id="18"/>
                          <w:r>
                            <w:t>Ref.</w:t>
                          </w:r>
                          <w:bookmarkEnd w:id="20"/>
                          <w:r w:rsidRPr="00F83DEE">
                            <w:t xml:space="preserve"> </w:t>
                          </w:r>
                          <w:bookmarkStart w:id="22" w:name="USR_Initials"/>
                          <w:r w:rsidRPr="00F83DEE">
                            <w:t>&lt;initialer&gt;</w:t>
                          </w:r>
                          <w:bookmarkEnd w:id="22"/>
                        </w:p>
                        <w:p w14:paraId="172672AD" w14:textId="77777777" w:rsidR="00936D94" w:rsidRDefault="00936D94" w:rsidP="001701A9">
                          <w:pPr>
                            <w:pStyle w:val="Kolofontekst"/>
                          </w:pPr>
                          <w:bookmarkStart w:id="23" w:name="FLD_DocumentDate"/>
                          <w:bookmarkEnd w:id="21"/>
                          <w:r>
                            <w:rPr>
                              <w:noProof/>
                            </w:rPr>
                            <w:t xml:space="preserve">Den </w:t>
                          </w:r>
                          <w:bookmarkEnd w:id="23"/>
                        </w:p>
                      </w:tc>
                    </w:tr>
                  </w:tbl>
                  <w:p w14:paraId="54544021" w14:textId="77777777" w:rsidR="00936D94" w:rsidRDefault="00936D94" w:rsidP="00CF614F"/>
                </w:txbxContent>
              </v:textbox>
              <w10:wrap anchorx="page" anchory="margin"/>
              <w10:anchorlock/>
            </v:shape>
          </w:pict>
        </mc:Fallback>
      </mc:AlternateContent>
    </w:r>
  </w:p>
  <w:p w14:paraId="2C359BA7" w14:textId="77777777" w:rsidR="00936D94" w:rsidRDefault="00936D94" w:rsidP="00CF1627">
    <w:bookmarkStart w:id="24" w:name="FLD_DocumentName"/>
    <w:bookmarkEnd w:id="5"/>
    <w:r>
      <w:t>Notat</w:t>
    </w:r>
    <w:bookmarkEnd w:id="2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F2D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69C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426C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3" w15:restartNumberingAfterBreak="0">
    <w:nsid w:val="20093A18"/>
    <w:multiLevelType w:val="hybridMultilevel"/>
    <w:tmpl w:val="B8C0468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5" w15:restartNumberingAfterBreak="0">
    <w:nsid w:val="390A78B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CE26E97"/>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5990B93"/>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9AB2BE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B342D77"/>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EF03C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num w:numId="1">
    <w:abstractNumId w:val="12"/>
  </w:num>
  <w:num w:numId="2">
    <w:abstractNumId w:val="7"/>
  </w:num>
  <w:num w:numId="3">
    <w:abstractNumId w:val="6"/>
  </w:num>
  <w:num w:numId="4">
    <w:abstractNumId w:val="5"/>
  </w:num>
  <w:num w:numId="5">
    <w:abstractNumId w:val="4"/>
  </w:num>
  <w:num w:numId="6">
    <w:abstractNumId w:val="14"/>
  </w:num>
  <w:num w:numId="7">
    <w:abstractNumId w:val="3"/>
  </w:num>
  <w:num w:numId="8">
    <w:abstractNumId w:val="2"/>
  </w:num>
  <w:num w:numId="9">
    <w:abstractNumId w:val="1"/>
  </w:num>
  <w:num w:numId="10">
    <w:abstractNumId w:val="0"/>
  </w:num>
  <w:num w:numId="11">
    <w:abstractNumId w:val="21"/>
  </w:num>
  <w:num w:numId="12">
    <w:abstractNumId w:val="19"/>
  </w:num>
  <w:num w:numId="13">
    <w:abstractNumId w:val="18"/>
  </w:num>
  <w:num w:numId="14">
    <w:abstractNumId w:val="8"/>
  </w:num>
  <w:num w:numId="15">
    <w:abstractNumId w:val="10"/>
  </w:num>
  <w:num w:numId="16">
    <w:abstractNumId w:val="11"/>
  </w:num>
  <w:num w:numId="17">
    <w:abstractNumId w:val="17"/>
  </w:num>
  <w:num w:numId="18">
    <w:abstractNumId w:val="20"/>
  </w:num>
  <w:num w:numId="19">
    <w:abstractNumId w:val="16"/>
  </w:num>
  <w:num w:numId="20">
    <w:abstractNumId w:val="15"/>
  </w:num>
  <w:num w:numId="21">
    <w:abstractNumId w:val="22"/>
  </w:num>
  <w:num w:numId="22">
    <w:abstractNumId w:val="9"/>
  </w:num>
  <w:num w:numId="23">
    <w:abstractNumId w:val="12"/>
  </w:num>
  <w:num w:numId="24">
    <w:abstractNumId w:val="7"/>
  </w:num>
  <w:num w:numId="25">
    <w:abstractNumId w:val="6"/>
  </w:num>
  <w:num w:numId="26">
    <w:abstractNumId w:val="5"/>
  </w:num>
  <w:num w:numId="27">
    <w:abstractNumId w:val="4"/>
  </w:num>
  <w:num w:numId="28">
    <w:abstractNumId w:val="14"/>
  </w:num>
  <w:num w:numId="29">
    <w:abstractNumId w:val="3"/>
  </w:num>
  <w:num w:numId="30">
    <w:abstractNumId w:val="2"/>
  </w:num>
  <w:num w:numId="31">
    <w:abstractNumId w:val="1"/>
  </w:num>
  <w:num w:numId="32">
    <w:abstractNumId w:val="0"/>
  </w:num>
  <w:num w:numId="33">
    <w:abstractNumId w:val="11"/>
  </w:num>
  <w:num w:numId="34">
    <w:abstractNumId w:val="20"/>
  </w:num>
  <w:num w:numId="35">
    <w:abstractNumId w:val="15"/>
  </w:num>
  <w:num w:numId="36">
    <w:abstractNumId w:val="22"/>
  </w:num>
  <w:num w:numId="37">
    <w:abstractNumId w:val="12"/>
  </w:num>
  <w:num w:numId="38">
    <w:abstractNumId w:val="7"/>
  </w:num>
  <w:num w:numId="39">
    <w:abstractNumId w:val="6"/>
  </w:num>
  <w:num w:numId="40">
    <w:abstractNumId w:val="5"/>
  </w:num>
  <w:num w:numId="41">
    <w:abstractNumId w:val="4"/>
  </w:num>
  <w:num w:numId="42">
    <w:abstractNumId w:val="14"/>
  </w:num>
  <w:num w:numId="43">
    <w:abstractNumId w:val="3"/>
  </w:num>
  <w:num w:numId="44">
    <w:abstractNumId w:val="2"/>
  </w:num>
  <w:num w:numId="45">
    <w:abstractNumId w:val="1"/>
  </w:num>
  <w:num w:numId="46">
    <w:abstractNumId w:val="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EIVZB18r/2HMO08+VfGrNDM3AVRAGR7hj/EqWMTXvg4GFxyZ4xvJMiPBptqsEq2a"/>
  </w:docVars>
  <w:rsids>
    <w:rsidRoot w:val="005372C5"/>
    <w:rsid w:val="00002EA0"/>
    <w:rsid w:val="00003636"/>
    <w:rsid w:val="00005FAA"/>
    <w:rsid w:val="000069D8"/>
    <w:rsid w:val="00010163"/>
    <w:rsid w:val="0001457C"/>
    <w:rsid w:val="0001528D"/>
    <w:rsid w:val="000166A0"/>
    <w:rsid w:val="00021E8C"/>
    <w:rsid w:val="000227EF"/>
    <w:rsid w:val="00030051"/>
    <w:rsid w:val="00037E7E"/>
    <w:rsid w:val="00060BC5"/>
    <w:rsid w:val="000647F2"/>
    <w:rsid w:val="000649B6"/>
    <w:rsid w:val="00070BA1"/>
    <w:rsid w:val="00072E8B"/>
    <w:rsid w:val="00073466"/>
    <w:rsid w:val="00074F1A"/>
    <w:rsid w:val="000758FD"/>
    <w:rsid w:val="000762F8"/>
    <w:rsid w:val="00082404"/>
    <w:rsid w:val="000825EC"/>
    <w:rsid w:val="00086B6B"/>
    <w:rsid w:val="00095A26"/>
    <w:rsid w:val="00096AA1"/>
    <w:rsid w:val="000A1C92"/>
    <w:rsid w:val="000A26F5"/>
    <w:rsid w:val="000A7219"/>
    <w:rsid w:val="000B1B74"/>
    <w:rsid w:val="000B26E7"/>
    <w:rsid w:val="000B2E5E"/>
    <w:rsid w:val="000B5461"/>
    <w:rsid w:val="000B5C70"/>
    <w:rsid w:val="000C0594"/>
    <w:rsid w:val="000C13E6"/>
    <w:rsid w:val="000C3D52"/>
    <w:rsid w:val="000C3E32"/>
    <w:rsid w:val="000C45B7"/>
    <w:rsid w:val="000C62D3"/>
    <w:rsid w:val="000D0F4C"/>
    <w:rsid w:val="000D1CF4"/>
    <w:rsid w:val="000D28C1"/>
    <w:rsid w:val="000D5FBF"/>
    <w:rsid w:val="000D600E"/>
    <w:rsid w:val="000E0C04"/>
    <w:rsid w:val="000E1C73"/>
    <w:rsid w:val="000E3992"/>
    <w:rsid w:val="000E4332"/>
    <w:rsid w:val="000E717B"/>
    <w:rsid w:val="000F0B81"/>
    <w:rsid w:val="001062D0"/>
    <w:rsid w:val="00114DE6"/>
    <w:rsid w:val="001210A9"/>
    <w:rsid w:val="00127B96"/>
    <w:rsid w:val="00133780"/>
    <w:rsid w:val="001354CC"/>
    <w:rsid w:val="0014150F"/>
    <w:rsid w:val="00144670"/>
    <w:rsid w:val="0014490D"/>
    <w:rsid w:val="0014616C"/>
    <w:rsid w:val="00147799"/>
    <w:rsid w:val="00150899"/>
    <w:rsid w:val="00152CB8"/>
    <w:rsid w:val="00156908"/>
    <w:rsid w:val="00160721"/>
    <w:rsid w:val="001701A9"/>
    <w:rsid w:val="00172BAD"/>
    <w:rsid w:val="001743E7"/>
    <w:rsid w:val="00183D05"/>
    <w:rsid w:val="001A0525"/>
    <w:rsid w:val="001A4CEE"/>
    <w:rsid w:val="001A4D56"/>
    <w:rsid w:val="001A58BF"/>
    <w:rsid w:val="001A6CB5"/>
    <w:rsid w:val="001A7E4B"/>
    <w:rsid w:val="001B3F10"/>
    <w:rsid w:val="001B72A9"/>
    <w:rsid w:val="001C2544"/>
    <w:rsid w:val="001C417D"/>
    <w:rsid w:val="001C4328"/>
    <w:rsid w:val="001C59DB"/>
    <w:rsid w:val="001C7630"/>
    <w:rsid w:val="001D1196"/>
    <w:rsid w:val="001D19D8"/>
    <w:rsid w:val="001E38EF"/>
    <w:rsid w:val="001E7A98"/>
    <w:rsid w:val="001E7F16"/>
    <w:rsid w:val="001F3A47"/>
    <w:rsid w:val="001F763E"/>
    <w:rsid w:val="00200B86"/>
    <w:rsid w:val="0020134B"/>
    <w:rsid w:val="0020402C"/>
    <w:rsid w:val="002044E3"/>
    <w:rsid w:val="00204BF4"/>
    <w:rsid w:val="00206632"/>
    <w:rsid w:val="00207F46"/>
    <w:rsid w:val="002105D4"/>
    <w:rsid w:val="00211AC9"/>
    <w:rsid w:val="00212497"/>
    <w:rsid w:val="002239C6"/>
    <w:rsid w:val="00225534"/>
    <w:rsid w:val="00235C1F"/>
    <w:rsid w:val="002366E2"/>
    <w:rsid w:val="00246134"/>
    <w:rsid w:val="00260CA3"/>
    <w:rsid w:val="002629A8"/>
    <w:rsid w:val="002639DB"/>
    <w:rsid w:val="00264240"/>
    <w:rsid w:val="00264DB6"/>
    <w:rsid w:val="002654F9"/>
    <w:rsid w:val="00267F76"/>
    <w:rsid w:val="00267FA8"/>
    <w:rsid w:val="00271E7D"/>
    <w:rsid w:val="0027546B"/>
    <w:rsid w:val="00283D52"/>
    <w:rsid w:val="00284176"/>
    <w:rsid w:val="00293240"/>
    <w:rsid w:val="002933E6"/>
    <w:rsid w:val="0029629D"/>
    <w:rsid w:val="002A29B1"/>
    <w:rsid w:val="002A7860"/>
    <w:rsid w:val="002B1C89"/>
    <w:rsid w:val="002C042D"/>
    <w:rsid w:val="002C4595"/>
    <w:rsid w:val="002C4D00"/>
    <w:rsid w:val="002D00C9"/>
    <w:rsid w:val="002D268E"/>
    <w:rsid w:val="002D7F0F"/>
    <w:rsid w:val="002E7D06"/>
    <w:rsid w:val="002F6AE3"/>
    <w:rsid w:val="003001A2"/>
    <w:rsid w:val="00310C3C"/>
    <w:rsid w:val="00313642"/>
    <w:rsid w:val="00315AC9"/>
    <w:rsid w:val="00320951"/>
    <w:rsid w:val="003209AA"/>
    <w:rsid w:val="00322BBE"/>
    <w:rsid w:val="00324B6A"/>
    <w:rsid w:val="00326202"/>
    <w:rsid w:val="00326ED5"/>
    <w:rsid w:val="00331970"/>
    <w:rsid w:val="00334562"/>
    <w:rsid w:val="00343A37"/>
    <w:rsid w:val="00345FA9"/>
    <w:rsid w:val="003465B4"/>
    <w:rsid w:val="00350582"/>
    <w:rsid w:val="00353912"/>
    <w:rsid w:val="00353FAA"/>
    <w:rsid w:val="003558D9"/>
    <w:rsid w:val="00362EAC"/>
    <w:rsid w:val="003636BF"/>
    <w:rsid w:val="00365BC4"/>
    <w:rsid w:val="00380D55"/>
    <w:rsid w:val="003819FF"/>
    <w:rsid w:val="00385C06"/>
    <w:rsid w:val="003864CC"/>
    <w:rsid w:val="00386D0C"/>
    <w:rsid w:val="003966D8"/>
    <w:rsid w:val="00397271"/>
    <w:rsid w:val="003A0376"/>
    <w:rsid w:val="003A3350"/>
    <w:rsid w:val="003A3369"/>
    <w:rsid w:val="003A44A9"/>
    <w:rsid w:val="003B08FB"/>
    <w:rsid w:val="003B1034"/>
    <w:rsid w:val="003B6C74"/>
    <w:rsid w:val="003B6E44"/>
    <w:rsid w:val="003C67E6"/>
    <w:rsid w:val="003D086B"/>
    <w:rsid w:val="003D3CB2"/>
    <w:rsid w:val="003D4C85"/>
    <w:rsid w:val="003D518E"/>
    <w:rsid w:val="003D5928"/>
    <w:rsid w:val="003E06B4"/>
    <w:rsid w:val="003E09D1"/>
    <w:rsid w:val="003E1377"/>
    <w:rsid w:val="003E3617"/>
    <w:rsid w:val="003F0D75"/>
    <w:rsid w:val="003F319A"/>
    <w:rsid w:val="0040506D"/>
    <w:rsid w:val="00406784"/>
    <w:rsid w:val="00406AF1"/>
    <w:rsid w:val="00407C2F"/>
    <w:rsid w:val="0041385B"/>
    <w:rsid w:val="00415BC0"/>
    <w:rsid w:val="004208E6"/>
    <w:rsid w:val="00421262"/>
    <w:rsid w:val="004232F9"/>
    <w:rsid w:val="00433A1E"/>
    <w:rsid w:val="00440668"/>
    <w:rsid w:val="004421D7"/>
    <w:rsid w:val="00447B83"/>
    <w:rsid w:val="00450475"/>
    <w:rsid w:val="004561B3"/>
    <w:rsid w:val="00457882"/>
    <w:rsid w:val="00460B5A"/>
    <w:rsid w:val="0046600E"/>
    <w:rsid w:val="00467E79"/>
    <w:rsid w:val="00476722"/>
    <w:rsid w:val="00481EEB"/>
    <w:rsid w:val="0048414C"/>
    <w:rsid w:val="0048667B"/>
    <w:rsid w:val="00494ECB"/>
    <w:rsid w:val="00495993"/>
    <w:rsid w:val="004979B6"/>
    <w:rsid w:val="004A3AAA"/>
    <w:rsid w:val="004A4315"/>
    <w:rsid w:val="004B5995"/>
    <w:rsid w:val="004B5AC3"/>
    <w:rsid w:val="004B6A8B"/>
    <w:rsid w:val="004C0742"/>
    <w:rsid w:val="004C237E"/>
    <w:rsid w:val="004C38CF"/>
    <w:rsid w:val="004C491E"/>
    <w:rsid w:val="004C63FE"/>
    <w:rsid w:val="004D23C9"/>
    <w:rsid w:val="004D6645"/>
    <w:rsid w:val="004E33EF"/>
    <w:rsid w:val="004E562B"/>
    <w:rsid w:val="004E642A"/>
    <w:rsid w:val="004E7C82"/>
    <w:rsid w:val="004F7C92"/>
    <w:rsid w:val="005009DC"/>
    <w:rsid w:val="00500EFC"/>
    <w:rsid w:val="00501E2E"/>
    <w:rsid w:val="005073E7"/>
    <w:rsid w:val="00513FE2"/>
    <w:rsid w:val="0051716D"/>
    <w:rsid w:val="0051781E"/>
    <w:rsid w:val="00520971"/>
    <w:rsid w:val="005267CB"/>
    <w:rsid w:val="005271D6"/>
    <w:rsid w:val="00531869"/>
    <w:rsid w:val="00535B7D"/>
    <w:rsid w:val="0053660A"/>
    <w:rsid w:val="005372C5"/>
    <w:rsid w:val="00541D1B"/>
    <w:rsid w:val="00550D85"/>
    <w:rsid w:val="00552537"/>
    <w:rsid w:val="00554FAA"/>
    <w:rsid w:val="00557A69"/>
    <w:rsid w:val="0056270F"/>
    <w:rsid w:val="005630B4"/>
    <w:rsid w:val="00563773"/>
    <w:rsid w:val="005650F2"/>
    <w:rsid w:val="005672CB"/>
    <w:rsid w:val="00567BA1"/>
    <w:rsid w:val="00576B90"/>
    <w:rsid w:val="0058155D"/>
    <w:rsid w:val="00590A5B"/>
    <w:rsid w:val="00590C13"/>
    <w:rsid w:val="0059175F"/>
    <w:rsid w:val="0059560E"/>
    <w:rsid w:val="00596C25"/>
    <w:rsid w:val="005A01E1"/>
    <w:rsid w:val="005A0290"/>
    <w:rsid w:val="005A1F29"/>
    <w:rsid w:val="005A29CB"/>
    <w:rsid w:val="005A50B9"/>
    <w:rsid w:val="005C51A1"/>
    <w:rsid w:val="005D2B26"/>
    <w:rsid w:val="005D3CF2"/>
    <w:rsid w:val="005D543F"/>
    <w:rsid w:val="005D7152"/>
    <w:rsid w:val="005E352B"/>
    <w:rsid w:val="005E4484"/>
    <w:rsid w:val="005F172E"/>
    <w:rsid w:val="005F61FB"/>
    <w:rsid w:val="00604DC5"/>
    <w:rsid w:val="006067F0"/>
    <w:rsid w:val="006079D5"/>
    <w:rsid w:val="00610541"/>
    <w:rsid w:val="00610A43"/>
    <w:rsid w:val="00612296"/>
    <w:rsid w:val="00614773"/>
    <w:rsid w:val="006161E8"/>
    <w:rsid w:val="00617F16"/>
    <w:rsid w:val="006217FF"/>
    <w:rsid w:val="00623A75"/>
    <w:rsid w:val="0063242D"/>
    <w:rsid w:val="0063273A"/>
    <w:rsid w:val="00632DB3"/>
    <w:rsid w:val="00632EB9"/>
    <w:rsid w:val="00641AE1"/>
    <w:rsid w:val="00655780"/>
    <w:rsid w:val="00656763"/>
    <w:rsid w:val="00656C96"/>
    <w:rsid w:val="006665A1"/>
    <w:rsid w:val="006700E0"/>
    <w:rsid w:val="006706E8"/>
    <w:rsid w:val="00676BEB"/>
    <w:rsid w:val="0067771A"/>
    <w:rsid w:val="00684B85"/>
    <w:rsid w:val="0068783F"/>
    <w:rsid w:val="00696E85"/>
    <w:rsid w:val="006A18C5"/>
    <w:rsid w:val="006B23A4"/>
    <w:rsid w:val="006C3A07"/>
    <w:rsid w:val="006D09A7"/>
    <w:rsid w:val="006E39A0"/>
    <w:rsid w:val="006E7F1D"/>
    <w:rsid w:val="006F3EB3"/>
    <w:rsid w:val="006F4577"/>
    <w:rsid w:val="006F4DCD"/>
    <w:rsid w:val="006F6E60"/>
    <w:rsid w:val="00702FF2"/>
    <w:rsid w:val="00703B66"/>
    <w:rsid w:val="00705800"/>
    <w:rsid w:val="00705EAB"/>
    <w:rsid w:val="007231E4"/>
    <w:rsid w:val="00723455"/>
    <w:rsid w:val="00724762"/>
    <w:rsid w:val="00724D6D"/>
    <w:rsid w:val="0073474C"/>
    <w:rsid w:val="0073754C"/>
    <w:rsid w:val="0074716F"/>
    <w:rsid w:val="0074737F"/>
    <w:rsid w:val="00753673"/>
    <w:rsid w:val="007540BD"/>
    <w:rsid w:val="00755AD3"/>
    <w:rsid w:val="00762205"/>
    <w:rsid w:val="0076323D"/>
    <w:rsid w:val="00764201"/>
    <w:rsid w:val="007830BE"/>
    <w:rsid w:val="007940C9"/>
    <w:rsid w:val="00795FCF"/>
    <w:rsid w:val="00796312"/>
    <w:rsid w:val="007A00E9"/>
    <w:rsid w:val="007A04FE"/>
    <w:rsid w:val="007B1B23"/>
    <w:rsid w:val="007B21FA"/>
    <w:rsid w:val="007B2ADE"/>
    <w:rsid w:val="007B3940"/>
    <w:rsid w:val="007B5F9C"/>
    <w:rsid w:val="007D3890"/>
    <w:rsid w:val="007D492E"/>
    <w:rsid w:val="007E0C49"/>
    <w:rsid w:val="007E2F2E"/>
    <w:rsid w:val="007E3A3B"/>
    <w:rsid w:val="007E51F2"/>
    <w:rsid w:val="007E5E97"/>
    <w:rsid w:val="007E7688"/>
    <w:rsid w:val="007F340F"/>
    <w:rsid w:val="007F4A4B"/>
    <w:rsid w:val="007F73B3"/>
    <w:rsid w:val="007F770C"/>
    <w:rsid w:val="00802CB9"/>
    <w:rsid w:val="00807BA4"/>
    <w:rsid w:val="0081105F"/>
    <w:rsid w:val="00821133"/>
    <w:rsid w:val="008236B5"/>
    <w:rsid w:val="00825A7E"/>
    <w:rsid w:val="008324B0"/>
    <w:rsid w:val="00834990"/>
    <w:rsid w:val="008407EC"/>
    <w:rsid w:val="0084333E"/>
    <w:rsid w:val="0084379B"/>
    <w:rsid w:val="00844CA9"/>
    <w:rsid w:val="00847491"/>
    <w:rsid w:val="00850194"/>
    <w:rsid w:val="008559E9"/>
    <w:rsid w:val="00860D2C"/>
    <w:rsid w:val="00861CBA"/>
    <w:rsid w:val="00863B4C"/>
    <w:rsid w:val="00872AC0"/>
    <w:rsid w:val="00875531"/>
    <w:rsid w:val="00881AC4"/>
    <w:rsid w:val="00882741"/>
    <w:rsid w:val="0088712C"/>
    <w:rsid w:val="00892B13"/>
    <w:rsid w:val="008A1C6B"/>
    <w:rsid w:val="008A4864"/>
    <w:rsid w:val="008A55A5"/>
    <w:rsid w:val="008A6D27"/>
    <w:rsid w:val="008B1B83"/>
    <w:rsid w:val="008B3ADA"/>
    <w:rsid w:val="008B6E79"/>
    <w:rsid w:val="008C0C0C"/>
    <w:rsid w:val="008C5F4A"/>
    <w:rsid w:val="008C6C2C"/>
    <w:rsid w:val="008E3990"/>
    <w:rsid w:val="008F272E"/>
    <w:rsid w:val="008F3C64"/>
    <w:rsid w:val="008F6B2B"/>
    <w:rsid w:val="00902C11"/>
    <w:rsid w:val="00905C37"/>
    <w:rsid w:val="00906916"/>
    <w:rsid w:val="0092514B"/>
    <w:rsid w:val="009264AA"/>
    <w:rsid w:val="009354A9"/>
    <w:rsid w:val="00936D94"/>
    <w:rsid w:val="00944EE8"/>
    <w:rsid w:val="009461F0"/>
    <w:rsid w:val="00954E84"/>
    <w:rsid w:val="009601F5"/>
    <w:rsid w:val="00963DC8"/>
    <w:rsid w:val="00963E43"/>
    <w:rsid w:val="00967732"/>
    <w:rsid w:val="00970F21"/>
    <w:rsid w:val="00975F3B"/>
    <w:rsid w:val="0098382A"/>
    <w:rsid w:val="009943CD"/>
    <w:rsid w:val="00994E91"/>
    <w:rsid w:val="009C37F8"/>
    <w:rsid w:val="009C3DF6"/>
    <w:rsid w:val="009C6BB2"/>
    <w:rsid w:val="009D3A4D"/>
    <w:rsid w:val="009D428D"/>
    <w:rsid w:val="009E27B6"/>
    <w:rsid w:val="009E7920"/>
    <w:rsid w:val="009F368F"/>
    <w:rsid w:val="009F4367"/>
    <w:rsid w:val="009F54F6"/>
    <w:rsid w:val="009F7033"/>
    <w:rsid w:val="00A03CE6"/>
    <w:rsid w:val="00A03E48"/>
    <w:rsid w:val="00A11F5A"/>
    <w:rsid w:val="00A158CB"/>
    <w:rsid w:val="00A334D1"/>
    <w:rsid w:val="00A34B40"/>
    <w:rsid w:val="00A36292"/>
    <w:rsid w:val="00A36D64"/>
    <w:rsid w:val="00A44A6B"/>
    <w:rsid w:val="00A51DBA"/>
    <w:rsid w:val="00A53A52"/>
    <w:rsid w:val="00A5408B"/>
    <w:rsid w:val="00A556CE"/>
    <w:rsid w:val="00A67D37"/>
    <w:rsid w:val="00A72DDE"/>
    <w:rsid w:val="00A83AFB"/>
    <w:rsid w:val="00A85ECD"/>
    <w:rsid w:val="00A923E2"/>
    <w:rsid w:val="00A964CE"/>
    <w:rsid w:val="00A96C60"/>
    <w:rsid w:val="00AA4437"/>
    <w:rsid w:val="00AB363A"/>
    <w:rsid w:val="00AC35D6"/>
    <w:rsid w:val="00AC774A"/>
    <w:rsid w:val="00AD678B"/>
    <w:rsid w:val="00AE41A1"/>
    <w:rsid w:val="00AE5A17"/>
    <w:rsid w:val="00AF5AF6"/>
    <w:rsid w:val="00B13BB6"/>
    <w:rsid w:val="00B22D4C"/>
    <w:rsid w:val="00B23596"/>
    <w:rsid w:val="00B2565D"/>
    <w:rsid w:val="00B2710D"/>
    <w:rsid w:val="00B30727"/>
    <w:rsid w:val="00B358B3"/>
    <w:rsid w:val="00B441D7"/>
    <w:rsid w:val="00B54207"/>
    <w:rsid w:val="00B67E21"/>
    <w:rsid w:val="00B734BB"/>
    <w:rsid w:val="00B76986"/>
    <w:rsid w:val="00B77950"/>
    <w:rsid w:val="00B80700"/>
    <w:rsid w:val="00B86940"/>
    <w:rsid w:val="00B87347"/>
    <w:rsid w:val="00B90A33"/>
    <w:rsid w:val="00B91712"/>
    <w:rsid w:val="00B91D48"/>
    <w:rsid w:val="00B932C3"/>
    <w:rsid w:val="00B9526E"/>
    <w:rsid w:val="00BA4AB4"/>
    <w:rsid w:val="00BA7059"/>
    <w:rsid w:val="00BA7C98"/>
    <w:rsid w:val="00BB40C8"/>
    <w:rsid w:val="00BB6985"/>
    <w:rsid w:val="00BB6A43"/>
    <w:rsid w:val="00BC1C77"/>
    <w:rsid w:val="00BC6602"/>
    <w:rsid w:val="00BD3A32"/>
    <w:rsid w:val="00BD787B"/>
    <w:rsid w:val="00BE0CE4"/>
    <w:rsid w:val="00BE7D68"/>
    <w:rsid w:val="00BF101A"/>
    <w:rsid w:val="00C03ED1"/>
    <w:rsid w:val="00C07055"/>
    <w:rsid w:val="00C1503E"/>
    <w:rsid w:val="00C16955"/>
    <w:rsid w:val="00C21584"/>
    <w:rsid w:val="00C2184A"/>
    <w:rsid w:val="00C22C94"/>
    <w:rsid w:val="00C25B65"/>
    <w:rsid w:val="00C26117"/>
    <w:rsid w:val="00C336C4"/>
    <w:rsid w:val="00C3559B"/>
    <w:rsid w:val="00C41BBD"/>
    <w:rsid w:val="00C44620"/>
    <w:rsid w:val="00C5322A"/>
    <w:rsid w:val="00C53CED"/>
    <w:rsid w:val="00C57362"/>
    <w:rsid w:val="00C57CA7"/>
    <w:rsid w:val="00C617FE"/>
    <w:rsid w:val="00C64F3D"/>
    <w:rsid w:val="00C7051E"/>
    <w:rsid w:val="00C70BEA"/>
    <w:rsid w:val="00C71B04"/>
    <w:rsid w:val="00C766CC"/>
    <w:rsid w:val="00C76B7D"/>
    <w:rsid w:val="00C8406C"/>
    <w:rsid w:val="00C87AAA"/>
    <w:rsid w:val="00CA193B"/>
    <w:rsid w:val="00CA543F"/>
    <w:rsid w:val="00CA61FE"/>
    <w:rsid w:val="00CA6429"/>
    <w:rsid w:val="00CA6ADF"/>
    <w:rsid w:val="00CB5C14"/>
    <w:rsid w:val="00CC12A8"/>
    <w:rsid w:val="00CC6892"/>
    <w:rsid w:val="00CC77A5"/>
    <w:rsid w:val="00CD30F8"/>
    <w:rsid w:val="00CD31FE"/>
    <w:rsid w:val="00CD4F1D"/>
    <w:rsid w:val="00CE1EC6"/>
    <w:rsid w:val="00CE5201"/>
    <w:rsid w:val="00CF06D4"/>
    <w:rsid w:val="00CF1627"/>
    <w:rsid w:val="00CF2263"/>
    <w:rsid w:val="00CF614F"/>
    <w:rsid w:val="00CF760D"/>
    <w:rsid w:val="00D008ED"/>
    <w:rsid w:val="00D01984"/>
    <w:rsid w:val="00D01EDA"/>
    <w:rsid w:val="00D15AC1"/>
    <w:rsid w:val="00D16472"/>
    <w:rsid w:val="00D22595"/>
    <w:rsid w:val="00D30F98"/>
    <w:rsid w:val="00D321C9"/>
    <w:rsid w:val="00D37FC2"/>
    <w:rsid w:val="00D43DB0"/>
    <w:rsid w:val="00D51C81"/>
    <w:rsid w:val="00D51ED5"/>
    <w:rsid w:val="00D570C5"/>
    <w:rsid w:val="00D64786"/>
    <w:rsid w:val="00D86BCA"/>
    <w:rsid w:val="00D922CF"/>
    <w:rsid w:val="00D951B4"/>
    <w:rsid w:val="00D95916"/>
    <w:rsid w:val="00DA32B3"/>
    <w:rsid w:val="00DA6734"/>
    <w:rsid w:val="00DB56B3"/>
    <w:rsid w:val="00DE24BE"/>
    <w:rsid w:val="00DE5B21"/>
    <w:rsid w:val="00DE7479"/>
    <w:rsid w:val="00DF128B"/>
    <w:rsid w:val="00DF2F94"/>
    <w:rsid w:val="00E00D0A"/>
    <w:rsid w:val="00E02F9E"/>
    <w:rsid w:val="00E0467C"/>
    <w:rsid w:val="00E11688"/>
    <w:rsid w:val="00E26EAA"/>
    <w:rsid w:val="00E27CC3"/>
    <w:rsid w:val="00E30FCA"/>
    <w:rsid w:val="00E31C8B"/>
    <w:rsid w:val="00E36F97"/>
    <w:rsid w:val="00E42057"/>
    <w:rsid w:val="00E44C4F"/>
    <w:rsid w:val="00E544E8"/>
    <w:rsid w:val="00E62BEE"/>
    <w:rsid w:val="00E63075"/>
    <w:rsid w:val="00E644BF"/>
    <w:rsid w:val="00E732A6"/>
    <w:rsid w:val="00E73A40"/>
    <w:rsid w:val="00E806E3"/>
    <w:rsid w:val="00E81697"/>
    <w:rsid w:val="00E83744"/>
    <w:rsid w:val="00E928D4"/>
    <w:rsid w:val="00E94852"/>
    <w:rsid w:val="00EA4D25"/>
    <w:rsid w:val="00EA576F"/>
    <w:rsid w:val="00EB0255"/>
    <w:rsid w:val="00EB3838"/>
    <w:rsid w:val="00EB4B8B"/>
    <w:rsid w:val="00EB4C77"/>
    <w:rsid w:val="00EB68CC"/>
    <w:rsid w:val="00EC1E20"/>
    <w:rsid w:val="00EC2095"/>
    <w:rsid w:val="00EC418A"/>
    <w:rsid w:val="00EC5E51"/>
    <w:rsid w:val="00EC76B0"/>
    <w:rsid w:val="00ED48AE"/>
    <w:rsid w:val="00ED5635"/>
    <w:rsid w:val="00EE65A7"/>
    <w:rsid w:val="00EF48EC"/>
    <w:rsid w:val="00EF6016"/>
    <w:rsid w:val="00F02889"/>
    <w:rsid w:val="00F03C9A"/>
    <w:rsid w:val="00F05E03"/>
    <w:rsid w:val="00F05E15"/>
    <w:rsid w:val="00F2061A"/>
    <w:rsid w:val="00F30057"/>
    <w:rsid w:val="00F3196B"/>
    <w:rsid w:val="00F31EFD"/>
    <w:rsid w:val="00F32EB8"/>
    <w:rsid w:val="00F34750"/>
    <w:rsid w:val="00F423C1"/>
    <w:rsid w:val="00F44CF6"/>
    <w:rsid w:val="00F46114"/>
    <w:rsid w:val="00F47B3A"/>
    <w:rsid w:val="00F602C8"/>
    <w:rsid w:val="00F62595"/>
    <w:rsid w:val="00F7168A"/>
    <w:rsid w:val="00F71C13"/>
    <w:rsid w:val="00F77228"/>
    <w:rsid w:val="00F83DEE"/>
    <w:rsid w:val="00F90567"/>
    <w:rsid w:val="00F908EE"/>
    <w:rsid w:val="00F91352"/>
    <w:rsid w:val="00F922ED"/>
    <w:rsid w:val="00F97645"/>
    <w:rsid w:val="00FA052B"/>
    <w:rsid w:val="00FA1CE1"/>
    <w:rsid w:val="00FA555A"/>
    <w:rsid w:val="00FB7ADE"/>
    <w:rsid w:val="00FC164F"/>
    <w:rsid w:val="00FD2036"/>
    <w:rsid w:val="00FD50CF"/>
    <w:rsid w:val="00FE03FE"/>
    <w:rsid w:val="00FE45B3"/>
    <w:rsid w:val="00FE7E77"/>
    <w:rsid w:val="00FF192E"/>
    <w:rsid w:val="00FF458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69A06"/>
  <w15:docId w15:val="{D2814DF6-306E-4209-8932-B0801E04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773"/>
    <w:rPr>
      <w:sz w:val="22"/>
    </w:rPr>
  </w:style>
  <w:style w:type="paragraph" w:styleId="Overskrift1">
    <w:name w:val="heading 1"/>
    <w:basedOn w:val="Normal"/>
    <w:next w:val="Normal"/>
    <w:uiPriority w:val="1"/>
    <w:qFormat/>
    <w:rsid w:val="00A53A52"/>
    <w:pPr>
      <w:keepNext/>
      <w:spacing w:before="260"/>
      <w:outlineLvl w:val="0"/>
    </w:pPr>
    <w:rPr>
      <w:rFonts w:cs="Arial"/>
      <w:b/>
      <w:bCs/>
      <w:szCs w:val="32"/>
    </w:rPr>
  </w:style>
  <w:style w:type="paragraph" w:styleId="Overskrift2">
    <w:name w:val="heading 2"/>
    <w:basedOn w:val="Normal"/>
    <w:next w:val="Normal"/>
    <w:link w:val="Overskrift2Tegn"/>
    <w:uiPriority w:val="1"/>
    <w:qFormat/>
    <w:rsid w:val="00A53A52"/>
    <w:pPr>
      <w:keepNext/>
      <w:keepLines/>
      <w:spacing w:before="260"/>
      <w:contextualSpacing/>
      <w:outlineLvl w:val="1"/>
    </w:pPr>
    <w:rPr>
      <w:rFonts w:eastAsiaTheme="majorEastAsia" w:cstheme="majorBidi"/>
      <w:bCs/>
      <w:i/>
      <w:color w:val="003127"/>
      <w:szCs w:val="26"/>
    </w:rPr>
  </w:style>
  <w:style w:type="paragraph" w:styleId="Overskrift3">
    <w:name w:val="heading 3"/>
    <w:basedOn w:val="Normal"/>
    <w:next w:val="Normal"/>
    <w:link w:val="Overskrift3Tegn"/>
    <w:uiPriority w:val="1"/>
    <w:qFormat/>
    <w:rsid w:val="00A53A52"/>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53A52"/>
    <w:pPr>
      <w:outlineLvl w:val="3"/>
    </w:pPr>
  </w:style>
  <w:style w:type="paragraph" w:styleId="Overskrift5">
    <w:name w:val="heading 5"/>
    <w:basedOn w:val="Overskrift4"/>
    <w:next w:val="Normal"/>
    <w:link w:val="Overskrift5Tegn"/>
    <w:uiPriority w:val="1"/>
    <w:semiHidden/>
    <w:rsid w:val="00A53A52"/>
    <w:pPr>
      <w:outlineLvl w:val="4"/>
    </w:pPr>
  </w:style>
  <w:style w:type="paragraph" w:styleId="Overskrift6">
    <w:name w:val="heading 6"/>
    <w:basedOn w:val="Overskrift5"/>
    <w:next w:val="Normal"/>
    <w:link w:val="Overskrift6Tegn"/>
    <w:uiPriority w:val="1"/>
    <w:semiHidden/>
    <w:rsid w:val="00A53A52"/>
    <w:pPr>
      <w:outlineLvl w:val="5"/>
    </w:pPr>
  </w:style>
  <w:style w:type="paragraph" w:styleId="Overskrift7">
    <w:name w:val="heading 7"/>
    <w:basedOn w:val="Overskrift6"/>
    <w:next w:val="Normal"/>
    <w:link w:val="Overskrift7Tegn"/>
    <w:uiPriority w:val="1"/>
    <w:semiHidden/>
    <w:rsid w:val="00A53A52"/>
    <w:pPr>
      <w:outlineLvl w:val="6"/>
    </w:pPr>
  </w:style>
  <w:style w:type="paragraph" w:styleId="Overskrift8">
    <w:name w:val="heading 8"/>
    <w:basedOn w:val="Overskrift7"/>
    <w:next w:val="Normal"/>
    <w:link w:val="Overskrift8Tegn"/>
    <w:uiPriority w:val="1"/>
    <w:semiHidden/>
    <w:rsid w:val="00A53A52"/>
    <w:pPr>
      <w:outlineLvl w:val="7"/>
    </w:pPr>
  </w:style>
  <w:style w:type="paragraph" w:styleId="Overskrift9">
    <w:name w:val="heading 9"/>
    <w:basedOn w:val="Overskrift8"/>
    <w:next w:val="Normal"/>
    <w:link w:val="Overskrift9Tegn"/>
    <w:uiPriority w:val="1"/>
    <w:semiHidden/>
    <w:rsid w:val="00A53A5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A53A52"/>
    <w:pPr>
      <w:numPr>
        <w:numId w:val="16"/>
      </w:numPr>
    </w:pPr>
  </w:style>
  <w:style w:type="numbering" w:styleId="1ai">
    <w:name w:val="Outline List 1"/>
    <w:basedOn w:val="Ingenoversigt"/>
    <w:uiPriority w:val="99"/>
    <w:semiHidden/>
    <w:rsid w:val="00A53A52"/>
    <w:pPr>
      <w:numPr>
        <w:numId w:val="18"/>
      </w:numPr>
    </w:pPr>
  </w:style>
  <w:style w:type="numbering" w:styleId="ArtikelSektion">
    <w:name w:val="Outline List 3"/>
    <w:basedOn w:val="Ingenoversigt"/>
    <w:uiPriority w:val="99"/>
    <w:semiHidden/>
    <w:rsid w:val="00A53A52"/>
    <w:pPr>
      <w:numPr>
        <w:numId w:val="19"/>
      </w:numPr>
    </w:pPr>
  </w:style>
  <w:style w:type="paragraph" w:styleId="Markeringsbobletekst">
    <w:name w:val="Balloon Text"/>
    <w:basedOn w:val="Normal"/>
    <w:link w:val="MarkeringsbobletekstTegn"/>
    <w:uiPriority w:val="99"/>
    <w:semiHidden/>
    <w:rsid w:val="00A53A5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53A52"/>
    <w:rPr>
      <w:rFonts w:ascii="Tahoma" w:hAnsi="Tahoma" w:cs="Tahoma"/>
      <w:sz w:val="16"/>
      <w:szCs w:val="16"/>
    </w:rPr>
  </w:style>
  <w:style w:type="paragraph" w:styleId="Bibliografi">
    <w:name w:val="Bibliography"/>
    <w:basedOn w:val="Normal"/>
    <w:next w:val="Normal"/>
    <w:uiPriority w:val="99"/>
    <w:semiHidden/>
    <w:rsid w:val="00A53A52"/>
  </w:style>
  <w:style w:type="paragraph" w:styleId="Bloktekst">
    <w:name w:val="Block Text"/>
    <w:basedOn w:val="Normal"/>
    <w:uiPriority w:val="99"/>
    <w:semiHidden/>
    <w:rsid w:val="00A53A52"/>
    <w:pPr>
      <w:pBdr>
        <w:top w:val="single" w:sz="2" w:space="10" w:color="00A7B5" w:themeColor="accent1" w:shadow="1"/>
        <w:left w:val="single" w:sz="2" w:space="10" w:color="00A7B5" w:themeColor="accent1" w:shadow="1"/>
        <w:bottom w:val="single" w:sz="2" w:space="10" w:color="00A7B5" w:themeColor="accent1" w:shadow="1"/>
        <w:right w:val="single" w:sz="2" w:space="10" w:color="00A7B5" w:themeColor="accent1" w:shadow="1"/>
      </w:pBdr>
      <w:ind w:left="1152" w:right="1152"/>
    </w:pPr>
    <w:rPr>
      <w:rFonts w:asciiTheme="minorHAnsi" w:eastAsiaTheme="minorEastAsia" w:hAnsiTheme="minorHAnsi" w:cstheme="minorBidi"/>
      <w:i/>
      <w:iCs/>
      <w:color w:val="00A7B5" w:themeColor="accent1"/>
    </w:rPr>
  </w:style>
  <w:style w:type="paragraph" w:styleId="Brdtekst">
    <w:name w:val="Body Text"/>
    <w:basedOn w:val="Normal"/>
    <w:link w:val="BrdtekstTegn"/>
    <w:uiPriority w:val="99"/>
    <w:semiHidden/>
    <w:rsid w:val="00A53A52"/>
    <w:pPr>
      <w:spacing w:after="120"/>
    </w:pPr>
  </w:style>
  <w:style w:type="character" w:customStyle="1" w:styleId="BrdtekstTegn">
    <w:name w:val="Brødtekst Tegn"/>
    <w:basedOn w:val="Standardskrifttypeiafsnit"/>
    <w:link w:val="Brdtekst"/>
    <w:uiPriority w:val="99"/>
    <w:semiHidden/>
    <w:rsid w:val="00A53A52"/>
    <w:rPr>
      <w:sz w:val="22"/>
    </w:rPr>
  </w:style>
  <w:style w:type="paragraph" w:styleId="Brdtekst2">
    <w:name w:val="Body Text 2"/>
    <w:basedOn w:val="Normal"/>
    <w:link w:val="Brdtekst2Tegn"/>
    <w:uiPriority w:val="99"/>
    <w:semiHidden/>
    <w:rsid w:val="00A53A52"/>
    <w:pPr>
      <w:spacing w:after="120" w:line="480" w:lineRule="auto"/>
    </w:pPr>
  </w:style>
  <w:style w:type="character" w:customStyle="1" w:styleId="Brdtekst2Tegn">
    <w:name w:val="Brødtekst 2 Tegn"/>
    <w:basedOn w:val="Standardskrifttypeiafsnit"/>
    <w:link w:val="Brdtekst2"/>
    <w:uiPriority w:val="99"/>
    <w:semiHidden/>
    <w:rsid w:val="00A53A52"/>
    <w:rPr>
      <w:sz w:val="22"/>
    </w:rPr>
  </w:style>
  <w:style w:type="paragraph" w:styleId="Brdtekst3">
    <w:name w:val="Body Text 3"/>
    <w:basedOn w:val="Normal"/>
    <w:link w:val="Brdtekst3Tegn"/>
    <w:uiPriority w:val="99"/>
    <w:semiHidden/>
    <w:rsid w:val="00A53A52"/>
    <w:pPr>
      <w:spacing w:after="120"/>
    </w:pPr>
    <w:rPr>
      <w:sz w:val="16"/>
      <w:szCs w:val="16"/>
    </w:rPr>
  </w:style>
  <w:style w:type="character" w:customStyle="1" w:styleId="Brdtekst3Tegn">
    <w:name w:val="Brødtekst 3 Tegn"/>
    <w:basedOn w:val="Standardskrifttypeiafsnit"/>
    <w:link w:val="Brdtekst3"/>
    <w:uiPriority w:val="99"/>
    <w:semiHidden/>
    <w:rsid w:val="00A53A52"/>
    <w:rPr>
      <w:sz w:val="16"/>
      <w:szCs w:val="16"/>
    </w:rPr>
  </w:style>
  <w:style w:type="paragraph" w:styleId="Brdtekst-frstelinjeindrykning1">
    <w:name w:val="Body Text First Indent"/>
    <w:basedOn w:val="Brdtekst"/>
    <w:link w:val="Brdtekst-frstelinjeindrykning1Tegn"/>
    <w:uiPriority w:val="99"/>
    <w:semiHidden/>
    <w:rsid w:val="00A53A5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53A52"/>
    <w:rPr>
      <w:sz w:val="22"/>
    </w:rPr>
  </w:style>
  <w:style w:type="paragraph" w:styleId="Brdtekstindrykning">
    <w:name w:val="Body Text Indent"/>
    <w:basedOn w:val="Normal"/>
    <w:link w:val="BrdtekstindrykningTegn"/>
    <w:uiPriority w:val="99"/>
    <w:semiHidden/>
    <w:rsid w:val="00A53A52"/>
    <w:pPr>
      <w:spacing w:after="120"/>
      <w:ind w:left="283"/>
    </w:pPr>
  </w:style>
  <w:style w:type="character" w:customStyle="1" w:styleId="BrdtekstindrykningTegn">
    <w:name w:val="Brødtekstindrykning Tegn"/>
    <w:basedOn w:val="Standardskrifttypeiafsnit"/>
    <w:link w:val="Brdtekstindrykning"/>
    <w:uiPriority w:val="99"/>
    <w:semiHidden/>
    <w:rsid w:val="00A53A52"/>
    <w:rPr>
      <w:sz w:val="22"/>
    </w:rPr>
  </w:style>
  <w:style w:type="character" w:customStyle="1" w:styleId="Overskrift2Tegn">
    <w:name w:val="Overskrift 2 Tegn"/>
    <w:basedOn w:val="Standardskrifttypeiafsnit"/>
    <w:link w:val="Overskrift2"/>
    <w:uiPriority w:val="1"/>
    <w:rsid w:val="00A53A52"/>
    <w:rPr>
      <w:rFonts w:eastAsiaTheme="majorEastAsia" w:cstheme="majorBidi"/>
      <w:bCs/>
      <w:i/>
      <w:color w:val="003127"/>
      <w:sz w:val="22"/>
      <w:szCs w:val="26"/>
    </w:rPr>
  </w:style>
  <w:style w:type="character" w:customStyle="1" w:styleId="Overskrift3Tegn">
    <w:name w:val="Overskrift 3 Tegn"/>
    <w:basedOn w:val="Standardskrifttypeiafsnit"/>
    <w:link w:val="Overskrift3"/>
    <w:uiPriority w:val="1"/>
    <w:rsid w:val="00A53A52"/>
    <w:rPr>
      <w:rFonts w:eastAsiaTheme="majorEastAsia" w:cstheme="majorBidi"/>
      <w:b/>
      <w:bCs/>
      <w:color w:val="003127"/>
      <w:sz w:val="22"/>
    </w:rPr>
  </w:style>
  <w:style w:type="character" w:customStyle="1" w:styleId="Overskrift4Tegn">
    <w:name w:val="Overskrift 4 Tegn"/>
    <w:basedOn w:val="Standardskrifttypeiafsnit"/>
    <w:link w:val="Overskrift4"/>
    <w:uiPriority w:val="1"/>
    <w:semiHidden/>
    <w:rsid w:val="00A53A52"/>
    <w:rPr>
      <w:rFonts w:eastAsiaTheme="majorEastAsia" w:cstheme="majorBidi"/>
      <w:b/>
      <w:bCs/>
      <w:color w:val="003127"/>
      <w:sz w:val="22"/>
    </w:rPr>
  </w:style>
  <w:style w:type="character" w:customStyle="1" w:styleId="Overskrift5Tegn">
    <w:name w:val="Overskrift 5 Tegn"/>
    <w:basedOn w:val="Standardskrifttypeiafsnit"/>
    <w:link w:val="Overskrift5"/>
    <w:uiPriority w:val="1"/>
    <w:semiHidden/>
    <w:rsid w:val="00A53A52"/>
    <w:rPr>
      <w:rFonts w:eastAsiaTheme="majorEastAsia" w:cstheme="majorBidi"/>
      <w:b/>
      <w:bCs/>
      <w:color w:val="003127"/>
      <w:sz w:val="22"/>
    </w:rPr>
  </w:style>
  <w:style w:type="character" w:customStyle="1" w:styleId="Overskrift6Tegn">
    <w:name w:val="Overskrift 6 Tegn"/>
    <w:basedOn w:val="Standardskrifttypeiafsnit"/>
    <w:link w:val="Overskrift6"/>
    <w:uiPriority w:val="1"/>
    <w:semiHidden/>
    <w:rsid w:val="00A53A52"/>
    <w:rPr>
      <w:rFonts w:eastAsiaTheme="majorEastAsia" w:cstheme="majorBidi"/>
      <w:b/>
      <w:bCs/>
      <w:color w:val="003127"/>
      <w:sz w:val="22"/>
    </w:rPr>
  </w:style>
  <w:style w:type="character" w:customStyle="1" w:styleId="Overskrift7Tegn">
    <w:name w:val="Overskrift 7 Tegn"/>
    <w:basedOn w:val="Standardskrifttypeiafsnit"/>
    <w:link w:val="Overskrift7"/>
    <w:uiPriority w:val="1"/>
    <w:semiHidden/>
    <w:rsid w:val="00A53A52"/>
    <w:rPr>
      <w:rFonts w:eastAsiaTheme="majorEastAsia" w:cstheme="majorBidi"/>
      <w:b/>
      <w:bCs/>
      <w:color w:val="003127"/>
      <w:sz w:val="22"/>
    </w:rPr>
  </w:style>
  <w:style w:type="character" w:customStyle="1" w:styleId="Overskrift8Tegn">
    <w:name w:val="Overskrift 8 Tegn"/>
    <w:basedOn w:val="Standardskrifttypeiafsnit"/>
    <w:link w:val="Overskrift8"/>
    <w:uiPriority w:val="1"/>
    <w:semiHidden/>
    <w:rsid w:val="00A53A52"/>
    <w:rPr>
      <w:rFonts w:eastAsiaTheme="majorEastAsia" w:cstheme="majorBidi"/>
      <w:b/>
      <w:bCs/>
      <w:color w:val="003127"/>
      <w:sz w:val="22"/>
    </w:rPr>
  </w:style>
  <w:style w:type="character" w:customStyle="1" w:styleId="Overskrift9Tegn">
    <w:name w:val="Overskrift 9 Tegn"/>
    <w:basedOn w:val="Standardskrifttypeiafsnit"/>
    <w:link w:val="Overskrift9"/>
    <w:uiPriority w:val="1"/>
    <w:semiHidden/>
    <w:rsid w:val="00A53A52"/>
    <w:rPr>
      <w:rFonts w:eastAsiaTheme="majorEastAsia" w:cstheme="majorBidi"/>
      <w:b/>
      <w:bCs/>
      <w:color w:val="003127"/>
      <w:sz w:val="22"/>
    </w:rPr>
  </w:style>
  <w:style w:type="paragraph" w:styleId="Brdtekst-frstelinjeindrykning2">
    <w:name w:val="Body Text First Indent 2"/>
    <w:basedOn w:val="Brdtekstindrykning"/>
    <w:link w:val="Brdtekst-frstelinjeindrykning2Tegn"/>
    <w:uiPriority w:val="99"/>
    <w:semiHidden/>
    <w:rsid w:val="00A53A5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53A52"/>
    <w:rPr>
      <w:sz w:val="22"/>
    </w:rPr>
  </w:style>
  <w:style w:type="paragraph" w:styleId="Brdtekstindrykning2">
    <w:name w:val="Body Text Indent 2"/>
    <w:basedOn w:val="Normal"/>
    <w:link w:val="Brdtekstindrykning2Tegn"/>
    <w:uiPriority w:val="99"/>
    <w:semiHidden/>
    <w:rsid w:val="00A53A5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53A52"/>
    <w:rPr>
      <w:sz w:val="22"/>
    </w:rPr>
  </w:style>
  <w:style w:type="paragraph" w:styleId="Brdtekstindrykning3">
    <w:name w:val="Body Text Indent 3"/>
    <w:basedOn w:val="Normal"/>
    <w:link w:val="Brdtekstindrykning3Tegn"/>
    <w:uiPriority w:val="99"/>
    <w:semiHidden/>
    <w:rsid w:val="00A53A5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53A52"/>
    <w:rPr>
      <w:sz w:val="16"/>
      <w:szCs w:val="16"/>
    </w:rPr>
  </w:style>
  <w:style w:type="character" w:styleId="Bogenstitel">
    <w:name w:val="Book Title"/>
    <w:basedOn w:val="Standardskrifttypeiafsnit"/>
    <w:uiPriority w:val="99"/>
    <w:semiHidden/>
    <w:qFormat/>
    <w:rsid w:val="00A53A52"/>
    <w:rPr>
      <w:b/>
      <w:bCs/>
      <w:smallCaps/>
      <w:spacing w:val="5"/>
    </w:rPr>
  </w:style>
  <w:style w:type="paragraph" w:styleId="Billedtekst">
    <w:name w:val="caption"/>
    <w:basedOn w:val="Normal"/>
    <w:next w:val="Normal"/>
    <w:uiPriority w:val="3"/>
    <w:rsid w:val="00A53A52"/>
    <w:pPr>
      <w:spacing w:after="200" w:line="240" w:lineRule="auto"/>
    </w:pPr>
    <w:rPr>
      <w:b/>
      <w:bCs/>
      <w:color w:val="00A7B5" w:themeColor="accent1"/>
      <w:sz w:val="18"/>
      <w:szCs w:val="18"/>
    </w:rPr>
  </w:style>
  <w:style w:type="paragraph" w:styleId="Sluthilsen">
    <w:name w:val="Closing"/>
    <w:basedOn w:val="Normal"/>
    <w:link w:val="SluthilsenTegn"/>
    <w:uiPriority w:val="99"/>
    <w:semiHidden/>
    <w:rsid w:val="00A53A52"/>
    <w:pPr>
      <w:spacing w:line="240" w:lineRule="auto"/>
      <w:ind w:left="4252"/>
    </w:pPr>
  </w:style>
  <w:style w:type="character" w:customStyle="1" w:styleId="SluthilsenTegn">
    <w:name w:val="Sluthilsen Tegn"/>
    <w:basedOn w:val="Standardskrifttypeiafsnit"/>
    <w:link w:val="Sluthilsen"/>
    <w:uiPriority w:val="99"/>
    <w:semiHidden/>
    <w:rsid w:val="00A53A52"/>
    <w:rPr>
      <w:sz w:val="22"/>
    </w:rPr>
  </w:style>
  <w:style w:type="table" w:styleId="Farvetgitter">
    <w:name w:val="Colorful Grid"/>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9FF" w:themeFill="accent1" w:themeFillTint="33"/>
    </w:tcPr>
    <w:tblStylePr w:type="firstRow">
      <w:rPr>
        <w:b/>
        <w:bCs/>
      </w:rPr>
      <w:tblPr/>
      <w:tcPr>
        <w:shd w:val="clear" w:color="auto" w:fill="7BF4FF" w:themeFill="accent1" w:themeFillTint="66"/>
      </w:tcPr>
    </w:tblStylePr>
    <w:tblStylePr w:type="lastRow">
      <w:rPr>
        <w:b/>
        <w:bCs/>
        <w:color w:val="000000" w:themeColor="text1"/>
      </w:rPr>
      <w:tblPr/>
      <w:tcPr>
        <w:shd w:val="clear" w:color="auto" w:fill="7BF4FF" w:themeFill="accent1" w:themeFillTint="66"/>
      </w:tcPr>
    </w:tblStylePr>
    <w:tblStylePr w:type="firstCol">
      <w:rPr>
        <w:color w:val="FFFFFF" w:themeColor="background1"/>
      </w:rPr>
      <w:tblPr/>
      <w:tcPr>
        <w:shd w:val="clear" w:color="auto" w:fill="007C87" w:themeFill="accent1" w:themeFillShade="BF"/>
      </w:tcPr>
    </w:tblStylePr>
    <w:tblStylePr w:type="lastCol">
      <w:rPr>
        <w:color w:val="FFFFFF" w:themeColor="background1"/>
      </w:rPr>
      <w:tblPr/>
      <w:tcPr>
        <w:shd w:val="clear" w:color="auto" w:fill="007C87" w:themeFill="accent1" w:themeFillShade="BF"/>
      </w:tc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Farvetgitter-fremhvningsfarve2">
    <w:name w:val="Colorful Grid Accent 2"/>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3EC" w:themeFill="accent3" w:themeFillTint="33"/>
    </w:tcPr>
    <w:tblStylePr w:type="firstRow">
      <w:rPr>
        <w:b/>
        <w:bCs/>
      </w:rPr>
      <w:tblPr/>
      <w:tcPr>
        <w:shd w:val="clear" w:color="auto" w:fill="A9E7D9" w:themeFill="accent3" w:themeFillTint="66"/>
      </w:tcPr>
    </w:tblStylePr>
    <w:tblStylePr w:type="lastRow">
      <w:rPr>
        <w:b/>
        <w:bCs/>
        <w:color w:val="000000" w:themeColor="text1"/>
      </w:rPr>
      <w:tblPr/>
      <w:tcPr>
        <w:shd w:val="clear" w:color="auto" w:fill="A9E7D9" w:themeFill="accent3" w:themeFillTint="66"/>
      </w:tcPr>
    </w:tblStylePr>
    <w:tblStylePr w:type="firstCol">
      <w:rPr>
        <w:color w:val="FFFFFF" w:themeColor="background1"/>
      </w:rPr>
      <w:tblPr/>
      <w:tcPr>
        <w:shd w:val="clear" w:color="auto" w:fill="268A73" w:themeFill="accent3" w:themeFillShade="BF"/>
      </w:tcPr>
    </w:tblStylePr>
    <w:tblStylePr w:type="lastCol">
      <w:rPr>
        <w:color w:val="FFFFFF" w:themeColor="background1"/>
      </w:rPr>
      <w:tblPr/>
      <w:tcPr>
        <w:shd w:val="clear" w:color="auto" w:fill="268A73" w:themeFill="accent3" w:themeFillShade="BF"/>
      </w:tc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Farvetgitter-fremhvningsfarve4">
    <w:name w:val="Colorful Grid Accent 4"/>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5" w:themeFillTint="33"/>
    </w:tcPr>
    <w:tblStylePr w:type="firstRow">
      <w:rPr>
        <w:b/>
        <w:bCs/>
      </w:rPr>
      <w:tblPr/>
      <w:tcPr>
        <w:shd w:val="clear" w:color="auto" w:fill="F8F0C4" w:themeFill="accent5" w:themeFillTint="66"/>
      </w:tcPr>
    </w:tblStylePr>
    <w:tblStylePr w:type="lastRow">
      <w:rPr>
        <w:b/>
        <w:bCs/>
        <w:color w:val="000000" w:themeColor="text1"/>
      </w:rPr>
      <w:tblPr/>
      <w:tcPr>
        <w:shd w:val="clear" w:color="auto" w:fill="F8F0C4" w:themeFill="accent5" w:themeFillTint="66"/>
      </w:tcPr>
    </w:tblStylePr>
    <w:tblStylePr w:type="firstCol">
      <w:rPr>
        <w:color w:val="FFFFFF" w:themeColor="background1"/>
      </w:rPr>
      <w:tblPr/>
      <w:tcPr>
        <w:shd w:val="clear" w:color="auto" w:fill="E6C71D" w:themeFill="accent5" w:themeFillShade="BF"/>
      </w:tcPr>
    </w:tblStylePr>
    <w:tblStylePr w:type="lastCol">
      <w:rPr>
        <w:color w:val="FFFFFF" w:themeColor="background1"/>
      </w:rPr>
      <w:tblPr/>
      <w:tcPr>
        <w:shd w:val="clear" w:color="auto" w:fill="E6C71D" w:themeFill="accent5" w:themeFillShade="BF"/>
      </w:tc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Farvetgitter-fremhvningsfarve6">
    <w:name w:val="Colorful Grid Accent 6"/>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99"/>
    <w:semiHidden/>
    <w:rsid w:val="00A53A5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A53A52"/>
    <w:pPr>
      <w:spacing w:line="240" w:lineRule="auto"/>
    </w:pPr>
    <w:rPr>
      <w:color w:val="000000" w:themeColor="text1"/>
    </w:rPr>
    <w:tblPr>
      <w:tblStyleRowBandSize w:val="1"/>
      <w:tblStyleColBandSize w:val="1"/>
    </w:tblPr>
    <w:tcPr>
      <w:shd w:val="clear" w:color="auto" w:fill="DEFCFF"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1" w:themeFillTint="3F"/>
      </w:tcPr>
    </w:tblStylePr>
    <w:tblStylePr w:type="band1Horz">
      <w:tblPr/>
      <w:tcPr>
        <w:shd w:val="clear" w:color="auto" w:fill="BDF9FF" w:themeFill="accent1" w:themeFillTint="33"/>
      </w:tcPr>
    </w:tblStylePr>
  </w:style>
  <w:style w:type="table" w:styleId="Farvetliste-fremhvningsfarve2">
    <w:name w:val="Colorful List Accent 2"/>
    <w:basedOn w:val="Tabel-Normal"/>
    <w:uiPriority w:val="99"/>
    <w:semiHidden/>
    <w:rsid w:val="00A53A52"/>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A53A52"/>
    <w:pPr>
      <w:spacing w:line="240" w:lineRule="auto"/>
    </w:pPr>
    <w:rPr>
      <w:color w:val="000000" w:themeColor="text1"/>
    </w:rPr>
    <w:tblPr>
      <w:tblStyleRowBandSize w:val="1"/>
      <w:tblStyleColBandSize w:val="1"/>
    </w:tblPr>
    <w:tcPr>
      <w:shd w:val="clear" w:color="auto" w:fill="E9F9F5"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0E7" w:themeFill="accent3" w:themeFillTint="3F"/>
      </w:tcPr>
    </w:tblStylePr>
    <w:tblStylePr w:type="band1Horz">
      <w:tblPr/>
      <w:tcPr>
        <w:shd w:val="clear" w:color="auto" w:fill="D3F3EC" w:themeFill="accent3" w:themeFillTint="33"/>
      </w:tcPr>
    </w:tblStylePr>
  </w:style>
  <w:style w:type="table" w:styleId="Farvetliste-fremhvningsfarve4">
    <w:name w:val="Colorful List Accent 4"/>
    <w:basedOn w:val="Tabel-Normal"/>
    <w:uiPriority w:val="99"/>
    <w:semiHidden/>
    <w:rsid w:val="00A53A52"/>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7B" w:themeFill="accent3" w:themeFillShade="CC"/>
      </w:tcPr>
    </w:tblStylePr>
    <w:tblStylePr w:type="lastRow">
      <w:rPr>
        <w:b/>
        <w:bCs/>
        <w:color w:val="289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A53A52"/>
    <w:pPr>
      <w:spacing w:line="240" w:lineRule="auto"/>
    </w:pPr>
    <w:rPr>
      <w:color w:val="000000" w:themeColor="text1"/>
    </w:rPr>
    <w:tblPr>
      <w:tblStyleRowBandSize w:val="1"/>
      <w:tblStyleColBandSize w:val="1"/>
    </w:tblPr>
    <w:tcPr>
      <w:shd w:val="clear" w:color="auto" w:fill="FDFBF0"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5" w:themeFillTint="3F"/>
      </w:tcPr>
    </w:tblStylePr>
    <w:tblStylePr w:type="band1Horz">
      <w:tblPr/>
      <w:tcPr>
        <w:shd w:val="clear" w:color="auto" w:fill="FBF7E1" w:themeFill="accent5" w:themeFillTint="33"/>
      </w:tcPr>
    </w:tblStylePr>
  </w:style>
  <w:style w:type="table" w:styleId="Farvetliste-fremhvningsfarve6">
    <w:name w:val="Colorful List Accent 6"/>
    <w:basedOn w:val="Tabel-Normal"/>
    <w:uiPriority w:val="99"/>
    <w:semiHidden/>
    <w:rsid w:val="00A53A52"/>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E8CB2D" w:themeFill="accent5" w:themeFillShade="CC"/>
      </w:tcPr>
    </w:tblStylePr>
    <w:tblStylePr w:type="lastRow">
      <w:rPr>
        <w:b/>
        <w:bCs/>
        <w:color w:val="E8CB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A7B5" w:themeColor="accent1"/>
        <w:bottom w:val="single" w:sz="4" w:space="0" w:color="00A7B5" w:themeColor="accent1"/>
        <w:right w:val="single" w:sz="4" w:space="0" w:color="00A7B5" w:themeColor="accent1"/>
        <w:insideH w:val="single" w:sz="4" w:space="0" w:color="FFFFFF" w:themeColor="background1"/>
        <w:insideV w:val="single" w:sz="4" w:space="0" w:color="FFFFFF" w:themeColor="background1"/>
      </w:tblBorders>
    </w:tblPr>
    <w:tcPr>
      <w:shd w:val="clear" w:color="auto" w:fill="DEFCFF"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1" w:themeFillShade="99"/>
      </w:tcPr>
    </w:tblStylePr>
    <w:tblStylePr w:type="firstCol">
      <w:rPr>
        <w:color w:val="FFFFFF" w:themeColor="background1"/>
      </w:rPr>
      <w:tblPr/>
      <w:tcPr>
        <w:tcBorders>
          <w:top w:val="nil"/>
          <w:left w:val="nil"/>
          <w:bottom w:val="nil"/>
          <w:right w:val="nil"/>
          <w:insideH w:val="single" w:sz="4" w:space="0" w:color="00636C" w:themeColor="accent1" w:themeShade="99"/>
          <w:insideV w:val="nil"/>
        </w:tcBorders>
        <w:shd w:val="clear" w:color="auto" w:fill="0063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1" w:themeFillShade="99"/>
      </w:tcPr>
    </w:tblStylePr>
    <w:tblStylePr w:type="band1Vert">
      <w:tblPr/>
      <w:tcPr>
        <w:shd w:val="clear" w:color="auto" w:fill="7BF4FF" w:themeFill="accent1" w:themeFillTint="66"/>
      </w:tcPr>
    </w:tblStylePr>
    <w:tblStylePr w:type="band1Horz">
      <w:tblPr/>
      <w:tcPr>
        <w:shd w:val="clear" w:color="auto" w:fill="5BF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A53A52"/>
    <w:pPr>
      <w:spacing w:line="240" w:lineRule="auto"/>
    </w:pPr>
    <w:rPr>
      <w:color w:val="000000" w:themeColor="text1"/>
    </w:rPr>
    <w:tblPr>
      <w:tblStyleRowBandSize w:val="1"/>
      <w:tblStyleColBandSize w:val="1"/>
      <w:tblBorders>
        <w:top w:val="single" w:sz="24" w:space="0" w:color="0085AD" w:themeColor="accent4"/>
        <w:left w:val="single" w:sz="4" w:space="0" w:color="33B99B" w:themeColor="accent3"/>
        <w:bottom w:val="single" w:sz="4" w:space="0" w:color="33B99B" w:themeColor="accent3"/>
        <w:right w:val="single" w:sz="4" w:space="0" w:color="33B99B" w:themeColor="accent3"/>
        <w:insideH w:val="single" w:sz="4" w:space="0" w:color="FFFFFF" w:themeColor="background1"/>
        <w:insideV w:val="single" w:sz="4" w:space="0" w:color="FFFFFF" w:themeColor="background1"/>
      </w:tblBorders>
    </w:tblPr>
    <w:tcPr>
      <w:shd w:val="clear" w:color="auto" w:fill="E9F9F5"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5C" w:themeFill="accent3" w:themeFillShade="99"/>
      </w:tcPr>
    </w:tblStylePr>
    <w:tblStylePr w:type="firstCol">
      <w:rPr>
        <w:color w:val="FFFFFF" w:themeColor="background1"/>
      </w:rPr>
      <w:tblPr/>
      <w:tcPr>
        <w:tcBorders>
          <w:top w:val="nil"/>
          <w:left w:val="nil"/>
          <w:bottom w:val="nil"/>
          <w:right w:val="nil"/>
          <w:insideH w:val="single" w:sz="4" w:space="0" w:color="1E6E5C" w:themeColor="accent3" w:themeShade="99"/>
          <w:insideV w:val="nil"/>
        </w:tcBorders>
        <w:shd w:val="clear" w:color="auto" w:fill="1E6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5C" w:themeFill="accent3" w:themeFillShade="99"/>
      </w:tcPr>
    </w:tblStylePr>
    <w:tblStylePr w:type="band1Vert">
      <w:tblPr/>
      <w:tcPr>
        <w:shd w:val="clear" w:color="auto" w:fill="A9E7D9" w:themeFill="accent3" w:themeFillTint="66"/>
      </w:tcPr>
    </w:tblStylePr>
    <w:tblStylePr w:type="band1Horz">
      <w:tblPr/>
      <w:tcPr>
        <w:shd w:val="clear" w:color="auto" w:fill="93E1CF" w:themeFill="accent3" w:themeFillTint="7F"/>
      </w:tcPr>
    </w:tblStylePr>
  </w:style>
  <w:style w:type="table" w:styleId="Farvetskygge-fremhvningsfarve4">
    <w:name w:val="Colorful Shading Accent 4"/>
    <w:basedOn w:val="Tabel-Normal"/>
    <w:uiPriority w:val="99"/>
    <w:semiHidden/>
    <w:rsid w:val="00A53A52"/>
    <w:pPr>
      <w:spacing w:line="240" w:lineRule="auto"/>
    </w:pPr>
    <w:rPr>
      <w:color w:val="000000" w:themeColor="text1"/>
    </w:rPr>
    <w:tblPr>
      <w:tblStyleRowBandSize w:val="1"/>
      <w:tblStyleColBandSize w:val="1"/>
      <w:tblBorders>
        <w:top w:val="single" w:sz="24" w:space="0" w:color="33B99B"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A53A52"/>
    <w:pPr>
      <w:spacing w:line="240" w:lineRule="auto"/>
    </w:pPr>
    <w:rPr>
      <w:color w:val="000000" w:themeColor="text1"/>
    </w:rPr>
    <w:tblPr>
      <w:tblStyleRowBandSize w:val="1"/>
      <w:tblStyleColBandSize w:val="1"/>
      <w:tblBorders>
        <w:top w:val="single" w:sz="24" w:space="0" w:color="512D6D" w:themeColor="accent6"/>
        <w:left w:val="single" w:sz="4" w:space="0" w:color="EFDB6C" w:themeColor="accent5"/>
        <w:bottom w:val="single" w:sz="4" w:space="0" w:color="EFDB6C" w:themeColor="accent5"/>
        <w:right w:val="single" w:sz="4" w:space="0" w:color="EFDB6C" w:themeColor="accent5"/>
        <w:insideH w:val="single" w:sz="4" w:space="0" w:color="FFFFFF" w:themeColor="background1"/>
        <w:insideV w:val="single" w:sz="4" w:space="0" w:color="FFFFFF" w:themeColor="background1"/>
      </w:tblBorders>
    </w:tblPr>
    <w:tcPr>
      <w:shd w:val="clear" w:color="auto" w:fill="FDFBF0"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5" w:themeFillShade="99"/>
      </w:tcPr>
    </w:tblStylePr>
    <w:tblStylePr w:type="firstCol">
      <w:rPr>
        <w:color w:val="FFFFFF" w:themeColor="background1"/>
      </w:rPr>
      <w:tblPr/>
      <w:tcPr>
        <w:tcBorders>
          <w:top w:val="nil"/>
          <w:left w:val="nil"/>
          <w:bottom w:val="nil"/>
          <w:right w:val="nil"/>
          <w:insideH w:val="single" w:sz="4" w:space="0" w:color="BBA114" w:themeColor="accent5" w:themeShade="99"/>
          <w:insideV w:val="nil"/>
        </w:tcBorders>
        <w:shd w:val="clear" w:color="auto" w:fill="BBA1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5" w:themeFillShade="99"/>
      </w:tcPr>
    </w:tblStylePr>
    <w:tblStylePr w:type="band1Vert">
      <w:tblPr/>
      <w:tcPr>
        <w:shd w:val="clear" w:color="auto" w:fill="F8F0C4" w:themeFill="accent5" w:themeFillTint="66"/>
      </w:tcPr>
    </w:tblStylePr>
    <w:tblStylePr w:type="band1Horz">
      <w:tblPr/>
      <w:tcPr>
        <w:shd w:val="clear" w:color="auto" w:fill="F7EDB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A53A52"/>
    <w:pPr>
      <w:spacing w:line="240" w:lineRule="auto"/>
    </w:pPr>
    <w:rPr>
      <w:color w:val="000000" w:themeColor="text1"/>
    </w:rPr>
    <w:tblPr>
      <w:tblStyleRowBandSize w:val="1"/>
      <w:tblStyleColBandSize w:val="1"/>
      <w:tblBorders>
        <w:top w:val="single" w:sz="24" w:space="0" w:color="EFDB6C"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A53A52"/>
    <w:rPr>
      <w:sz w:val="16"/>
      <w:szCs w:val="16"/>
    </w:rPr>
  </w:style>
  <w:style w:type="paragraph" w:styleId="Kommentartekst">
    <w:name w:val="annotation text"/>
    <w:basedOn w:val="Normal"/>
    <w:link w:val="KommentartekstTegn"/>
    <w:uiPriority w:val="99"/>
    <w:semiHidden/>
    <w:rsid w:val="00A53A52"/>
    <w:pPr>
      <w:spacing w:line="240" w:lineRule="auto"/>
    </w:pPr>
  </w:style>
  <w:style w:type="character" w:customStyle="1" w:styleId="KommentartekstTegn">
    <w:name w:val="Kommentartekst Tegn"/>
    <w:basedOn w:val="Standardskrifttypeiafsnit"/>
    <w:link w:val="Kommentartekst"/>
    <w:uiPriority w:val="99"/>
    <w:semiHidden/>
    <w:rsid w:val="00A53A52"/>
    <w:rPr>
      <w:sz w:val="22"/>
    </w:rPr>
  </w:style>
  <w:style w:type="paragraph" w:styleId="Kommentaremne">
    <w:name w:val="annotation subject"/>
    <w:basedOn w:val="Kommentartekst"/>
    <w:next w:val="Kommentartekst"/>
    <w:link w:val="KommentaremneTegn"/>
    <w:uiPriority w:val="99"/>
    <w:semiHidden/>
    <w:rsid w:val="00A53A52"/>
    <w:rPr>
      <w:b/>
      <w:bCs/>
    </w:rPr>
  </w:style>
  <w:style w:type="character" w:customStyle="1" w:styleId="KommentaremneTegn">
    <w:name w:val="Kommentaremne Tegn"/>
    <w:basedOn w:val="KommentartekstTegn"/>
    <w:link w:val="Kommentaremne"/>
    <w:uiPriority w:val="99"/>
    <w:semiHidden/>
    <w:rsid w:val="00A53A52"/>
    <w:rPr>
      <w:b/>
      <w:bCs/>
      <w:sz w:val="22"/>
    </w:rPr>
  </w:style>
  <w:style w:type="table" w:styleId="Mrkliste">
    <w:name w:val="Dark List"/>
    <w:basedOn w:val="Tabel-Normal"/>
    <w:uiPriority w:val="99"/>
    <w:semiHidden/>
    <w:rsid w:val="00A53A5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A53A52"/>
    <w:pPr>
      <w:spacing w:line="240" w:lineRule="auto"/>
    </w:pPr>
    <w:rPr>
      <w:color w:val="FFFFFF" w:themeColor="background1"/>
    </w:rPr>
    <w:tblPr>
      <w:tblStyleRowBandSize w:val="1"/>
      <w:tblStyleColBandSize w:val="1"/>
    </w:tblPr>
    <w:tcPr>
      <w:shd w:val="clear" w:color="auto" w:fill="00A7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1" w:themeFillShade="BF"/>
      </w:tcPr>
    </w:tblStylePr>
    <w:tblStylePr w:type="band1Vert">
      <w:tblPr/>
      <w:tcPr>
        <w:tcBorders>
          <w:top w:val="nil"/>
          <w:left w:val="nil"/>
          <w:bottom w:val="nil"/>
          <w:right w:val="nil"/>
          <w:insideH w:val="nil"/>
          <w:insideV w:val="nil"/>
        </w:tcBorders>
        <w:shd w:val="clear" w:color="auto" w:fill="007C87" w:themeFill="accent1" w:themeFillShade="BF"/>
      </w:tcPr>
    </w:tblStylePr>
    <w:tblStylePr w:type="band1Horz">
      <w:tblPr/>
      <w:tcPr>
        <w:tcBorders>
          <w:top w:val="nil"/>
          <w:left w:val="nil"/>
          <w:bottom w:val="nil"/>
          <w:right w:val="nil"/>
          <w:insideH w:val="nil"/>
          <w:insideV w:val="nil"/>
        </w:tcBorders>
        <w:shd w:val="clear" w:color="auto" w:fill="007C87" w:themeFill="accent1" w:themeFillShade="BF"/>
      </w:tcPr>
    </w:tblStylePr>
  </w:style>
  <w:style w:type="table" w:styleId="Mrkliste-fremhvningsfarve2">
    <w:name w:val="Dark List Accent 2"/>
    <w:basedOn w:val="Tabel-Normal"/>
    <w:uiPriority w:val="99"/>
    <w:semiHidden/>
    <w:rsid w:val="00A53A52"/>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A53A52"/>
    <w:pPr>
      <w:spacing w:line="240" w:lineRule="auto"/>
    </w:pPr>
    <w:rPr>
      <w:color w:val="FFFFFF" w:themeColor="background1"/>
    </w:rPr>
    <w:tblPr>
      <w:tblStyleRowBandSize w:val="1"/>
      <w:tblStyleColBandSize w:val="1"/>
    </w:tblPr>
    <w:tcPr>
      <w:shd w:val="clear" w:color="auto" w:fill="33B9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73" w:themeFill="accent3" w:themeFillShade="BF"/>
      </w:tcPr>
    </w:tblStylePr>
    <w:tblStylePr w:type="band1Vert">
      <w:tblPr/>
      <w:tcPr>
        <w:tcBorders>
          <w:top w:val="nil"/>
          <w:left w:val="nil"/>
          <w:bottom w:val="nil"/>
          <w:right w:val="nil"/>
          <w:insideH w:val="nil"/>
          <w:insideV w:val="nil"/>
        </w:tcBorders>
        <w:shd w:val="clear" w:color="auto" w:fill="268A73" w:themeFill="accent3" w:themeFillShade="BF"/>
      </w:tcPr>
    </w:tblStylePr>
    <w:tblStylePr w:type="band1Horz">
      <w:tblPr/>
      <w:tcPr>
        <w:tcBorders>
          <w:top w:val="nil"/>
          <w:left w:val="nil"/>
          <w:bottom w:val="nil"/>
          <w:right w:val="nil"/>
          <w:insideH w:val="nil"/>
          <w:insideV w:val="nil"/>
        </w:tcBorders>
        <w:shd w:val="clear" w:color="auto" w:fill="268A73" w:themeFill="accent3" w:themeFillShade="BF"/>
      </w:tcPr>
    </w:tblStylePr>
  </w:style>
  <w:style w:type="table" w:styleId="Mrkliste-fremhvningsfarve4">
    <w:name w:val="Dark List Accent 4"/>
    <w:basedOn w:val="Tabel-Normal"/>
    <w:uiPriority w:val="99"/>
    <w:semiHidden/>
    <w:rsid w:val="00A53A52"/>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A53A52"/>
    <w:pPr>
      <w:spacing w:line="240" w:lineRule="auto"/>
    </w:pPr>
    <w:rPr>
      <w:color w:val="FFFFFF" w:themeColor="background1"/>
    </w:rPr>
    <w:tblPr>
      <w:tblStyleRowBandSize w:val="1"/>
      <w:tblStyleColBandSize w:val="1"/>
    </w:tblPr>
    <w:tcPr>
      <w:shd w:val="clear" w:color="auto" w:fill="EFDB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5" w:themeFillShade="BF"/>
      </w:tcPr>
    </w:tblStylePr>
    <w:tblStylePr w:type="band1Vert">
      <w:tblPr/>
      <w:tcPr>
        <w:tcBorders>
          <w:top w:val="nil"/>
          <w:left w:val="nil"/>
          <w:bottom w:val="nil"/>
          <w:right w:val="nil"/>
          <w:insideH w:val="nil"/>
          <w:insideV w:val="nil"/>
        </w:tcBorders>
        <w:shd w:val="clear" w:color="auto" w:fill="E6C71D" w:themeFill="accent5" w:themeFillShade="BF"/>
      </w:tcPr>
    </w:tblStylePr>
    <w:tblStylePr w:type="band1Horz">
      <w:tblPr/>
      <w:tcPr>
        <w:tcBorders>
          <w:top w:val="nil"/>
          <w:left w:val="nil"/>
          <w:bottom w:val="nil"/>
          <w:right w:val="nil"/>
          <w:insideH w:val="nil"/>
          <w:insideV w:val="nil"/>
        </w:tcBorders>
        <w:shd w:val="clear" w:color="auto" w:fill="E6C71D" w:themeFill="accent5" w:themeFillShade="BF"/>
      </w:tcPr>
    </w:tblStylePr>
  </w:style>
  <w:style w:type="table" w:styleId="Mrkliste-fremhvningsfarve6">
    <w:name w:val="Dark List Accent 6"/>
    <w:basedOn w:val="Tabel-Normal"/>
    <w:uiPriority w:val="99"/>
    <w:semiHidden/>
    <w:rsid w:val="00A53A52"/>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A53A52"/>
  </w:style>
  <w:style w:type="character" w:customStyle="1" w:styleId="DatoTegn">
    <w:name w:val="Dato Tegn"/>
    <w:basedOn w:val="Standardskrifttypeiafsnit"/>
    <w:link w:val="Dato"/>
    <w:uiPriority w:val="99"/>
    <w:semiHidden/>
    <w:rsid w:val="00A53A52"/>
    <w:rPr>
      <w:sz w:val="22"/>
    </w:rPr>
  </w:style>
  <w:style w:type="paragraph" w:customStyle="1" w:styleId="DocumentHeading">
    <w:name w:val="Document Heading"/>
    <w:basedOn w:val="Overskrift1"/>
    <w:uiPriority w:val="6"/>
    <w:semiHidden/>
    <w:rsid w:val="00A53A52"/>
    <w:pPr>
      <w:spacing w:before="0"/>
    </w:pPr>
    <w:rPr>
      <w:sz w:val="28"/>
    </w:rPr>
  </w:style>
  <w:style w:type="paragraph" w:styleId="Dokumentoversigt">
    <w:name w:val="Document Map"/>
    <w:basedOn w:val="Normal"/>
    <w:link w:val="DokumentoversigtTegn"/>
    <w:uiPriority w:val="99"/>
    <w:semiHidden/>
    <w:rsid w:val="00A53A5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A53A52"/>
    <w:rPr>
      <w:rFonts w:ascii="Tahoma" w:hAnsi="Tahoma" w:cs="Tahoma"/>
      <w:sz w:val="16"/>
      <w:szCs w:val="16"/>
    </w:rPr>
  </w:style>
  <w:style w:type="paragraph" w:styleId="Sidehoved">
    <w:name w:val="header"/>
    <w:basedOn w:val="Normal"/>
    <w:link w:val="SidehovedTegn"/>
    <w:uiPriority w:val="99"/>
    <w:semiHidden/>
    <w:rsid w:val="00A53A52"/>
    <w:pPr>
      <w:tabs>
        <w:tab w:val="center" w:pos="4819"/>
        <w:tab w:val="right" w:pos="9638"/>
      </w:tabs>
    </w:pPr>
  </w:style>
  <w:style w:type="character" w:customStyle="1" w:styleId="SidehovedTegn">
    <w:name w:val="Sidehoved Tegn"/>
    <w:basedOn w:val="Standardskrifttypeiafsnit"/>
    <w:link w:val="Sidehoved"/>
    <w:uiPriority w:val="99"/>
    <w:semiHidden/>
    <w:rsid w:val="00A53A52"/>
    <w:rPr>
      <w:sz w:val="22"/>
    </w:rPr>
  </w:style>
  <w:style w:type="paragraph" w:customStyle="1" w:styleId="DocumentName">
    <w:name w:val="Document Name"/>
    <w:basedOn w:val="Sidehoved"/>
    <w:uiPriority w:val="8"/>
    <w:semiHidden/>
    <w:qFormat/>
    <w:rsid w:val="00A53A52"/>
    <w:rPr>
      <w:caps/>
    </w:rPr>
  </w:style>
  <w:style w:type="paragraph" w:styleId="Mailsignatur">
    <w:name w:val="E-mail Signature"/>
    <w:basedOn w:val="Normal"/>
    <w:link w:val="MailsignaturTegn"/>
    <w:uiPriority w:val="99"/>
    <w:semiHidden/>
    <w:rsid w:val="00A53A52"/>
    <w:pPr>
      <w:spacing w:line="240" w:lineRule="auto"/>
    </w:pPr>
  </w:style>
  <w:style w:type="character" w:customStyle="1" w:styleId="MailsignaturTegn">
    <w:name w:val="Mailsignatur Tegn"/>
    <w:basedOn w:val="Standardskrifttypeiafsnit"/>
    <w:link w:val="Mailsignatur"/>
    <w:uiPriority w:val="99"/>
    <w:semiHidden/>
    <w:rsid w:val="00A53A52"/>
    <w:rPr>
      <w:sz w:val="22"/>
    </w:rPr>
  </w:style>
  <w:style w:type="character" w:styleId="Fremhv">
    <w:name w:val="Emphasis"/>
    <w:basedOn w:val="Standardskrifttypeiafsnit"/>
    <w:uiPriority w:val="4"/>
    <w:rsid w:val="00A53A52"/>
    <w:rPr>
      <w:i/>
      <w:iCs/>
    </w:rPr>
  </w:style>
  <w:style w:type="character" w:styleId="Slutnotehenvisning">
    <w:name w:val="endnote reference"/>
    <w:basedOn w:val="Standardskrifttypeiafsnit"/>
    <w:uiPriority w:val="99"/>
    <w:semiHidden/>
    <w:rsid w:val="00A53A52"/>
    <w:rPr>
      <w:vertAlign w:val="superscript"/>
    </w:rPr>
  </w:style>
  <w:style w:type="paragraph" w:styleId="Slutnotetekst">
    <w:name w:val="endnote text"/>
    <w:basedOn w:val="Normal"/>
    <w:link w:val="SlutnotetekstTegn"/>
    <w:uiPriority w:val="9"/>
    <w:semiHidden/>
    <w:rsid w:val="00A53A52"/>
    <w:pPr>
      <w:spacing w:line="240" w:lineRule="auto"/>
    </w:pPr>
  </w:style>
  <w:style w:type="character" w:customStyle="1" w:styleId="SlutnotetekstTegn">
    <w:name w:val="Slutnotetekst Tegn"/>
    <w:basedOn w:val="Standardskrifttypeiafsnit"/>
    <w:link w:val="Slutnotetekst"/>
    <w:uiPriority w:val="9"/>
    <w:semiHidden/>
    <w:rsid w:val="00A53A52"/>
    <w:rPr>
      <w:sz w:val="22"/>
    </w:rPr>
  </w:style>
  <w:style w:type="paragraph" w:styleId="Modtageradresse">
    <w:name w:val="envelope address"/>
    <w:basedOn w:val="Normal"/>
    <w:uiPriority w:val="99"/>
    <w:semiHidden/>
    <w:rsid w:val="00A53A52"/>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A53A52"/>
    <w:pPr>
      <w:spacing w:line="240" w:lineRule="auto"/>
    </w:pPr>
    <w:rPr>
      <w:rFonts w:asciiTheme="majorHAnsi" w:eastAsiaTheme="majorEastAsia" w:hAnsiTheme="majorHAnsi" w:cstheme="majorBidi"/>
    </w:rPr>
  </w:style>
  <w:style w:type="paragraph" w:customStyle="1" w:styleId="Faktaboks-Bullet">
    <w:name w:val="Faktaboks - Bullet"/>
    <w:basedOn w:val="Normal"/>
    <w:uiPriority w:val="6"/>
    <w:rsid w:val="00A53A52"/>
    <w:pPr>
      <w:numPr>
        <w:numId w:val="36"/>
      </w:numPr>
      <w:spacing w:before="260" w:after="260"/>
      <w:ind w:right="284"/>
    </w:pPr>
    <w:rPr>
      <w:rFonts w:ascii="Arial" w:eastAsiaTheme="minorHAnsi" w:hAnsi="Arial" w:cstheme="minorBidi"/>
      <w:sz w:val="18"/>
      <w:szCs w:val="18"/>
      <w:lang w:eastAsia="en-US"/>
    </w:rPr>
  </w:style>
  <w:style w:type="character" w:styleId="BesgtLink">
    <w:name w:val="FollowedHyperlink"/>
    <w:basedOn w:val="Standardskrifttypeiafsnit"/>
    <w:uiPriority w:val="99"/>
    <w:semiHidden/>
    <w:rsid w:val="00A53A52"/>
    <w:rPr>
      <w:color w:val="800080" w:themeColor="followedHyperlink"/>
      <w:u w:val="single"/>
    </w:rPr>
  </w:style>
  <w:style w:type="paragraph" w:styleId="Sidefod">
    <w:name w:val="footer"/>
    <w:basedOn w:val="Normal"/>
    <w:link w:val="SidefodTegn"/>
    <w:uiPriority w:val="99"/>
    <w:semiHidden/>
    <w:rsid w:val="00A53A52"/>
    <w:pPr>
      <w:tabs>
        <w:tab w:val="center" w:pos="4819"/>
        <w:tab w:val="right" w:pos="9638"/>
      </w:tabs>
      <w:spacing w:line="168" w:lineRule="atLeast"/>
      <w:ind w:right="567"/>
    </w:pPr>
    <w:rPr>
      <w:sz w:val="14"/>
    </w:rPr>
  </w:style>
  <w:style w:type="character" w:customStyle="1" w:styleId="SidefodTegn">
    <w:name w:val="Sidefod Tegn"/>
    <w:basedOn w:val="Standardskrifttypeiafsnit"/>
    <w:link w:val="Sidefod"/>
    <w:uiPriority w:val="99"/>
    <w:semiHidden/>
    <w:rsid w:val="00A53A52"/>
    <w:rPr>
      <w:sz w:val="14"/>
    </w:rPr>
  </w:style>
  <w:style w:type="character" w:styleId="Fodnotehenvisning">
    <w:name w:val="footnote reference"/>
    <w:basedOn w:val="Standardskrifttypeiafsnit"/>
    <w:uiPriority w:val="99"/>
    <w:semiHidden/>
    <w:rsid w:val="00A53A52"/>
    <w:rPr>
      <w:rFonts w:ascii="Arial" w:hAnsi="Arial"/>
      <w:sz w:val="22"/>
      <w:vertAlign w:val="superscript"/>
      <w:lang w:val="da-DK"/>
    </w:rPr>
  </w:style>
  <w:style w:type="paragraph" w:styleId="Fodnotetekst">
    <w:name w:val="footnote text"/>
    <w:basedOn w:val="Normal"/>
    <w:link w:val="FodnotetekstTegn"/>
    <w:uiPriority w:val="9"/>
    <w:semiHidden/>
    <w:rsid w:val="00A53A52"/>
    <w:rPr>
      <w:sz w:val="18"/>
    </w:rPr>
  </w:style>
  <w:style w:type="character" w:customStyle="1" w:styleId="FodnotetekstTegn">
    <w:name w:val="Fodnotetekst Tegn"/>
    <w:basedOn w:val="Standardskrifttypeiafsnit"/>
    <w:link w:val="Fodnotetekst"/>
    <w:uiPriority w:val="9"/>
    <w:semiHidden/>
    <w:rsid w:val="00A53A52"/>
    <w:rPr>
      <w:sz w:val="18"/>
    </w:rPr>
  </w:style>
  <w:style w:type="character" w:customStyle="1" w:styleId="ForklarendeTekst">
    <w:name w:val="ForklarendeTekst"/>
    <w:basedOn w:val="Standardskrifttypeiafsnit"/>
    <w:uiPriority w:val="9"/>
    <w:semiHidden/>
    <w:rsid w:val="00A53A52"/>
    <w:rPr>
      <w:rFonts w:ascii="Georgia" w:hAnsi="Georgia"/>
      <w:i/>
      <w:color w:val="FF0000"/>
      <w:sz w:val="18"/>
      <w:u w:val="none"/>
    </w:rPr>
  </w:style>
  <w:style w:type="paragraph" w:customStyle="1" w:styleId="Forklaring">
    <w:name w:val="Forklaring"/>
    <w:basedOn w:val="Normal"/>
    <w:uiPriority w:val="9"/>
    <w:semiHidden/>
    <w:rsid w:val="00A53A52"/>
    <w:rPr>
      <w:i/>
      <w:color w:val="FF0000"/>
    </w:rPr>
  </w:style>
  <w:style w:type="character" w:styleId="HTML-akronym">
    <w:name w:val="HTML Acronym"/>
    <w:basedOn w:val="Standardskrifttypeiafsnit"/>
    <w:uiPriority w:val="99"/>
    <w:semiHidden/>
    <w:rsid w:val="00A53A52"/>
  </w:style>
  <w:style w:type="paragraph" w:styleId="HTML-adresse">
    <w:name w:val="HTML Address"/>
    <w:basedOn w:val="Normal"/>
    <w:link w:val="HTML-adresseTegn"/>
    <w:uiPriority w:val="99"/>
    <w:semiHidden/>
    <w:rsid w:val="00A53A52"/>
    <w:pPr>
      <w:spacing w:line="240" w:lineRule="auto"/>
    </w:pPr>
    <w:rPr>
      <w:i/>
      <w:iCs/>
    </w:rPr>
  </w:style>
  <w:style w:type="character" w:customStyle="1" w:styleId="HTML-adresseTegn">
    <w:name w:val="HTML-adresse Tegn"/>
    <w:basedOn w:val="Standardskrifttypeiafsnit"/>
    <w:link w:val="HTML-adresse"/>
    <w:uiPriority w:val="99"/>
    <w:semiHidden/>
    <w:rsid w:val="00A53A52"/>
    <w:rPr>
      <w:i/>
      <w:iCs/>
      <w:sz w:val="22"/>
    </w:rPr>
  </w:style>
  <w:style w:type="character" w:styleId="HTML-citat">
    <w:name w:val="HTML Cite"/>
    <w:basedOn w:val="Standardskrifttypeiafsnit"/>
    <w:uiPriority w:val="99"/>
    <w:semiHidden/>
    <w:rsid w:val="00A53A52"/>
    <w:rPr>
      <w:i/>
      <w:iCs/>
    </w:rPr>
  </w:style>
  <w:style w:type="character" w:styleId="HTML-kode">
    <w:name w:val="HTML Code"/>
    <w:basedOn w:val="Standardskrifttypeiafsnit"/>
    <w:uiPriority w:val="99"/>
    <w:semiHidden/>
    <w:rsid w:val="00A53A52"/>
    <w:rPr>
      <w:rFonts w:ascii="Consolas" w:hAnsi="Consolas" w:cs="Consolas"/>
      <w:sz w:val="20"/>
      <w:szCs w:val="20"/>
    </w:rPr>
  </w:style>
  <w:style w:type="character" w:styleId="HTML-definition">
    <w:name w:val="HTML Definition"/>
    <w:basedOn w:val="Standardskrifttypeiafsnit"/>
    <w:uiPriority w:val="99"/>
    <w:semiHidden/>
    <w:rsid w:val="00A53A52"/>
    <w:rPr>
      <w:i/>
      <w:iCs/>
    </w:rPr>
  </w:style>
  <w:style w:type="character" w:styleId="HTML-tastatur">
    <w:name w:val="HTML Keyboard"/>
    <w:basedOn w:val="Standardskrifttypeiafsnit"/>
    <w:uiPriority w:val="99"/>
    <w:semiHidden/>
    <w:rsid w:val="00A53A52"/>
    <w:rPr>
      <w:rFonts w:ascii="Consolas" w:hAnsi="Consolas" w:cs="Consolas"/>
      <w:sz w:val="20"/>
      <w:szCs w:val="20"/>
    </w:rPr>
  </w:style>
  <w:style w:type="paragraph" w:styleId="FormateretHTML">
    <w:name w:val="HTML Preformatted"/>
    <w:basedOn w:val="Normal"/>
    <w:link w:val="FormateretHTMLTegn"/>
    <w:uiPriority w:val="99"/>
    <w:semiHidden/>
    <w:rsid w:val="00A53A52"/>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A53A52"/>
    <w:rPr>
      <w:rFonts w:ascii="Consolas" w:hAnsi="Consolas" w:cs="Consolas"/>
      <w:sz w:val="22"/>
    </w:rPr>
  </w:style>
  <w:style w:type="character" w:styleId="HTML-eksempel">
    <w:name w:val="HTML Sample"/>
    <w:basedOn w:val="Standardskrifttypeiafsnit"/>
    <w:uiPriority w:val="99"/>
    <w:semiHidden/>
    <w:rsid w:val="00A53A52"/>
    <w:rPr>
      <w:rFonts w:ascii="Consolas" w:hAnsi="Consolas" w:cs="Consolas"/>
      <w:sz w:val="24"/>
      <w:szCs w:val="24"/>
    </w:rPr>
  </w:style>
  <w:style w:type="character" w:styleId="HTML-skrivemaskine">
    <w:name w:val="HTML Typewriter"/>
    <w:basedOn w:val="Standardskrifttypeiafsnit"/>
    <w:uiPriority w:val="99"/>
    <w:semiHidden/>
    <w:rsid w:val="00A53A52"/>
    <w:rPr>
      <w:rFonts w:ascii="Consolas" w:hAnsi="Consolas" w:cs="Consolas"/>
      <w:sz w:val="20"/>
      <w:szCs w:val="20"/>
    </w:rPr>
  </w:style>
  <w:style w:type="character" w:styleId="HTML-variabel">
    <w:name w:val="HTML Variable"/>
    <w:basedOn w:val="Standardskrifttypeiafsnit"/>
    <w:uiPriority w:val="99"/>
    <w:semiHidden/>
    <w:rsid w:val="00A53A52"/>
    <w:rPr>
      <w:i/>
      <w:iCs/>
    </w:rPr>
  </w:style>
  <w:style w:type="character" w:styleId="Hyperlink">
    <w:name w:val="Hyperlink"/>
    <w:basedOn w:val="Standardskrifttypeiafsnit"/>
    <w:uiPriority w:val="9"/>
    <w:semiHidden/>
    <w:rsid w:val="00A53A52"/>
    <w:rPr>
      <w:color w:val="0000FF" w:themeColor="hyperlink"/>
      <w:u w:val="single"/>
    </w:rPr>
  </w:style>
  <w:style w:type="paragraph" w:styleId="Indeks1">
    <w:name w:val="index 1"/>
    <w:basedOn w:val="Normal"/>
    <w:next w:val="Normal"/>
    <w:autoRedefine/>
    <w:uiPriority w:val="99"/>
    <w:semiHidden/>
    <w:rsid w:val="00A53A52"/>
    <w:pPr>
      <w:spacing w:line="240" w:lineRule="auto"/>
      <w:ind w:left="200" w:hanging="200"/>
    </w:pPr>
  </w:style>
  <w:style w:type="paragraph" w:styleId="Indeks2">
    <w:name w:val="index 2"/>
    <w:basedOn w:val="Normal"/>
    <w:next w:val="Normal"/>
    <w:autoRedefine/>
    <w:uiPriority w:val="99"/>
    <w:semiHidden/>
    <w:rsid w:val="00A53A52"/>
    <w:pPr>
      <w:spacing w:line="240" w:lineRule="auto"/>
      <w:ind w:left="400" w:hanging="200"/>
    </w:pPr>
  </w:style>
  <w:style w:type="paragraph" w:styleId="Indeks3">
    <w:name w:val="index 3"/>
    <w:basedOn w:val="Normal"/>
    <w:next w:val="Normal"/>
    <w:autoRedefine/>
    <w:uiPriority w:val="99"/>
    <w:semiHidden/>
    <w:rsid w:val="00A53A52"/>
    <w:pPr>
      <w:spacing w:line="240" w:lineRule="auto"/>
      <w:ind w:left="600" w:hanging="200"/>
    </w:pPr>
  </w:style>
  <w:style w:type="paragraph" w:styleId="Indeks4">
    <w:name w:val="index 4"/>
    <w:basedOn w:val="Normal"/>
    <w:next w:val="Normal"/>
    <w:autoRedefine/>
    <w:uiPriority w:val="99"/>
    <w:semiHidden/>
    <w:rsid w:val="00A53A52"/>
    <w:pPr>
      <w:spacing w:line="240" w:lineRule="auto"/>
      <w:ind w:left="800" w:hanging="200"/>
    </w:pPr>
  </w:style>
  <w:style w:type="paragraph" w:styleId="Indeks5">
    <w:name w:val="index 5"/>
    <w:basedOn w:val="Normal"/>
    <w:next w:val="Normal"/>
    <w:autoRedefine/>
    <w:uiPriority w:val="99"/>
    <w:semiHidden/>
    <w:rsid w:val="00A53A52"/>
    <w:pPr>
      <w:spacing w:line="240" w:lineRule="auto"/>
      <w:ind w:left="1000" w:hanging="200"/>
    </w:pPr>
  </w:style>
  <w:style w:type="paragraph" w:styleId="Indeks6">
    <w:name w:val="index 6"/>
    <w:basedOn w:val="Normal"/>
    <w:next w:val="Normal"/>
    <w:autoRedefine/>
    <w:uiPriority w:val="99"/>
    <w:semiHidden/>
    <w:rsid w:val="00A53A52"/>
    <w:pPr>
      <w:spacing w:line="240" w:lineRule="auto"/>
      <w:ind w:left="1200" w:hanging="200"/>
    </w:pPr>
  </w:style>
  <w:style w:type="paragraph" w:styleId="Indeks7">
    <w:name w:val="index 7"/>
    <w:basedOn w:val="Normal"/>
    <w:next w:val="Normal"/>
    <w:autoRedefine/>
    <w:uiPriority w:val="99"/>
    <w:semiHidden/>
    <w:rsid w:val="00A53A52"/>
    <w:pPr>
      <w:spacing w:line="240" w:lineRule="auto"/>
      <w:ind w:left="1400" w:hanging="200"/>
    </w:pPr>
  </w:style>
  <w:style w:type="paragraph" w:styleId="Indeks8">
    <w:name w:val="index 8"/>
    <w:basedOn w:val="Normal"/>
    <w:next w:val="Normal"/>
    <w:autoRedefine/>
    <w:uiPriority w:val="99"/>
    <w:semiHidden/>
    <w:rsid w:val="00A53A52"/>
    <w:pPr>
      <w:spacing w:line="240" w:lineRule="auto"/>
      <w:ind w:left="1600" w:hanging="200"/>
    </w:pPr>
  </w:style>
  <w:style w:type="paragraph" w:styleId="Indeks9">
    <w:name w:val="index 9"/>
    <w:basedOn w:val="Normal"/>
    <w:next w:val="Normal"/>
    <w:autoRedefine/>
    <w:uiPriority w:val="99"/>
    <w:semiHidden/>
    <w:rsid w:val="00A53A52"/>
    <w:pPr>
      <w:spacing w:line="240" w:lineRule="auto"/>
      <w:ind w:left="1800" w:hanging="200"/>
    </w:pPr>
  </w:style>
  <w:style w:type="paragraph" w:styleId="Indeksoverskrift">
    <w:name w:val="index heading"/>
    <w:basedOn w:val="Normal"/>
    <w:next w:val="Indeks1"/>
    <w:uiPriority w:val="99"/>
    <w:semiHidden/>
    <w:rsid w:val="00A53A52"/>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A53A52"/>
    <w:rPr>
      <w:b/>
      <w:bCs/>
      <w:i/>
      <w:iCs/>
      <w:color w:val="00A7B5" w:themeColor="accent1"/>
    </w:rPr>
  </w:style>
  <w:style w:type="paragraph" w:styleId="Strktcitat">
    <w:name w:val="Intense Quote"/>
    <w:basedOn w:val="Normal"/>
    <w:next w:val="Normal"/>
    <w:link w:val="StrktcitatTegn"/>
    <w:uiPriority w:val="99"/>
    <w:semiHidden/>
    <w:qFormat/>
    <w:rsid w:val="00A53A52"/>
    <w:pPr>
      <w:pBdr>
        <w:bottom w:val="single" w:sz="4" w:space="4" w:color="00A7B5" w:themeColor="accent1"/>
      </w:pBdr>
      <w:spacing w:before="200" w:after="280"/>
      <w:ind w:left="936" w:right="936"/>
    </w:pPr>
    <w:rPr>
      <w:b/>
      <w:bCs/>
      <w:i/>
      <w:iCs/>
      <w:color w:val="00A7B5" w:themeColor="accent1"/>
    </w:rPr>
  </w:style>
  <w:style w:type="character" w:customStyle="1" w:styleId="StrktcitatTegn">
    <w:name w:val="Stærkt citat Tegn"/>
    <w:basedOn w:val="Standardskrifttypeiafsnit"/>
    <w:link w:val="Strktcitat"/>
    <w:uiPriority w:val="99"/>
    <w:semiHidden/>
    <w:rsid w:val="00A53A52"/>
    <w:rPr>
      <w:b/>
      <w:bCs/>
      <w:i/>
      <w:iCs/>
      <w:color w:val="00A7B5" w:themeColor="accent1"/>
      <w:sz w:val="22"/>
    </w:rPr>
  </w:style>
  <w:style w:type="character" w:styleId="Kraftighenvisning">
    <w:name w:val="Intense Reference"/>
    <w:basedOn w:val="Standardskrifttypeiafsnit"/>
    <w:uiPriority w:val="99"/>
    <w:semiHidden/>
    <w:qFormat/>
    <w:rsid w:val="00A53A52"/>
    <w:rPr>
      <w:b/>
      <w:bCs/>
      <w:smallCaps/>
      <w:color w:val="auto"/>
      <w:spacing w:val="5"/>
      <w:u w:val="single"/>
    </w:rPr>
  </w:style>
  <w:style w:type="paragraph" w:customStyle="1" w:styleId="Kolofontekst">
    <w:name w:val="Kolofontekst"/>
    <w:basedOn w:val="Normal"/>
    <w:uiPriority w:val="9"/>
    <w:semiHidden/>
    <w:rsid w:val="00A53A52"/>
    <w:rPr>
      <w:szCs w:val="22"/>
    </w:rPr>
  </w:style>
  <w:style w:type="table" w:styleId="Lystgitter">
    <w:name w:val="Light Grid"/>
    <w:basedOn w:val="Tabel-Normal"/>
    <w:uiPriority w:val="99"/>
    <w:semiHidden/>
    <w:rsid w:val="00A53A5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A53A52"/>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18" w:space="0" w:color="00A7B5" w:themeColor="accent1"/>
          <w:right w:val="single" w:sz="8" w:space="0" w:color="00A7B5" w:themeColor="accent1"/>
          <w:insideH w:val="nil"/>
          <w:insideV w:val="single" w:sz="8" w:space="0" w:color="00A7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insideH w:val="nil"/>
          <w:insideV w:val="single" w:sz="8" w:space="0" w:color="00A7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shd w:val="clear" w:color="auto" w:fill="ADF8FF" w:themeFill="accent1" w:themeFillTint="3F"/>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shd w:val="clear" w:color="auto" w:fill="ADF8FF" w:themeFill="accent1" w:themeFillTint="3F"/>
      </w:tcPr>
    </w:tblStylePr>
    <w:tblStylePr w:type="band2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tcPr>
    </w:tblStylePr>
  </w:style>
  <w:style w:type="table" w:styleId="Lystgitter-fremhvningsfarve2">
    <w:name w:val="Light Grid Accent 2"/>
    <w:basedOn w:val="Tabel-Normal"/>
    <w:uiPriority w:val="99"/>
    <w:semiHidden/>
    <w:rsid w:val="00A53A52"/>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A53A52"/>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18" w:space="0" w:color="33B99B" w:themeColor="accent3"/>
          <w:right w:val="single" w:sz="8" w:space="0" w:color="33B99B" w:themeColor="accent3"/>
          <w:insideH w:val="nil"/>
          <w:insideV w:val="single" w:sz="8" w:space="0" w:color="33B9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insideH w:val="nil"/>
          <w:insideV w:val="single" w:sz="8" w:space="0" w:color="33B9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shd w:val="clear" w:color="auto" w:fill="C9F0E7" w:themeFill="accent3" w:themeFillTint="3F"/>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shd w:val="clear" w:color="auto" w:fill="C9F0E7" w:themeFill="accent3" w:themeFillTint="3F"/>
      </w:tcPr>
    </w:tblStylePr>
    <w:tblStylePr w:type="band2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tcPr>
    </w:tblStylePr>
  </w:style>
  <w:style w:type="table" w:styleId="Lystgitter-fremhvningsfarve4">
    <w:name w:val="Light Grid Accent 4"/>
    <w:basedOn w:val="Tabel-Normal"/>
    <w:uiPriority w:val="99"/>
    <w:semiHidden/>
    <w:rsid w:val="00A53A52"/>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A53A52"/>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18" w:space="0" w:color="EFDB6C" w:themeColor="accent5"/>
          <w:right w:val="single" w:sz="8" w:space="0" w:color="EFDB6C" w:themeColor="accent5"/>
          <w:insideH w:val="nil"/>
          <w:insideV w:val="single" w:sz="8" w:space="0" w:color="EFDB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insideH w:val="nil"/>
          <w:insideV w:val="single" w:sz="8" w:space="0" w:color="EFDB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shd w:val="clear" w:color="auto" w:fill="FBF6DA" w:themeFill="accent5" w:themeFillTint="3F"/>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shd w:val="clear" w:color="auto" w:fill="FBF6DA" w:themeFill="accent5" w:themeFillTint="3F"/>
      </w:tcPr>
    </w:tblStylePr>
    <w:tblStylePr w:type="band2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tcPr>
    </w:tblStylePr>
  </w:style>
  <w:style w:type="table" w:styleId="Lystgitter-fremhvningsfarve6">
    <w:name w:val="Light Grid Accent 6"/>
    <w:basedOn w:val="Tabel-Normal"/>
    <w:uiPriority w:val="99"/>
    <w:semiHidden/>
    <w:rsid w:val="00A53A52"/>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99"/>
    <w:semiHidden/>
    <w:rsid w:val="00A53A5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A53A52"/>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pPr>
        <w:spacing w:before="0" w:after="0" w:line="240" w:lineRule="auto"/>
      </w:pPr>
      <w:rPr>
        <w:b/>
        <w:bCs/>
        <w:color w:val="FFFFFF" w:themeColor="background1"/>
      </w:rPr>
      <w:tblPr/>
      <w:tcPr>
        <w:shd w:val="clear" w:color="auto" w:fill="00A7B5" w:themeFill="accent1"/>
      </w:tcPr>
    </w:tblStylePr>
    <w:tblStylePr w:type="lastRow">
      <w:pPr>
        <w:spacing w:before="0" w:after="0" w:line="240" w:lineRule="auto"/>
      </w:pPr>
      <w:rPr>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tcBorders>
      </w:tcPr>
    </w:tblStylePr>
    <w:tblStylePr w:type="firstCol">
      <w:rPr>
        <w:b/>
        <w:bCs/>
      </w:rPr>
    </w:tblStylePr>
    <w:tblStylePr w:type="lastCol">
      <w:rPr>
        <w:b/>
        <w:bCs/>
      </w:r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style>
  <w:style w:type="table" w:styleId="Lysliste-fremhvningsfarve2">
    <w:name w:val="Light List Accent 2"/>
    <w:basedOn w:val="Tabel-Normal"/>
    <w:uiPriority w:val="99"/>
    <w:semiHidden/>
    <w:rsid w:val="00A53A52"/>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A53A52"/>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pPr>
        <w:spacing w:before="0" w:after="0" w:line="240" w:lineRule="auto"/>
      </w:pPr>
      <w:rPr>
        <w:b/>
        <w:bCs/>
        <w:color w:val="FFFFFF" w:themeColor="background1"/>
      </w:rPr>
      <w:tblPr/>
      <w:tcPr>
        <w:shd w:val="clear" w:color="auto" w:fill="33B99B" w:themeFill="accent3"/>
      </w:tcPr>
    </w:tblStylePr>
    <w:tblStylePr w:type="lastRow">
      <w:pPr>
        <w:spacing w:before="0" w:after="0" w:line="240" w:lineRule="auto"/>
      </w:pPr>
      <w:rPr>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tcBorders>
      </w:tcPr>
    </w:tblStylePr>
    <w:tblStylePr w:type="firstCol">
      <w:rPr>
        <w:b/>
        <w:bCs/>
      </w:rPr>
    </w:tblStylePr>
    <w:tblStylePr w:type="lastCol">
      <w:rPr>
        <w:b/>
        <w:bCs/>
      </w:r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style>
  <w:style w:type="table" w:styleId="Lysliste-fremhvningsfarve4">
    <w:name w:val="Light List Accent 4"/>
    <w:basedOn w:val="Tabel-Normal"/>
    <w:uiPriority w:val="99"/>
    <w:semiHidden/>
    <w:rsid w:val="00A53A52"/>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A53A52"/>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pPr>
        <w:spacing w:before="0" w:after="0" w:line="240" w:lineRule="auto"/>
      </w:pPr>
      <w:rPr>
        <w:b/>
        <w:bCs/>
        <w:color w:val="FFFFFF" w:themeColor="background1"/>
      </w:rPr>
      <w:tblPr/>
      <w:tcPr>
        <w:shd w:val="clear" w:color="auto" w:fill="EFDB6C" w:themeFill="accent5"/>
      </w:tcPr>
    </w:tblStylePr>
    <w:tblStylePr w:type="lastRow">
      <w:pPr>
        <w:spacing w:before="0" w:after="0" w:line="240" w:lineRule="auto"/>
      </w:pPr>
      <w:rPr>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tcBorders>
      </w:tcPr>
    </w:tblStylePr>
    <w:tblStylePr w:type="firstCol">
      <w:rPr>
        <w:b/>
        <w:bCs/>
      </w:rPr>
    </w:tblStylePr>
    <w:tblStylePr w:type="lastCol">
      <w:rPr>
        <w:b/>
        <w:bCs/>
      </w:r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style>
  <w:style w:type="table" w:styleId="Lysliste-fremhvningsfarve6">
    <w:name w:val="Light List Accent 6"/>
    <w:basedOn w:val="Tabel-Normal"/>
    <w:uiPriority w:val="99"/>
    <w:semiHidden/>
    <w:rsid w:val="00A53A52"/>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99"/>
    <w:semiHidden/>
    <w:rsid w:val="00A53A5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A53A52"/>
    <w:pPr>
      <w:spacing w:line="240" w:lineRule="auto"/>
    </w:pPr>
    <w:rPr>
      <w:color w:val="007C87" w:themeColor="accent1" w:themeShade="BF"/>
    </w:rPr>
    <w:tblPr>
      <w:tblStyleRowBandSize w:val="1"/>
      <w:tblStyleColBandSize w:val="1"/>
      <w:tblBorders>
        <w:top w:val="single" w:sz="8" w:space="0" w:color="00A7B5" w:themeColor="accent1"/>
        <w:bottom w:val="single" w:sz="8" w:space="0" w:color="00A7B5" w:themeColor="accent1"/>
      </w:tblBorders>
    </w:tblPr>
    <w:tblStylePr w:type="fir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la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left w:val="nil"/>
          <w:right w:val="nil"/>
          <w:insideH w:val="nil"/>
          <w:insideV w:val="nil"/>
        </w:tcBorders>
        <w:shd w:val="clear" w:color="auto" w:fill="ADF8FF" w:themeFill="accent1" w:themeFillTint="3F"/>
      </w:tcPr>
    </w:tblStylePr>
  </w:style>
  <w:style w:type="table" w:styleId="Lysskygge-fremhvningsfarve2">
    <w:name w:val="Light Shading Accent 2"/>
    <w:basedOn w:val="Tabel-Normal"/>
    <w:uiPriority w:val="99"/>
    <w:semiHidden/>
    <w:rsid w:val="00A53A52"/>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A53A52"/>
    <w:pPr>
      <w:spacing w:line="240" w:lineRule="auto"/>
    </w:pPr>
    <w:rPr>
      <w:color w:val="268A73" w:themeColor="accent3" w:themeShade="BF"/>
    </w:rPr>
    <w:tblPr>
      <w:tblStyleRowBandSize w:val="1"/>
      <w:tblStyleColBandSize w:val="1"/>
      <w:tblBorders>
        <w:top w:val="single" w:sz="8" w:space="0" w:color="33B99B" w:themeColor="accent3"/>
        <w:bottom w:val="single" w:sz="8" w:space="0" w:color="33B99B" w:themeColor="accent3"/>
      </w:tblBorders>
    </w:tblPr>
    <w:tblStylePr w:type="fir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la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left w:val="nil"/>
          <w:right w:val="nil"/>
          <w:insideH w:val="nil"/>
          <w:insideV w:val="nil"/>
        </w:tcBorders>
        <w:shd w:val="clear" w:color="auto" w:fill="C9F0E7" w:themeFill="accent3" w:themeFillTint="3F"/>
      </w:tcPr>
    </w:tblStylePr>
  </w:style>
  <w:style w:type="table" w:styleId="Lysskygge-fremhvningsfarve4">
    <w:name w:val="Light Shading Accent 4"/>
    <w:basedOn w:val="Tabel-Normal"/>
    <w:uiPriority w:val="99"/>
    <w:semiHidden/>
    <w:rsid w:val="00A53A52"/>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A53A52"/>
    <w:pPr>
      <w:spacing w:line="240" w:lineRule="auto"/>
    </w:pPr>
    <w:rPr>
      <w:color w:val="E6C71D" w:themeColor="accent5" w:themeShade="BF"/>
    </w:rPr>
    <w:tblPr>
      <w:tblStyleRowBandSize w:val="1"/>
      <w:tblStyleColBandSize w:val="1"/>
      <w:tblBorders>
        <w:top w:val="single" w:sz="8" w:space="0" w:color="EFDB6C" w:themeColor="accent5"/>
        <w:bottom w:val="single" w:sz="8" w:space="0" w:color="EFDB6C" w:themeColor="accent5"/>
      </w:tblBorders>
    </w:tblPr>
    <w:tblStylePr w:type="fir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la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left w:val="nil"/>
          <w:right w:val="nil"/>
          <w:insideH w:val="nil"/>
          <w:insideV w:val="nil"/>
        </w:tcBorders>
        <w:shd w:val="clear" w:color="auto" w:fill="FBF6DA" w:themeFill="accent5" w:themeFillTint="3F"/>
      </w:tcPr>
    </w:tblStylePr>
  </w:style>
  <w:style w:type="table" w:styleId="Lysskygge-fremhvningsfarve6">
    <w:name w:val="Light Shading Accent 6"/>
    <w:basedOn w:val="Tabel-Normal"/>
    <w:uiPriority w:val="99"/>
    <w:semiHidden/>
    <w:rsid w:val="00A53A52"/>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rsid w:val="00A53A52"/>
  </w:style>
  <w:style w:type="paragraph" w:styleId="Liste">
    <w:name w:val="List"/>
    <w:basedOn w:val="Normal"/>
    <w:uiPriority w:val="99"/>
    <w:semiHidden/>
    <w:rsid w:val="00A53A52"/>
    <w:pPr>
      <w:ind w:left="283" w:hanging="283"/>
      <w:contextualSpacing/>
    </w:pPr>
  </w:style>
  <w:style w:type="paragraph" w:styleId="Liste2">
    <w:name w:val="List 2"/>
    <w:basedOn w:val="Normal"/>
    <w:uiPriority w:val="99"/>
    <w:semiHidden/>
    <w:rsid w:val="00A53A52"/>
    <w:pPr>
      <w:ind w:left="566" w:hanging="283"/>
      <w:contextualSpacing/>
    </w:pPr>
  </w:style>
  <w:style w:type="paragraph" w:styleId="Liste3">
    <w:name w:val="List 3"/>
    <w:basedOn w:val="Normal"/>
    <w:uiPriority w:val="99"/>
    <w:semiHidden/>
    <w:rsid w:val="00A53A52"/>
    <w:pPr>
      <w:ind w:left="849" w:hanging="283"/>
      <w:contextualSpacing/>
    </w:pPr>
  </w:style>
  <w:style w:type="paragraph" w:styleId="Liste4">
    <w:name w:val="List 4"/>
    <w:basedOn w:val="Normal"/>
    <w:uiPriority w:val="99"/>
    <w:semiHidden/>
    <w:rsid w:val="00A53A52"/>
    <w:pPr>
      <w:ind w:left="1132" w:hanging="283"/>
      <w:contextualSpacing/>
    </w:pPr>
  </w:style>
  <w:style w:type="paragraph" w:styleId="Liste5">
    <w:name w:val="List 5"/>
    <w:basedOn w:val="Normal"/>
    <w:uiPriority w:val="99"/>
    <w:semiHidden/>
    <w:rsid w:val="00A53A52"/>
    <w:pPr>
      <w:ind w:left="1415" w:hanging="283"/>
      <w:contextualSpacing/>
    </w:pPr>
  </w:style>
  <w:style w:type="paragraph" w:styleId="Opstilling-punkttegn">
    <w:name w:val="List Bullet"/>
    <w:basedOn w:val="Normal"/>
    <w:uiPriority w:val="2"/>
    <w:qFormat/>
    <w:rsid w:val="00A53A52"/>
    <w:pPr>
      <w:numPr>
        <w:numId w:val="37"/>
      </w:numPr>
    </w:pPr>
  </w:style>
  <w:style w:type="paragraph" w:styleId="Opstilling-punkttegn2">
    <w:name w:val="List Bullet 2"/>
    <w:basedOn w:val="Normal"/>
    <w:uiPriority w:val="99"/>
    <w:semiHidden/>
    <w:rsid w:val="00A53A52"/>
    <w:pPr>
      <w:numPr>
        <w:numId w:val="38"/>
      </w:numPr>
      <w:contextualSpacing/>
    </w:pPr>
  </w:style>
  <w:style w:type="paragraph" w:styleId="Opstilling-punkttegn3">
    <w:name w:val="List Bullet 3"/>
    <w:basedOn w:val="Normal"/>
    <w:uiPriority w:val="99"/>
    <w:semiHidden/>
    <w:rsid w:val="00A53A52"/>
    <w:pPr>
      <w:numPr>
        <w:numId w:val="39"/>
      </w:numPr>
      <w:contextualSpacing/>
    </w:pPr>
  </w:style>
  <w:style w:type="paragraph" w:styleId="Opstilling-punkttegn4">
    <w:name w:val="List Bullet 4"/>
    <w:basedOn w:val="Normal"/>
    <w:uiPriority w:val="99"/>
    <w:semiHidden/>
    <w:rsid w:val="00A53A52"/>
    <w:pPr>
      <w:numPr>
        <w:numId w:val="40"/>
      </w:numPr>
      <w:contextualSpacing/>
    </w:pPr>
  </w:style>
  <w:style w:type="paragraph" w:styleId="Opstilling-punkttegn5">
    <w:name w:val="List Bullet 5"/>
    <w:basedOn w:val="Normal"/>
    <w:uiPriority w:val="99"/>
    <w:semiHidden/>
    <w:rsid w:val="00A53A52"/>
    <w:pPr>
      <w:numPr>
        <w:numId w:val="41"/>
      </w:numPr>
      <w:contextualSpacing/>
    </w:pPr>
  </w:style>
  <w:style w:type="paragraph" w:styleId="Opstilling-forts">
    <w:name w:val="List Continue"/>
    <w:basedOn w:val="Normal"/>
    <w:uiPriority w:val="99"/>
    <w:semiHidden/>
    <w:rsid w:val="00A53A52"/>
    <w:pPr>
      <w:spacing w:after="120"/>
      <w:ind w:left="283"/>
      <w:contextualSpacing/>
    </w:pPr>
  </w:style>
  <w:style w:type="paragraph" w:styleId="Opstilling-forts2">
    <w:name w:val="List Continue 2"/>
    <w:basedOn w:val="Normal"/>
    <w:uiPriority w:val="99"/>
    <w:semiHidden/>
    <w:rsid w:val="00A53A52"/>
    <w:pPr>
      <w:spacing w:after="120"/>
      <w:ind w:left="566"/>
      <w:contextualSpacing/>
    </w:pPr>
  </w:style>
  <w:style w:type="paragraph" w:styleId="Opstilling-forts3">
    <w:name w:val="List Continue 3"/>
    <w:basedOn w:val="Normal"/>
    <w:uiPriority w:val="99"/>
    <w:semiHidden/>
    <w:rsid w:val="00A53A52"/>
    <w:pPr>
      <w:spacing w:after="120"/>
      <w:ind w:left="849"/>
      <w:contextualSpacing/>
    </w:pPr>
  </w:style>
  <w:style w:type="paragraph" w:styleId="Opstilling-forts4">
    <w:name w:val="List Continue 4"/>
    <w:basedOn w:val="Normal"/>
    <w:uiPriority w:val="99"/>
    <w:semiHidden/>
    <w:rsid w:val="00A53A52"/>
    <w:pPr>
      <w:spacing w:after="120"/>
      <w:ind w:left="1132"/>
      <w:contextualSpacing/>
    </w:pPr>
  </w:style>
  <w:style w:type="paragraph" w:styleId="Opstilling-forts5">
    <w:name w:val="List Continue 5"/>
    <w:basedOn w:val="Normal"/>
    <w:uiPriority w:val="99"/>
    <w:semiHidden/>
    <w:rsid w:val="00A53A52"/>
    <w:pPr>
      <w:spacing w:after="120"/>
      <w:ind w:left="1415"/>
      <w:contextualSpacing/>
    </w:pPr>
  </w:style>
  <w:style w:type="paragraph" w:styleId="Opstilling-talellerbogst">
    <w:name w:val="List Number"/>
    <w:basedOn w:val="Normal"/>
    <w:uiPriority w:val="2"/>
    <w:qFormat/>
    <w:rsid w:val="00A53A52"/>
    <w:pPr>
      <w:numPr>
        <w:numId w:val="42"/>
      </w:numPr>
      <w:contextualSpacing/>
    </w:pPr>
  </w:style>
  <w:style w:type="paragraph" w:styleId="Opstilling-talellerbogst2">
    <w:name w:val="List Number 2"/>
    <w:basedOn w:val="Normal"/>
    <w:uiPriority w:val="99"/>
    <w:semiHidden/>
    <w:rsid w:val="00A53A52"/>
    <w:pPr>
      <w:numPr>
        <w:numId w:val="43"/>
      </w:numPr>
      <w:contextualSpacing/>
    </w:pPr>
  </w:style>
  <w:style w:type="paragraph" w:styleId="Opstilling-talellerbogst3">
    <w:name w:val="List Number 3"/>
    <w:basedOn w:val="Normal"/>
    <w:uiPriority w:val="99"/>
    <w:semiHidden/>
    <w:rsid w:val="00A53A52"/>
    <w:pPr>
      <w:numPr>
        <w:numId w:val="44"/>
      </w:numPr>
      <w:contextualSpacing/>
    </w:pPr>
  </w:style>
  <w:style w:type="paragraph" w:styleId="Opstilling-talellerbogst4">
    <w:name w:val="List Number 4"/>
    <w:basedOn w:val="Normal"/>
    <w:uiPriority w:val="99"/>
    <w:semiHidden/>
    <w:rsid w:val="00A53A52"/>
    <w:pPr>
      <w:numPr>
        <w:numId w:val="45"/>
      </w:numPr>
      <w:contextualSpacing/>
    </w:pPr>
  </w:style>
  <w:style w:type="paragraph" w:styleId="Opstilling-talellerbogst5">
    <w:name w:val="List Number 5"/>
    <w:basedOn w:val="Normal"/>
    <w:uiPriority w:val="99"/>
    <w:semiHidden/>
    <w:rsid w:val="00A53A52"/>
    <w:pPr>
      <w:numPr>
        <w:numId w:val="46"/>
      </w:numPr>
      <w:contextualSpacing/>
    </w:pPr>
  </w:style>
  <w:style w:type="paragraph" w:styleId="Listeafsnit">
    <w:name w:val="List Paragraph"/>
    <w:basedOn w:val="Normal"/>
    <w:uiPriority w:val="99"/>
    <w:semiHidden/>
    <w:qFormat/>
    <w:rsid w:val="00A53A52"/>
    <w:pPr>
      <w:ind w:left="720"/>
      <w:contextualSpacing/>
    </w:pPr>
  </w:style>
  <w:style w:type="paragraph" w:styleId="Makrotekst">
    <w:name w:val="macro"/>
    <w:link w:val="MakrotekstTegn"/>
    <w:uiPriority w:val="99"/>
    <w:semiHidden/>
    <w:rsid w:val="00A53A5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A53A52"/>
    <w:rPr>
      <w:rFonts w:ascii="Consolas" w:hAnsi="Consolas" w:cs="Consolas"/>
    </w:rPr>
  </w:style>
  <w:style w:type="table" w:styleId="Mediumgitter1">
    <w:name w:val="Medium Grid 1"/>
    <w:basedOn w:val="Tabel-Normal"/>
    <w:uiPriority w:val="99"/>
    <w:semiHidden/>
    <w:rsid w:val="00A53A5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A53A52"/>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insideV w:val="single" w:sz="8" w:space="0" w:color="08EBFF" w:themeColor="accent1" w:themeTint="BF"/>
      </w:tblBorders>
    </w:tblPr>
    <w:tcPr>
      <w:shd w:val="clear" w:color="auto" w:fill="ADF8FF" w:themeFill="accent1" w:themeFillTint="3F"/>
    </w:tcPr>
    <w:tblStylePr w:type="firstRow">
      <w:rPr>
        <w:b/>
        <w:bCs/>
      </w:rPr>
    </w:tblStylePr>
    <w:tblStylePr w:type="lastRow">
      <w:rPr>
        <w:b/>
        <w:bCs/>
      </w:rPr>
      <w:tblPr/>
      <w:tcPr>
        <w:tcBorders>
          <w:top w:val="single" w:sz="18" w:space="0" w:color="08EBFF" w:themeColor="accent1" w:themeTint="BF"/>
        </w:tcBorders>
      </w:tcPr>
    </w:tblStylePr>
    <w:tblStylePr w:type="firstCol">
      <w:rPr>
        <w:b/>
        <w:bCs/>
      </w:rPr>
    </w:tblStylePr>
    <w:tblStylePr w:type="lastCol">
      <w:rPr>
        <w:b/>
        <w:bCs/>
      </w:r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Mediumgitter1-fremhvningsfarve2">
    <w:name w:val="Medium Grid 1 Accent 2"/>
    <w:basedOn w:val="Tabel-Normal"/>
    <w:uiPriority w:val="99"/>
    <w:semiHidden/>
    <w:rsid w:val="00A53A52"/>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A53A52"/>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insideV w:val="single" w:sz="8" w:space="0" w:color="5ED2B8" w:themeColor="accent3" w:themeTint="BF"/>
      </w:tblBorders>
    </w:tblPr>
    <w:tcPr>
      <w:shd w:val="clear" w:color="auto" w:fill="C9F0E7" w:themeFill="accent3" w:themeFillTint="3F"/>
    </w:tcPr>
    <w:tblStylePr w:type="firstRow">
      <w:rPr>
        <w:b/>
        <w:bCs/>
      </w:rPr>
    </w:tblStylePr>
    <w:tblStylePr w:type="lastRow">
      <w:rPr>
        <w:b/>
        <w:bCs/>
      </w:rPr>
      <w:tblPr/>
      <w:tcPr>
        <w:tcBorders>
          <w:top w:val="single" w:sz="18" w:space="0" w:color="5ED2B8" w:themeColor="accent3" w:themeTint="BF"/>
        </w:tcBorders>
      </w:tcPr>
    </w:tblStylePr>
    <w:tblStylePr w:type="firstCol">
      <w:rPr>
        <w:b/>
        <w:bCs/>
      </w:rPr>
    </w:tblStylePr>
    <w:tblStylePr w:type="lastCol">
      <w:rPr>
        <w:b/>
        <w:bCs/>
      </w:r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Mediumgitter1-fremhvningsfarve4">
    <w:name w:val="Medium Grid 1 Accent 4"/>
    <w:basedOn w:val="Tabel-Normal"/>
    <w:uiPriority w:val="99"/>
    <w:semiHidden/>
    <w:rsid w:val="00A53A52"/>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A53A52"/>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insideV w:val="single" w:sz="8" w:space="0" w:color="F3E390" w:themeColor="accent5" w:themeTint="BF"/>
      </w:tblBorders>
    </w:tblPr>
    <w:tcPr>
      <w:shd w:val="clear" w:color="auto" w:fill="FBF6DA" w:themeFill="accent5" w:themeFillTint="3F"/>
    </w:tcPr>
    <w:tblStylePr w:type="firstRow">
      <w:rPr>
        <w:b/>
        <w:bCs/>
      </w:rPr>
    </w:tblStylePr>
    <w:tblStylePr w:type="lastRow">
      <w:rPr>
        <w:b/>
        <w:bCs/>
      </w:rPr>
      <w:tblPr/>
      <w:tcPr>
        <w:tcBorders>
          <w:top w:val="single" w:sz="18" w:space="0" w:color="F3E390" w:themeColor="accent5" w:themeTint="BF"/>
        </w:tcBorders>
      </w:tcPr>
    </w:tblStylePr>
    <w:tblStylePr w:type="firstCol">
      <w:rPr>
        <w:b/>
        <w:bCs/>
      </w:rPr>
    </w:tblStylePr>
    <w:tblStylePr w:type="lastCol">
      <w:rPr>
        <w:b/>
        <w:bCs/>
      </w:r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Mediumgitter1-fremhvningsfarve6">
    <w:name w:val="Medium Grid 1 Accent 6"/>
    <w:basedOn w:val="Tabel-Normal"/>
    <w:uiPriority w:val="99"/>
    <w:semiHidden/>
    <w:rsid w:val="00A53A52"/>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cPr>
      <w:shd w:val="clear" w:color="auto" w:fill="ADF8FF" w:themeFill="accent1" w:themeFillTint="3F"/>
    </w:tcPr>
    <w:tblStylePr w:type="firstRow">
      <w:rPr>
        <w:b/>
        <w:bCs/>
        <w:color w:val="000000" w:themeColor="text1"/>
      </w:rPr>
      <w:tblPr/>
      <w:tcPr>
        <w:shd w:val="clear" w:color="auto" w:fill="DE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1" w:themeFillTint="33"/>
      </w:tcPr>
    </w:tblStylePr>
    <w:tblStylePr w:type="band1Vert">
      <w:tblPr/>
      <w:tcPr>
        <w:shd w:val="clear" w:color="auto" w:fill="5BF2FF" w:themeFill="accent1" w:themeFillTint="7F"/>
      </w:tcPr>
    </w:tblStylePr>
    <w:tblStylePr w:type="band1Horz">
      <w:tblPr/>
      <w:tcPr>
        <w:tcBorders>
          <w:insideH w:val="single" w:sz="6" w:space="0" w:color="00A7B5" w:themeColor="accent1"/>
          <w:insideV w:val="single" w:sz="6" w:space="0" w:color="00A7B5" w:themeColor="accent1"/>
        </w:tcBorders>
        <w:shd w:val="clear" w:color="auto" w:fill="5BF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cPr>
      <w:shd w:val="clear" w:color="auto" w:fill="C9F0E7" w:themeFill="accent3" w:themeFillTint="3F"/>
    </w:tcPr>
    <w:tblStylePr w:type="firstRow">
      <w:rPr>
        <w:b/>
        <w:bCs/>
        <w:color w:val="000000" w:themeColor="text1"/>
      </w:rPr>
      <w:tblPr/>
      <w:tcPr>
        <w:shd w:val="clear" w:color="auto" w:fill="E9F9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3EC" w:themeFill="accent3" w:themeFillTint="33"/>
      </w:tcPr>
    </w:tblStylePr>
    <w:tblStylePr w:type="band1Vert">
      <w:tblPr/>
      <w:tcPr>
        <w:shd w:val="clear" w:color="auto" w:fill="93E1CF" w:themeFill="accent3" w:themeFillTint="7F"/>
      </w:tcPr>
    </w:tblStylePr>
    <w:tblStylePr w:type="band1Horz">
      <w:tblPr/>
      <w:tcPr>
        <w:tcBorders>
          <w:insideH w:val="single" w:sz="6" w:space="0" w:color="33B99B" w:themeColor="accent3"/>
          <w:insideV w:val="single" w:sz="6" w:space="0" w:color="33B99B" w:themeColor="accent3"/>
        </w:tcBorders>
        <w:shd w:val="clear" w:color="auto" w:fill="93E1C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cPr>
      <w:shd w:val="clear" w:color="auto" w:fill="FBF6DA" w:themeFill="accent5" w:themeFillTint="3F"/>
    </w:tcPr>
    <w:tblStylePr w:type="firstRow">
      <w:rPr>
        <w:b/>
        <w:bCs/>
        <w:color w:val="000000" w:themeColor="text1"/>
      </w:rPr>
      <w:tblPr/>
      <w:tcPr>
        <w:shd w:val="clear" w:color="auto" w:fill="FDFB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5" w:themeFillTint="33"/>
      </w:tcPr>
    </w:tblStylePr>
    <w:tblStylePr w:type="band1Vert">
      <w:tblPr/>
      <w:tcPr>
        <w:shd w:val="clear" w:color="auto" w:fill="F7EDB5" w:themeFill="accent5" w:themeFillTint="7F"/>
      </w:tcPr>
    </w:tblStylePr>
    <w:tblStylePr w:type="band1Horz">
      <w:tblPr/>
      <w:tcPr>
        <w:tcBorders>
          <w:insideH w:val="single" w:sz="6" w:space="0" w:color="EFDB6C" w:themeColor="accent5"/>
          <w:insideV w:val="single" w:sz="6" w:space="0" w:color="EFDB6C" w:themeColor="accent5"/>
        </w:tcBorders>
        <w:shd w:val="clear" w:color="auto" w:fill="F7EDB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1" w:themeFillTint="7F"/>
      </w:tcPr>
    </w:tblStylePr>
  </w:style>
  <w:style w:type="table" w:styleId="Mediumgitter3-fremhvningsfarve2">
    <w:name w:val="Medium Grid 3 Accent 2"/>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0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1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1CF" w:themeFill="accent3" w:themeFillTint="7F"/>
      </w:tcPr>
    </w:tblStylePr>
  </w:style>
  <w:style w:type="table" w:styleId="Mediumgitter3-fremhvningsfarve4">
    <w:name w:val="Medium Grid 3 Accent 4"/>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5" w:themeFillTint="7F"/>
      </w:tcPr>
    </w:tblStylePr>
  </w:style>
  <w:style w:type="table" w:styleId="Mediumgitter3-fremhvningsfarve6">
    <w:name w:val="Medium Grid 3 Accent 6"/>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99"/>
    <w:semiHidden/>
    <w:rsid w:val="00A53A5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9E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A53A52"/>
    <w:pPr>
      <w:spacing w:line="240" w:lineRule="auto"/>
    </w:pPr>
    <w:rPr>
      <w:color w:val="000000" w:themeColor="text1"/>
    </w:rPr>
    <w:tblPr>
      <w:tblStyleRowBandSize w:val="1"/>
      <w:tblStyleColBandSize w:val="1"/>
      <w:tblBorders>
        <w:top w:val="single" w:sz="8" w:space="0" w:color="00A7B5" w:themeColor="accent1"/>
        <w:bottom w:val="single" w:sz="8" w:space="0" w:color="00A7B5" w:themeColor="accent1"/>
      </w:tblBorders>
    </w:tblPr>
    <w:tblStylePr w:type="firstRow">
      <w:rPr>
        <w:rFonts w:asciiTheme="majorHAnsi" w:eastAsiaTheme="majorEastAsia" w:hAnsiTheme="majorHAnsi" w:cstheme="majorBidi"/>
      </w:rPr>
      <w:tblPr/>
      <w:tcPr>
        <w:tcBorders>
          <w:top w:val="nil"/>
          <w:bottom w:val="single" w:sz="8" w:space="0" w:color="00A7B5" w:themeColor="accent1"/>
        </w:tcBorders>
      </w:tcPr>
    </w:tblStylePr>
    <w:tblStylePr w:type="lastRow">
      <w:rPr>
        <w:b/>
        <w:bCs/>
        <w:color w:val="BFE9EC" w:themeColor="text2"/>
      </w:rPr>
      <w:tblPr/>
      <w:tcPr>
        <w:tcBorders>
          <w:top w:val="single" w:sz="8" w:space="0" w:color="00A7B5" w:themeColor="accent1"/>
          <w:bottom w:val="single" w:sz="8" w:space="0" w:color="00A7B5" w:themeColor="accent1"/>
        </w:tcBorders>
      </w:tcPr>
    </w:tblStylePr>
    <w:tblStylePr w:type="firstCol">
      <w:rPr>
        <w:b/>
        <w:bCs/>
      </w:rPr>
    </w:tblStylePr>
    <w:tblStylePr w:type="lastCol">
      <w:rPr>
        <w:b/>
        <w:bCs/>
      </w:rPr>
      <w:tblPr/>
      <w:tcPr>
        <w:tcBorders>
          <w:top w:val="single" w:sz="8" w:space="0" w:color="00A7B5" w:themeColor="accent1"/>
          <w:bottom w:val="single" w:sz="8" w:space="0" w:color="00A7B5" w:themeColor="accent1"/>
        </w:tcBorders>
      </w:tcPr>
    </w:tblStylePr>
    <w:tblStylePr w:type="band1Vert">
      <w:tblPr/>
      <w:tcPr>
        <w:shd w:val="clear" w:color="auto" w:fill="ADF8FF" w:themeFill="accent1" w:themeFillTint="3F"/>
      </w:tcPr>
    </w:tblStylePr>
    <w:tblStylePr w:type="band1Horz">
      <w:tblPr/>
      <w:tcPr>
        <w:shd w:val="clear" w:color="auto" w:fill="ADF8FF" w:themeFill="accent1" w:themeFillTint="3F"/>
      </w:tcPr>
    </w:tblStylePr>
  </w:style>
  <w:style w:type="table" w:styleId="Mediumliste1-fremhvningsfarve2">
    <w:name w:val="Medium List 1 Accent 2"/>
    <w:basedOn w:val="Tabel-Normal"/>
    <w:uiPriority w:val="99"/>
    <w:semiHidden/>
    <w:rsid w:val="00A53A52"/>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9EC"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A53A52"/>
    <w:pPr>
      <w:spacing w:line="240" w:lineRule="auto"/>
    </w:pPr>
    <w:rPr>
      <w:color w:val="000000" w:themeColor="text1"/>
    </w:rPr>
    <w:tblPr>
      <w:tblStyleRowBandSize w:val="1"/>
      <w:tblStyleColBandSize w:val="1"/>
      <w:tblBorders>
        <w:top w:val="single" w:sz="8" w:space="0" w:color="33B99B" w:themeColor="accent3"/>
        <w:bottom w:val="single" w:sz="8" w:space="0" w:color="33B99B" w:themeColor="accent3"/>
      </w:tblBorders>
    </w:tblPr>
    <w:tblStylePr w:type="firstRow">
      <w:rPr>
        <w:rFonts w:asciiTheme="majorHAnsi" w:eastAsiaTheme="majorEastAsia" w:hAnsiTheme="majorHAnsi" w:cstheme="majorBidi"/>
      </w:rPr>
      <w:tblPr/>
      <w:tcPr>
        <w:tcBorders>
          <w:top w:val="nil"/>
          <w:bottom w:val="single" w:sz="8" w:space="0" w:color="33B99B" w:themeColor="accent3"/>
        </w:tcBorders>
      </w:tcPr>
    </w:tblStylePr>
    <w:tblStylePr w:type="lastRow">
      <w:rPr>
        <w:b/>
        <w:bCs/>
        <w:color w:val="BFE9EC" w:themeColor="text2"/>
      </w:rPr>
      <w:tblPr/>
      <w:tcPr>
        <w:tcBorders>
          <w:top w:val="single" w:sz="8" w:space="0" w:color="33B99B" w:themeColor="accent3"/>
          <w:bottom w:val="single" w:sz="8" w:space="0" w:color="33B99B" w:themeColor="accent3"/>
        </w:tcBorders>
      </w:tcPr>
    </w:tblStylePr>
    <w:tblStylePr w:type="firstCol">
      <w:rPr>
        <w:b/>
        <w:bCs/>
      </w:rPr>
    </w:tblStylePr>
    <w:tblStylePr w:type="lastCol">
      <w:rPr>
        <w:b/>
        <w:bCs/>
      </w:rPr>
      <w:tblPr/>
      <w:tcPr>
        <w:tcBorders>
          <w:top w:val="single" w:sz="8" w:space="0" w:color="33B99B" w:themeColor="accent3"/>
          <w:bottom w:val="single" w:sz="8" w:space="0" w:color="33B99B" w:themeColor="accent3"/>
        </w:tcBorders>
      </w:tcPr>
    </w:tblStylePr>
    <w:tblStylePr w:type="band1Vert">
      <w:tblPr/>
      <w:tcPr>
        <w:shd w:val="clear" w:color="auto" w:fill="C9F0E7" w:themeFill="accent3" w:themeFillTint="3F"/>
      </w:tcPr>
    </w:tblStylePr>
    <w:tblStylePr w:type="band1Horz">
      <w:tblPr/>
      <w:tcPr>
        <w:shd w:val="clear" w:color="auto" w:fill="C9F0E7" w:themeFill="accent3" w:themeFillTint="3F"/>
      </w:tcPr>
    </w:tblStylePr>
  </w:style>
  <w:style w:type="table" w:styleId="Mediumliste1-fremhvningsfarve4">
    <w:name w:val="Medium List 1 Accent 4"/>
    <w:basedOn w:val="Tabel-Normal"/>
    <w:uiPriority w:val="99"/>
    <w:semiHidden/>
    <w:rsid w:val="00A53A52"/>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E9EC"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A53A52"/>
    <w:pPr>
      <w:spacing w:line="240" w:lineRule="auto"/>
    </w:pPr>
    <w:rPr>
      <w:color w:val="000000" w:themeColor="text1"/>
    </w:rPr>
    <w:tblPr>
      <w:tblStyleRowBandSize w:val="1"/>
      <w:tblStyleColBandSize w:val="1"/>
      <w:tblBorders>
        <w:top w:val="single" w:sz="8" w:space="0" w:color="EFDB6C" w:themeColor="accent5"/>
        <w:bottom w:val="single" w:sz="8" w:space="0" w:color="EFDB6C" w:themeColor="accent5"/>
      </w:tblBorders>
    </w:tblPr>
    <w:tblStylePr w:type="firstRow">
      <w:rPr>
        <w:rFonts w:asciiTheme="majorHAnsi" w:eastAsiaTheme="majorEastAsia" w:hAnsiTheme="majorHAnsi" w:cstheme="majorBidi"/>
      </w:rPr>
      <w:tblPr/>
      <w:tcPr>
        <w:tcBorders>
          <w:top w:val="nil"/>
          <w:bottom w:val="single" w:sz="8" w:space="0" w:color="EFDB6C" w:themeColor="accent5"/>
        </w:tcBorders>
      </w:tcPr>
    </w:tblStylePr>
    <w:tblStylePr w:type="lastRow">
      <w:rPr>
        <w:b/>
        <w:bCs/>
        <w:color w:val="BFE9EC" w:themeColor="text2"/>
      </w:rPr>
      <w:tblPr/>
      <w:tcPr>
        <w:tcBorders>
          <w:top w:val="single" w:sz="8" w:space="0" w:color="EFDB6C" w:themeColor="accent5"/>
          <w:bottom w:val="single" w:sz="8" w:space="0" w:color="EFDB6C" w:themeColor="accent5"/>
        </w:tcBorders>
      </w:tcPr>
    </w:tblStylePr>
    <w:tblStylePr w:type="firstCol">
      <w:rPr>
        <w:b/>
        <w:bCs/>
      </w:rPr>
    </w:tblStylePr>
    <w:tblStylePr w:type="lastCol">
      <w:rPr>
        <w:b/>
        <w:bCs/>
      </w:rPr>
      <w:tblPr/>
      <w:tcPr>
        <w:tcBorders>
          <w:top w:val="single" w:sz="8" w:space="0" w:color="EFDB6C" w:themeColor="accent5"/>
          <w:bottom w:val="single" w:sz="8" w:space="0" w:color="EFDB6C" w:themeColor="accent5"/>
        </w:tcBorders>
      </w:tcPr>
    </w:tblStylePr>
    <w:tblStylePr w:type="band1Vert">
      <w:tblPr/>
      <w:tcPr>
        <w:shd w:val="clear" w:color="auto" w:fill="FBF6DA" w:themeFill="accent5" w:themeFillTint="3F"/>
      </w:tcPr>
    </w:tblStylePr>
    <w:tblStylePr w:type="band1Horz">
      <w:tblPr/>
      <w:tcPr>
        <w:shd w:val="clear" w:color="auto" w:fill="FBF6DA" w:themeFill="accent5" w:themeFillTint="3F"/>
      </w:tcPr>
    </w:tblStylePr>
  </w:style>
  <w:style w:type="table" w:styleId="Mediumliste1-fremhvningsfarve6">
    <w:name w:val="Medium List 1 Accent 6"/>
    <w:basedOn w:val="Tabel-Normal"/>
    <w:uiPriority w:val="99"/>
    <w:semiHidden/>
    <w:rsid w:val="00A53A52"/>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9EC"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rPr>
        <w:sz w:val="24"/>
        <w:szCs w:val="24"/>
      </w:rPr>
      <w:tblPr/>
      <w:tcPr>
        <w:tcBorders>
          <w:top w:val="nil"/>
          <w:left w:val="nil"/>
          <w:bottom w:val="single" w:sz="24" w:space="0" w:color="00A7B5" w:themeColor="accent1"/>
          <w:right w:val="nil"/>
          <w:insideH w:val="nil"/>
          <w:insideV w:val="nil"/>
        </w:tcBorders>
        <w:shd w:val="clear" w:color="auto" w:fill="FFFFFF" w:themeFill="background1"/>
      </w:tcPr>
    </w:tblStylePr>
    <w:tblStylePr w:type="lastRow">
      <w:tblPr/>
      <w:tcPr>
        <w:tcBorders>
          <w:top w:val="single" w:sz="8" w:space="0" w:color="00A7B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1"/>
          <w:insideH w:val="nil"/>
          <w:insideV w:val="nil"/>
        </w:tcBorders>
        <w:shd w:val="clear" w:color="auto" w:fill="FFFFFF" w:themeFill="background1"/>
      </w:tcPr>
    </w:tblStylePr>
    <w:tblStylePr w:type="lastCol">
      <w:tblPr/>
      <w:tcPr>
        <w:tcBorders>
          <w:top w:val="nil"/>
          <w:left w:val="single" w:sz="8" w:space="0" w:color="00A7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top w:val="nil"/>
          <w:bottom w:val="nil"/>
          <w:insideH w:val="nil"/>
          <w:insideV w:val="nil"/>
        </w:tcBorders>
        <w:shd w:val="clear" w:color="auto" w:fill="AD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rPr>
        <w:sz w:val="24"/>
        <w:szCs w:val="24"/>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tblPr/>
      <w:tcPr>
        <w:tcBorders>
          <w:top w:val="single" w:sz="8" w:space="0" w:color="33B9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9B" w:themeColor="accent3"/>
          <w:insideH w:val="nil"/>
          <w:insideV w:val="nil"/>
        </w:tcBorders>
        <w:shd w:val="clear" w:color="auto" w:fill="FFFFFF" w:themeFill="background1"/>
      </w:tcPr>
    </w:tblStylePr>
    <w:tblStylePr w:type="lastCol">
      <w:tblPr/>
      <w:tcPr>
        <w:tcBorders>
          <w:top w:val="nil"/>
          <w:left w:val="single" w:sz="8" w:space="0" w:color="33B9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top w:val="nil"/>
          <w:bottom w:val="nil"/>
          <w:insideH w:val="nil"/>
          <w:insideV w:val="nil"/>
        </w:tcBorders>
        <w:shd w:val="clear" w:color="auto" w:fill="C9F0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rPr>
        <w:sz w:val="24"/>
        <w:szCs w:val="24"/>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tblPr/>
      <w:tcPr>
        <w:tcBorders>
          <w:top w:val="single" w:sz="8" w:space="0" w:color="EFDB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5"/>
          <w:insideH w:val="nil"/>
          <w:insideV w:val="nil"/>
        </w:tcBorders>
        <w:shd w:val="clear" w:color="auto" w:fill="FFFFFF" w:themeFill="background1"/>
      </w:tcPr>
    </w:tblStylePr>
    <w:tblStylePr w:type="lastCol">
      <w:tblPr/>
      <w:tcPr>
        <w:tcBorders>
          <w:top w:val="nil"/>
          <w:left w:val="single" w:sz="8" w:space="0" w:color="EFDB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top w:val="nil"/>
          <w:bottom w:val="nil"/>
          <w:insideH w:val="nil"/>
          <w:insideV w:val="nil"/>
        </w:tcBorders>
        <w:shd w:val="clear" w:color="auto" w:fill="FBF6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A53A5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A53A52"/>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tblBorders>
    </w:tblPr>
    <w:tblStylePr w:type="firstRow">
      <w:pPr>
        <w:spacing w:before="0" w:after="0" w:line="240" w:lineRule="auto"/>
      </w:pPr>
      <w:rPr>
        <w:b/>
        <w:bCs/>
        <w:color w:val="FFFFFF" w:themeColor="background1"/>
      </w:rPr>
      <w:tblPr/>
      <w:tcPr>
        <w:tc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shd w:val="clear" w:color="auto" w:fill="00A7B5" w:themeFill="accent1"/>
      </w:tcPr>
    </w:tblStylePr>
    <w:tblStylePr w:type="lastRow">
      <w:pPr>
        <w:spacing w:before="0" w:after="0" w:line="240" w:lineRule="auto"/>
      </w:pPr>
      <w:rPr>
        <w:b/>
        <w:bCs/>
      </w:rPr>
      <w:tblPr/>
      <w:tcPr>
        <w:tcBorders>
          <w:top w:val="double" w:sz="6"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1" w:themeFillTint="3F"/>
      </w:tcPr>
    </w:tblStylePr>
    <w:tblStylePr w:type="band1Horz">
      <w:tblPr/>
      <w:tcPr>
        <w:tcBorders>
          <w:insideH w:val="nil"/>
          <w:insideV w:val="nil"/>
        </w:tcBorders>
        <w:shd w:val="clear" w:color="auto" w:fill="ADF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A53A52"/>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A53A52"/>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tblBorders>
    </w:tblPr>
    <w:tblStylePr w:type="firstRow">
      <w:pPr>
        <w:spacing w:before="0" w:after="0" w:line="240" w:lineRule="auto"/>
      </w:pPr>
      <w:rPr>
        <w:b/>
        <w:bCs/>
        <w:color w:val="FFFFFF" w:themeColor="background1"/>
      </w:rPr>
      <w:tblPr/>
      <w:tcPr>
        <w:tc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shd w:val="clear" w:color="auto" w:fill="33B99B" w:themeFill="accent3"/>
      </w:tcPr>
    </w:tblStylePr>
    <w:tblStylePr w:type="lastRow">
      <w:pPr>
        <w:spacing w:before="0" w:after="0" w:line="240" w:lineRule="auto"/>
      </w:pPr>
      <w:rPr>
        <w:b/>
        <w:bCs/>
      </w:rPr>
      <w:tblPr/>
      <w:tcPr>
        <w:tcBorders>
          <w:top w:val="double" w:sz="6"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0E7" w:themeFill="accent3" w:themeFillTint="3F"/>
      </w:tcPr>
    </w:tblStylePr>
    <w:tblStylePr w:type="band1Horz">
      <w:tblPr/>
      <w:tcPr>
        <w:tcBorders>
          <w:insideH w:val="nil"/>
          <w:insideV w:val="nil"/>
        </w:tcBorders>
        <w:shd w:val="clear" w:color="auto" w:fill="C9F0E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A53A52"/>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A53A52"/>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tblBorders>
    </w:tblPr>
    <w:tblStylePr w:type="firstRow">
      <w:pPr>
        <w:spacing w:before="0" w:after="0" w:line="240" w:lineRule="auto"/>
      </w:pPr>
      <w:rPr>
        <w:b/>
        <w:bCs/>
        <w:color w:val="FFFFFF" w:themeColor="background1"/>
      </w:rPr>
      <w:tblPr/>
      <w:tcPr>
        <w:tc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shd w:val="clear" w:color="auto" w:fill="EFDB6C" w:themeFill="accent5"/>
      </w:tcPr>
    </w:tblStylePr>
    <w:tblStylePr w:type="lastRow">
      <w:pPr>
        <w:spacing w:before="0" w:after="0" w:line="240" w:lineRule="auto"/>
      </w:pPr>
      <w:rPr>
        <w:b/>
        <w:bCs/>
      </w:rPr>
      <w:tblPr/>
      <w:tcPr>
        <w:tcBorders>
          <w:top w:val="double" w:sz="6"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5" w:themeFillTint="3F"/>
      </w:tcPr>
    </w:tblStylePr>
    <w:tblStylePr w:type="band1Horz">
      <w:tblPr/>
      <w:tcPr>
        <w:tcBorders>
          <w:insideH w:val="nil"/>
          <w:insideV w:val="nil"/>
        </w:tcBorders>
        <w:shd w:val="clear" w:color="auto" w:fill="FBF6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A53A52"/>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B5" w:themeFill="accent1"/>
      </w:tcPr>
    </w:tblStylePr>
    <w:tblStylePr w:type="lastCol">
      <w:rPr>
        <w:b/>
        <w:bCs/>
        <w:color w:val="FFFFFF" w:themeColor="background1"/>
      </w:rPr>
      <w:tblPr/>
      <w:tcPr>
        <w:tcBorders>
          <w:left w:val="nil"/>
          <w:right w:val="nil"/>
          <w:insideH w:val="nil"/>
          <w:insideV w:val="nil"/>
        </w:tcBorders>
        <w:shd w:val="clear" w:color="auto" w:fill="00A7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9B" w:themeFill="accent3"/>
      </w:tcPr>
    </w:tblStylePr>
    <w:tblStylePr w:type="lastCol">
      <w:rPr>
        <w:b/>
        <w:bCs/>
        <w:color w:val="FFFFFF" w:themeColor="background1"/>
      </w:rPr>
      <w:tblPr/>
      <w:tcPr>
        <w:tcBorders>
          <w:left w:val="nil"/>
          <w:right w:val="nil"/>
          <w:insideH w:val="nil"/>
          <w:insideV w:val="nil"/>
        </w:tcBorders>
        <w:shd w:val="clear" w:color="auto" w:fill="33B9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5"/>
      </w:tcPr>
    </w:tblStylePr>
    <w:tblStylePr w:type="lastCol">
      <w:rPr>
        <w:b/>
        <w:bCs/>
        <w:color w:val="FFFFFF" w:themeColor="background1"/>
      </w:rPr>
      <w:tblPr/>
      <w:tcPr>
        <w:tcBorders>
          <w:left w:val="nil"/>
          <w:right w:val="nil"/>
          <w:insideH w:val="nil"/>
          <w:insideV w:val="nil"/>
        </w:tcBorders>
        <w:shd w:val="clear" w:color="auto" w:fill="EFDB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A53A5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A53A52"/>
    <w:rPr>
      <w:rFonts w:asciiTheme="majorHAnsi" w:eastAsiaTheme="majorEastAsia" w:hAnsiTheme="majorHAnsi" w:cstheme="majorBidi"/>
      <w:sz w:val="24"/>
      <w:shd w:val="pct20" w:color="auto" w:fill="auto"/>
    </w:rPr>
  </w:style>
  <w:style w:type="paragraph" w:styleId="Ingenafstand">
    <w:name w:val="No Spacing"/>
    <w:uiPriority w:val="99"/>
    <w:semiHidden/>
    <w:qFormat/>
    <w:rsid w:val="00A53A52"/>
    <w:pPr>
      <w:spacing w:line="240" w:lineRule="auto"/>
    </w:pPr>
    <w:rPr>
      <w:szCs w:val="24"/>
    </w:rPr>
  </w:style>
  <w:style w:type="paragraph" w:styleId="NormalWeb">
    <w:name w:val="Normal (Web)"/>
    <w:basedOn w:val="Normal"/>
    <w:uiPriority w:val="99"/>
    <w:semiHidden/>
    <w:rsid w:val="00A53A52"/>
    <w:rPr>
      <w:rFonts w:ascii="Times New Roman" w:hAnsi="Times New Roman"/>
      <w:sz w:val="24"/>
    </w:rPr>
  </w:style>
  <w:style w:type="paragraph" w:styleId="Normalindrykning">
    <w:name w:val="Normal Indent"/>
    <w:basedOn w:val="Normal"/>
    <w:uiPriority w:val="99"/>
    <w:semiHidden/>
    <w:rsid w:val="00A53A52"/>
    <w:pPr>
      <w:ind w:left="1304"/>
    </w:pPr>
  </w:style>
  <w:style w:type="paragraph" w:styleId="Noteoverskrift">
    <w:name w:val="Note Heading"/>
    <w:basedOn w:val="Normal"/>
    <w:next w:val="Normal"/>
    <w:link w:val="NoteoverskriftTegn"/>
    <w:uiPriority w:val="99"/>
    <w:semiHidden/>
    <w:rsid w:val="00A53A52"/>
    <w:pPr>
      <w:spacing w:line="240" w:lineRule="auto"/>
    </w:pPr>
  </w:style>
  <w:style w:type="character" w:customStyle="1" w:styleId="NoteoverskriftTegn">
    <w:name w:val="Noteoverskrift Tegn"/>
    <w:basedOn w:val="Standardskrifttypeiafsnit"/>
    <w:link w:val="Noteoverskrift"/>
    <w:uiPriority w:val="99"/>
    <w:semiHidden/>
    <w:rsid w:val="00A53A52"/>
    <w:rPr>
      <w:sz w:val="22"/>
    </w:rPr>
  </w:style>
  <w:style w:type="character" w:styleId="Sidetal">
    <w:name w:val="page number"/>
    <w:basedOn w:val="Standardskrifttypeiafsnit"/>
    <w:uiPriority w:val="99"/>
    <w:semiHidden/>
    <w:rsid w:val="00A53A52"/>
    <w:rPr>
      <w:rFonts w:ascii="Georgia" w:hAnsi="Georgia"/>
      <w:sz w:val="20"/>
    </w:rPr>
  </w:style>
  <w:style w:type="character" w:customStyle="1" w:styleId="ParadigmeKommentar">
    <w:name w:val="ParadigmeKommentar"/>
    <w:basedOn w:val="ForklarendeTekst"/>
    <w:uiPriority w:val="7"/>
    <w:rsid w:val="00A53A52"/>
    <w:rPr>
      <w:rFonts w:ascii="Georgia" w:hAnsi="Georgia"/>
      <w:i w:val="0"/>
      <w:color w:val="FF0000"/>
      <w:sz w:val="20"/>
      <w:u w:val="none"/>
    </w:rPr>
  </w:style>
  <w:style w:type="character" w:styleId="Pladsholdertekst">
    <w:name w:val="Placeholder Text"/>
    <w:basedOn w:val="Standardskrifttypeiafsnit"/>
    <w:uiPriority w:val="99"/>
    <w:semiHidden/>
    <w:rsid w:val="00A53A52"/>
    <w:rPr>
      <w:color w:val="808080"/>
    </w:rPr>
  </w:style>
  <w:style w:type="paragraph" w:styleId="Almindeligtekst">
    <w:name w:val="Plain Text"/>
    <w:basedOn w:val="Normal"/>
    <w:link w:val="AlmindeligtekstTegn"/>
    <w:uiPriority w:val="99"/>
    <w:semiHidden/>
    <w:rsid w:val="00A53A52"/>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A53A52"/>
    <w:rPr>
      <w:rFonts w:ascii="Consolas" w:hAnsi="Consolas" w:cs="Consolas"/>
      <w:sz w:val="21"/>
      <w:szCs w:val="21"/>
    </w:rPr>
  </w:style>
  <w:style w:type="paragraph" w:customStyle="1" w:styleId="PressTitle">
    <w:name w:val="PressTitle"/>
    <w:basedOn w:val="Normal"/>
    <w:next w:val="Normal"/>
    <w:uiPriority w:val="8"/>
    <w:semiHidden/>
    <w:rsid w:val="00A53A52"/>
    <w:pPr>
      <w:spacing w:after="260" w:line="700" w:lineRule="atLeast"/>
      <w:contextualSpacing/>
    </w:pPr>
    <w:rPr>
      <w:sz w:val="66"/>
      <w:szCs w:val="22"/>
    </w:rPr>
  </w:style>
  <w:style w:type="paragraph" w:styleId="Citat">
    <w:name w:val="Quote"/>
    <w:basedOn w:val="Normal"/>
    <w:next w:val="Normal"/>
    <w:link w:val="CitatTegn"/>
    <w:uiPriority w:val="99"/>
    <w:semiHidden/>
    <w:qFormat/>
    <w:rsid w:val="00A53A52"/>
    <w:rPr>
      <w:i/>
      <w:iCs/>
      <w:color w:val="000000" w:themeColor="text1"/>
    </w:rPr>
  </w:style>
  <w:style w:type="character" w:customStyle="1" w:styleId="CitatTegn">
    <w:name w:val="Citat Tegn"/>
    <w:basedOn w:val="Standardskrifttypeiafsnit"/>
    <w:link w:val="Citat"/>
    <w:uiPriority w:val="99"/>
    <w:semiHidden/>
    <w:rsid w:val="00A53A52"/>
    <w:rPr>
      <w:i/>
      <w:iCs/>
      <w:color w:val="000000" w:themeColor="text1"/>
      <w:sz w:val="22"/>
    </w:rPr>
  </w:style>
  <w:style w:type="paragraph" w:styleId="Starthilsen">
    <w:name w:val="Salutation"/>
    <w:basedOn w:val="Normal"/>
    <w:next w:val="Normal"/>
    <w:link w:val="StarthilsenTegn"/>
    <w:uiPriority w:val="99"/>
    <w:semiHidden/>
    <w:rsid w:val="00A53A52"/>
  </w:style>
  <w:style w:type="character" w:customStyle="1" w:styleId="StarthilsenTegn">
    <w:name w:val="Starthilsen Tegn"/>
    <w:basedOn w:val="Standardskrifttypeiafsnit"/>
    <w:link w:val="Starthilsen"/>
    <w:uiPriority w:val="99"/>
    <w:semiHidden/>
    <w:rsid w:val="00A53A52"/>
    <w:rPr>
      <w:sz w:val="22"/>
    </w:rPr>
  </w:style>
  <w:style w:type="paragraph" w:styleId="Underskrift">
    <w:name w:val="Signature"/>
    <w:basedOn w:val="Normal"/>
    <w:link w:val="UnderskriftTegn"/>
    <w:uiPriority w:val="99"/>
    <w:semiHidden/>
    <w:rsid w:val="00A53A52"/>
    <w:pPr>
      <w:spacing w:line="240" w:lineRule="auto"/>
      <w:ind w:left="4252"/>
    </w:pPr>
  </w:style>
  <w:style w:type="character" w:customStyle="1" w:styleId="UnderskriftTegn">
    <w:name w:val="Underskrift Tegn"/>
    <w:basedOn w:val="Standardskrifttypeiafsnit"/>
    <w:link w:val="Underskrift"/>
    <w:uiPriority w:val="99"/>
    <w:semiHidden/>
    <w:rsid w:val="00A53A52"/>
    <w:rPr>
      <w:sz w:val="22"/>
    </w:rPr>
  </w:style>
  <w:style w:type="character" w:styleId="Strk">
    <w:name w:val="Strong"/>
    <w:basedOn w:val="Standardskrifttypeiafsnit"/>
    <w:uiPriority w:val="99"/>
    <w:semiHidden/>
    <w:qFormat/>
    <w:rsid w:val="00A53A52"/>
    <w:rPr>
      <w:b/>
      <w:bCs/>
    </w:rPr>
  </w:style>
  <w:style w:type="paragraph" w:styleId="Undertitel">
    <w:name w:val="Subtitle"/>
    <w:basedOn w:val="Normal"/>
    <w:next w:val="Normal"/>
    <w:link w:val="UndertitelTegn"/>
    <w:uiPriority w:val="8"/>
    <w:semiHidden/>
    <w:rsid w:val="00A53A52"/>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A53A52"/>
    <w:rPr>
      <w:rFonts w:eastAsiaTheme="majorEastAsia" w:cstheme="majorBidi"/>
      <w:iCs/>
      <w:sz w:val="28"/>
    </w:rPr>
  </w:style>
  <w:style w:type="character" w:styleId="Svagfremhvning">
    <w:name w:val="Subtle Emphasis"/>
    <w:basedOn w:val="Standardskrifttypeiafsnit"/>
    <w:uiPriority w:val="99"/>
    <w:semiHidden/>
    <w:qFormat/>
    <w:rsid w:val="00A53A52"/>
    <w:rPr>
      <w:i/>
      <w:iCs/>
      <w:color w:val="808080" w:themeColor="text1" w:themeTint="7F"/>
    </w:rPr>
  </w:style>
  <w:style w:type="character" w:styleId="Svaghenvisning">
    <w:name w:val="Subtle Reference"/>
    <w:basedOn w:val="Standardskrifttypeiafsnit"/>
    <w:uiPriority w:val="99"/>
    <w:semiHidden/>
    <w:qFormat/>
    <w:rsid w:val="00A53A52"/>
    <w:rPr>
      <w:smallCaps/>
      <w:color w:val="auto"/>
      <w:u w:val="single"/>
    </w:rPr>
  </w:style>
  <w:style w:type="paragraph" w:customStyle="1" w:styleId="Tabel">
    <w:name w:val="Tabel"/>
    <w:uiPriority w:val="4"/>
    <w:rsid w:val="00A53A52"/>
    <w:pPr>
      <w:spacing w:before="40" w:after="40" w:line="240" w:lineRule="atLeast"/>
      <w:ind w:left="113" w:right="113"/>
    </w:pPr>
    <w:rPr>
      <w:rFonts w:eastAsiaTheme="minorHAnsi" w:cstheme="minorBidi"/>
      <w:sz w:val="22"/>
      <w:szCs w:val="18"/>
      <w:lang w:eastAsia="en-US"/>
    </w:rPr>
  </w:style>
  <w:style w:type="paragraph" w:customStyle="1" w:styleId="Tabel-hvidcentreretoverskrift">
    <w:name w:val="Tabel - hvid centreret overskrift"/>
    <w:basedOn w:val="Tabel"/>
    <w:uiPriority w:val="6"/>
    <w:qFormat/>
    <w:rsid w:val="00A53A52"/>
    <w:pPr>
      <w:jc w:val="center"/>
    </w:pPr>
    <w:rPr>
      <w:b/>
      <w:color w:val="FFFFFF"/>
      <w:sz w:val="24"/>
    </w:rPr>
  </w:style>
  <w:style w:type="paragraph" w:customStyle="1" w:styleId="Tabel-Tal">
    <w:name w:val="Tabel - Tal"/>
    <w:basedOn w:val="Tabel"/>
    <w:uiPriority w:val="4"/>
    <w:rsid w:val="00A53A52"/>
    <w:pPr>
      <w:jc w:val="right"/>
    </w:pPr>
  </w:style>
  <w:style w:type="paragraph" w:customStyle="1" w:styleId="Tabel-TalTotal">
    <w:name w:val="Tabel - Tal Total"/>
    <w:basedOn w:val="Tabel-Tal"/>
    <w:uiPriority w:val="4"/>
    <w:rsid w:val="00A53A52"/>
    <w:rPr>
      <w:b/>
    </w:rPr>
  </w:style>
  <w:style w:type="paragraph" w:customStyle="1" w:styleId="Tabel-Tekst">
    <w:name w:val="Tabel - Tekst"/>
    <w:basedOn w:val="Tabel"/>
    <w:uiPriority w:val="4"/>
    <w:rsid w:val="00A53A52"/>
  </w:style>
  <w:style w:type="paragraph" w:customStyle="1" w:styleId="Tabel-TekstTotal">
    <w:name w:val="Tabel - Tekst Total"/>
    <w:basedOn w:val="Tabel-Tekst"/>
    <w:uiPriority w:val="4"/>
    <w:rsid w:val="00A53A52"/>
    <w:rPr>
      <w:b/>
    </w:rPr>
  </w:style>
  <w:style w:type="table" w:styleId="Tabel-3D-effekter1">
    <w:name w:val="Table 3D effects 1"/>
    <w:basedOn w:val="Tabel-Normal"/>
    <w:uiPriority w:val="99"/>
    <w:semiHidden/>
    <w:rsid w:val="00A53A5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A53A5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A53A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A53A5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A53A5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A53A5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A53A5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A53A5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A53A5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A53A5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A53A5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A53A5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A53A5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A53A5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A53A5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A53A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A53A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59"/>
    <w:rsid w:val="00A5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A53A5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A53A5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A53A5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A53A5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A53A5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A53A5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A53A5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A53A5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A53A5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A53A5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A53A5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A53A52"/>
    <w:pPr>
      <w:ind w:left="200" w:hanging="200"/>
    </w:pPr>
  </w:style>
  <w:style w:type="paragraph" w:styleId="Listeoverfigurer">
    <w:name w:val="table of figures"/>
    <w:basedOn w:val="Normal"/>
    <w:next w:val="Normal"/>
    <w:uiPriority w:val="99"/>
    <w:semiHidden/>
    <w:rsid w:val="00A53A52"/>
  </w:style>
  <w:style w:type="table" w:styleId="Tabel-Professionel">
    <w:name w:val="Table Professional"/>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A53A5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A53A5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A53A5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A53A5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A53A5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A5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A53A5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A53A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A53A5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basedOn w:val="Sidefod"/>
    <w:uiPriority w:val="9"/>
    <w:semiHidden/>
    <w:rsid w:val="00A53A52"/>
    <w:rPr>
      <w:rFonts w:cs="Arial"/>
      <w:noProof/>
      <w:szCs w:val="14"/>
    </w:rPr>
  </w:style>
  <w:style w:type="paragraph" w:customStyle="1" w:styleId="Template-Address">
    <w:name w:val="Template - Address"/>
    <w:basedOn w:val="Template"/>
    <w:uiPriority w:val="9"/>
    <w:semiHidden/>
    <w:rsid w:val="00A53A52"/>
    <w:pPr>
      <w:ind w:right="0"/>
    </w:pPr>
  </w:style>
  <w:style w:type="paragraph" w:styleId="Titel">
    <w:name w:val="Title"/>
    <w:basedOn w:val="Normal"/>
    <w:next w:val="Normal"/>
    <w:link w:val="TitelTegn"/>
    <w:uiPriority w:val="8"/>
    <w:semiHidden/>
    <w:rsid w:val="00A53A52"/>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A53A52"/>
    <w:rPr>
      <w:rFonts w:eastAsiaTheme="majorEastAsia" w:cstheme="majorBidi"/>
      <w:kern w:val="28"/>
      <w:sz w:val="36"/>
      <w:szCs w:val="52"/>
    </w:rPr>
  </w:style>
  <w:style w:type="paragraph" w:styleId="Citatoverskrift">
    <w:name w:val="toa heading"/>
    <w:basedOn w:val="Normal"/>
    <w:next w:val="Normal"/>
    <w:uiPriority w:val="10"/>
    <w:semiHidden/>
    <w:rsid w:val="00A53A52"/>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A53A52"/>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A53A52"/>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A53A52"/>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A53A52"/>
    <w:pPr>
      <w:spacing w:after="520" w:line="360" w:lineRule="atLeast"/>
    </w:pPr>
    <w:rPr>
      <w:rFonts w:eastAsiaTheme="minorHAnsi" w:cstheme="minorBidi"/>
      <w:sz w:val="28"/>
      <w:szCs w:val="18"/>
      <w:lang w:eastAsia="en-US"/>
    </w:rPr>
  </w:style>
  <w:style w:type="paragraph" w:customStyle="1" w:styleId="Default">
    <w:name w:val="Default"/>
    <w:rsid w:val="005372C5"/>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56632\appdata\roaming\microsoft\skabeloner\SkabelonDesign\Interne%20LBST%20skabeloner\Internt%20notat.dotx" TargetMode="External"/></Relationships>
</file>

<file path=word/theme/theme1.xml><?xml version="1.0" encoding="utf-8"?>
<a:theme xmlns:a="http://schemas.openxmlformats.org/drawingml/2006/main" name="Kontortema">
  <a:themeElements>
    <a:clrScheme name="MFVM - NaturErhvervstyrelsen">
      <a:dk1>
        <a:srgbClr val="000000"/>
      </a:dk1>
      <a:lt1>
        <a:sysClr val="window" lastClr="FFFFFF"/>
      </a:lt1>
      <a:dk2>
        <a:srgbClr val="BFE9EC"/>
      </a:dk2>
      <a:lt2>
        <a:srgbClr val="E5F6F7"/>
      </a:lt2>
      <a:accent1>
        <a:srgbClr val="00A7B5"/>
      </a:accent1>
      <a:accent2>
        <a:srgbClr val="003127"/>
      </a:accent2>
      <a:accent3>
        <a:srgbClr val="33B99B"/>
      </a:accent3>
      <a:accent4>
        <a:srgbClr val="0085AD"/>
      </a:accent4>
      <a:accent5>
        <a:srgbClr val="EFDB6C"/>
      </a:accent5>
      <a:accent6>
        <a:srgbClr val="512D6D"/>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Internt notat.dotx</Template>
  <TotalTime>0</TotalTime>
  <Pages>21</Pages>
  <Words>5719</Words>
  <Characters>38437</Characters>
  <Application>Microsoft Office Word</Application>
  <DocSecurity>0</DocSecurity>
  <Lines>985</Lines>
  <Paragraphs>416</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Notat</vt:lpstr>
      <vt:lpstr>Notat</vt:lpstr>
      <vt:lpstr>Problemstilling</vt:lpstr>
      <vt:lpstr>Baggrund</vt:lpstr>
      <vt:lpstr>Løsning </vt:lpstr>
    </vt:vector>
  </TitlesOfParts>
  <Company>Miljøministeriet</Company>
  <LinksUpToDate>false</LinksUpToDate>
  <CharactersWithSpaces>43740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Signe Warncke Søndergaard (LFST)</dc:creator>
  <cp:keywords/>
  <dc:description/>
  <cp:lastModifiedBy>Anne-Lie Grube</cp:lastModifiedBy>
  <cp:revision>2</cp:revision>
  <cp:lastPrinted>2016-04-08T09:59:00Z</cp:lastPrinted>
  <dcterms:created xsi:type="dcterms:W3CDTF">2022-05-25T13:25:00Z</dcterms:created>
  <dcterms:modified xsi:type="dcterms:W3CDTF">2022-05-25T13:25:00Z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Notat</vt:lpwstr>
  </property>
  <property fmtid="{D5CDD505-2E9C-101B-9397-08002B2CF9AE}" pid="8" name="ContentRemapped">
    <vt:lpwstr>true</vt:lpwstr>
  </property>
  <property fmtid="{D5CDD505-2E9C-101B-9397-08002B2CF9AE}" pid="9" name="SD_IntegrationInfoAdded">
    <vt:bool>true</vt:bool>
  </property>
  <property fmtid="{D5CDD505-2E9C-101B-9397-08002B2CF9AE}" pid="10" name="SD_DocumentLanguage">
    <vt:lpwstr>da-DK</vt:lpwstr>
  </property>
  <property fmtid="{D5CDD505-2E9C-101B-9397-08002B2CF9AE}" pid="11" name="sdDocumentDate">
    <vt:lpwstr>44655</vt:lpwstr>
  </property>
  <property fmtid="{D5CDD505-2E9C-101B-9397-08002B2CF9AE}" pid="12" name="sdDocumentDateFormat">
    <vt:lpwstr>da-DK:'Den' d. MMMM yyyy</vt:lpwstr>
  </property>
  <property fmtid="{D5CDD505-2E9C-101B-9397-08002B2CF9AE}" pid="13" name="SD_DocumentLanguageString">
    <vt:lpwstr>Dansk</vt:lpwstr>
  </property>
  <property fmtid="{D5CDD505-2E9C-101B-9397-08002B2CF9AE}" pid="14" name="SD_CtlText_Usersettings_Userprofile">
    <vt:lpwstr>Skriv navnet på den nye profil</vt:lpwstr>
  </property>
  <property fmtid="{D5CDD505-2E9C-101B-9397-08002B2CF9AE}" pid="15" name="SD_CtlText_Generelt_CaseNo">
    <vt:lpwstr>&lt;sagsnr&gt;</vt:lpwstr>
  </property>
  <property fmtid="{D5CDD505-2E9C-101B-9397-08002B2CF9AE}" pid="16" name="SD_UserprofileName">
    <vt:lpwstr>Skriv navnet på den nye profil</vt:lpwstr>
  </property>
  <property fmtid="{D5CDD505-2E9C-101B-9397-08002B2CF9AE}" pid="17" name="SD_Office_OFF_ID">
    <vt:lpwstr>91</vt:lpwstr>
  </property>
  <property fmtid="{D5CDD505-2E9C-101B-9397-08002B2CF9AE}" pid="18" name="CurrentOfficeID">
    <vt:lpwstr>91</vt:lpwstr>
  </property>
  <property fmtid="{D5CDD505-2E9C-101B-9397-08002B2CF9AE}" pid="19" name="SD_Office_OFF_Organisation">
    <vt:lpwstr>LBST</vt:lpwstr>
  </property>
  <property fmtid="{D5CDD505-2E9C-101B-9397-08002B2CF9AE}" pid="20" name="SD_Office_OFF_ArtworkDefinition">
    <vt:lpwstr>FVM</vt:lpwstr>
  </property>
  <property fmtid="{D5CDD505-2E9C-101B-9397-08002B2CF9AE}" pid="21" name="SD_Office_OFF_LogoFileName">
    <vt:lpwstr>LBST</vt:lpwstr>
  </property>
  <property fmtid="{D5CDD505-2E9C-101B-9397-08002B2CF9AE}" pid="22" name="SD_Office_OFF_Institution">
    <vt:lpwstr>Landbrugsstyrelsen</vt:lpwstr>
  </property>
  <property fmtid="{D5CDD505-2E9C-101B-9397-08002B2CF9AE}" pid="23" name="SD_Office_OFF_Institution_EN">
    <vt:lpwstr>The Danish Agricultural Agency</vt:lpwstr>
  </property>
  <property fmtid="{D5CDD505-2E9C-101B-9397-08002B2CF9AE}" pid="24" name="SD_Office_OFF_kontor">
    <vt:lpwstr>Landbrugsstyrelsen</vt:lpwstr>
  </property>
  <property fmtid="{D5CDD505-2E9C-101B-9397-08002B2CF9AE}" pid="25" name="SD_Office_OFF_Department">
    <vt:lpwstr/>
  </property>
  <property fmtid="{D5CDD505-2E9C-101B-9397-08002B2CF9AE}" pid="26" name="SD_Office_OFF_Department_EN">
    <vt:lpwstr/>
  </property>
  <property fmtid="{D5CDD505-2E9C-101B-9397-08002B2CF9AE}" pid="27" name="SD_Office_OFF_Footertext">
    <vt:lpwstr/>
  </property>
  <property fmtid="{D5CDD505-2E9C-101B-9397-08002B2CF9AE}" pid="28" name="SD_Office_OFF_AddressA">
    <vt:lpwstr>Nyropsgade 30</vt:lpwstr>
  </property>
  <property fmtid="{D5CDD505-2E9C-101B-9397-08002B2CF9AE}" pid="29" name="SD_Office_OFF_AddressB">
    <vt:lpwstr/>
  </property>
  <property fmtid="{D5CDD505-2E9C-101B-9397-08002B2CF9AE}" pid="30" name="SD_Office_OFF_AddressC">
    <vt:lpwstr/>
  </property>
  <property fmtid="{D5CDD505-2E9C-101B-9397-08002B2CF9AE}" pid="31" name="SD_Office_OFF_AddressCollected">
    <vt:lpwstr>Nyropsgade 30</vt:lpwstr>
  </property>
  <property fmtid="{D5CDD505-2E9C-101B-9397-08002B2CF9AE}" pid="32" name="SD_Office_OFF_AddressD">
    <vt:lpwstr>1780</vt:lpwstr>
  </property>
  <property fmtid="{D5CDD505-2E9C-101B-9397-08002B2CF9AE}" pid="33" name="SD_Office_OFF_City">
    <vt:lpwstr>København V</vt:lpwstr>
  </property>
  <property fmtid="{D5CDD505-2E9C-101B-9397-08002B2CF9AE}" pid="34" name="SD_Office_OFF_City_EN">
    <vt:lpwstr>Copenhagen V Denmark</vt:lpwstr>
  </property>
  <property fmtid="{D5CDD505-2E9C-101B-9397-08002B2CF9AE}" pid="35" name="SD_Office_OFF_Phone">
    <vt:lpwstr>33 95 80 00</vt:lpwstr>
  </property>
  <property fmtid="{D5CDD505-2E9C-101B-9397-08002B2CF9AE}" pid="36" name="SD_Office_OFF_Phone_EN">
    <vt:lpwstr>+45 33 95 80 00</vt:lpwstr>
  </property>
  <property fmtid="{D5CDD505-2E9C-101B-9397-08002B2CF9AE}" pid="37" name="SD_Office_OFF_Fax">
    <vt:lpwstr/>
  </property>
  <property fmtid="{D5CDD505-2E9C-101B-9397-08002B2CF9AE}" pid="38" name="SD_Office_OFF_Fax_EN">
    <vt:lpwstr/>
  </property>
  <property fmtid="{D5CDD505-2E9C-101B-9397-08002B2CF9AE}" pid="39" name="SD_Office_OFF_Email">
    <vt:lpwstr>mail@lbst.dk</vt:lpwstr>
  </property>
  <property fmtid="{D5CDD505-2E9C-101B-9397-08002B2CF9AE}" pid="40" name="SD_Office_OFF_Web">
    <vt:lpwstr>www.lbst.dk</vt:lpwstr>
  </property>
  <property fmtid="{D5CDD505-2E9C-101B-9397-08002B2CF9AE}" pid="41" name="SD_Office_OFF_CVR">
    <vt:lpwstr>20814616</vt:lpwstr>
  </property>
  <property fmtid="{D5CDD505-2E9C-101B-9397-08002B2CF9AE}" pid="42" name="SD_Office_OFF_EAN">
    <vt:lpwstr>5798000877955</vt:lpwstr>
  </property>
  <property fmtid="{D5CDD505-2E9C-101B-9397-08002B2CF9AE}" pid="43" name="SD_Office_OFF_EAN_EN">
    <vt:lpwstr>5798000877955</vt:lpwstr>
  </property>
  <property fmtid="{D5CDD505-2E9C-101B-9397-08002B2CF9AE}" pid="44" name="SD_Office_OFF_ColorTheme">
    <vt:lpwstr>MFVM - NaturErhvervstyrelsen</vt:lpwstr>
  </property>
  <property fmtid="{D5CDD505-2E9C-101B-9397-08002B2CF9AE}" pid="45" name="LastCompletedArtworkDefinition">
    <vt:lpwstr>FVM</vt:lpwstr>
  </property>
  <property fmtid="{D5CDD505-2E9C-101B-9397-08002B2CF9AE}" pid="46" name="USR_Name">
    <vt:lpwstr>Signe Warncke Søndergaard (LFST)</vt:lpwstr>
  </property>
  <property fmtid="{D5CDD505-2E9C-101B-9397-08002B2CF9AE}" pid="47" name="USR_Initials">
    <vt:lpwstr>SIWASO</vt:lpwstr>
  </property>
  <property fmtid="{D5CDD505-2E9C-101B-9397-08002B2CF9AE}" pid="48" name="USR_Title">
    <vt:lpwstr>Fuldmægtig</vt:lpwstr>
  </property>
  <property fmtid="{D5CDD505-2E9C-101B-9397-08002B2CF9AE}" pid="49" name="USR_DirectPhone">
    <vt:lpwstr>+45 72 42 93 36</vt:lpwstr>
  </property>
  <property fmtid="{D5CDD505-2E9C-101B-9397-08002B2CF9AE}" pid="50" name="USR_Mobile">
    <vt:lpwstr>+45 51 14 56 51</vt:lpwstr>
  </property>
  <property fmtid="{D5CDD505-2E9C-101B-9397-08002B2CF9AE}" pid="51" name="USR_Email">
    <vt:lpwstr>siwaso@lbst.dk</vt:lpwstr>
  </property>
  <property fmtid="{D5CDD505-2E9C-101B-9397-08002B2CF9AE}" pid="52" name="DocumentInfoFinished">
    <vt:lpwstr>True</vt:lpwstr>
  </property>
</Properties>
</file>