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5271D6" w:rsidRPr="001362F3" w:rsidTr="003F319A">
        <w:trPr>
          <w:cantSplit/>
          <w:trHeight w:val="2600"/>
        </w:trPr>
        <w:tc>
          <w:tcPr>
            <w:tcW w:w="7116" w:type="dxa"/>
          </w:tcPr>
          <w:p w:rsidR="007F73B3" w:rsidRPr="001362F3" w:rsidRDefault="007F73B3" w:rsidP="001362F3">
            <w:bookmarkStart w:id="0" w:name="_GoBack"/>
            <w:bookmarkEnd w:id="0"/>
          </w:p>
        </w:tc>
        <w:tc>
          <w:tcPr>
            <w:tcW w:w="1939" w:type="dxa"/>
          </w:tcPr>
          <w:p w:rsidR="005271D6" w:rsidRPr="001362F3" w:rsidRDefault="005271D6" w:rsidP="00557A69"/>
        </w:tc>
      </w:tr>
      <w:tr w:rsidR="00541D1B" w:rsidRPr="001362F3" w:rsidTr="003F319A">
        <w:trPr>
          <w:cantSplit/>
        </w:trPr>
        <w:tc>
          <w:tcPr>
            <w:tcW w:w="7116" w:type="dxa"/>
          </w:tcPr>
          <w:p w:rsidR="00541D1B" w:rsidRPr="001362F3" w:rsidRDefault="001362F3" w:rsidP="00541D1B">
            <w:pPr>
              <w:pStyle w:val="DocumentHeading"/>
            </w:pPr>
            <w:r>
              <w:t>Høringsliste for vejledning om kunstgræsbaner</w:t>
            </w:r>
          </w:p>
          <w:p w:rsidR="00541D1B" w:rsidRPr="001362F3" w:rsidRDefault="00541D1B" w:rsidP="00541D1B"/>
        </w:tc>
        <w:tc>
          <w:tcPr>
            <w:tcW w:w="1939" w:type="dxa"/>
          </w:tcPr>
          <w:p w:rsidR="00541D1B" w:rsidRPr="001362F3" w:rsidRDefault="00541D1B" w:rsidP="00557A69"/>
        </w:tc>
      </w:tr>
    </w:tbl>
    <w:p w:rsidR="00805359" w:rsidRPr="00805359" w:rsidRDefault="00805359" w:rsidP="00805359">
      <w:pPr>
        <w:pStyle w:val="Overskrift1"/>
        <w:rPr>
          <w:sz w:val="20"/>
          <w:szCs w:val="20"/>
        </w:rPr>
      </w:pPr>
      <w:r w:rsidRPr="00805359">
        <w:rPr>
          <w:sz w:val="20"/>
          <w:szCs w:val="20"/>
        </w:rPr>
        <w:t xml:space="preserve">Statslige myndigheder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Arbejdstilsynet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>Beredskabsstyrelsen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DCE - National Center for Miljø og Energi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Erhvervs- og Vækstministeriet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>Erhvervsstyrelsen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Finansministeriet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>Forsvarets Bygnings- og Etableringstjeneste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proofErr w:type="spellStart"/>
      <w:r w:rsidRPr="00805359">
        <w:rPr>
          <w:b w:val="0"/>
          <w:sz w:val="20"/>
          <w:szCs w:val="20"/>
        </w:rPr>
        <w:t>Geodatastyrelsen</w:t>
      </w:r>
      <w:proofErr w:type="spellEnd"/>
      <w:r w:rsidRPr="00805359">
        <w:rPr>
          <w:b w:val="0"/>
          <w:sz w:val="20"/>
          <w:szCs w:val="20"/>
        </w:rPr>
        <w:t xml:space="preserve">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GEUS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Justitsministeriet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Energi-, Forsynings- og Klimaministeriet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Konkurrence- og Forbrugerstyrelsen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Kulturstyrelsen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Uddannelses- og Forskningsministeriet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Miljø- og Fødevareministeriet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Sundheds- og Ældreministeriet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Naturstyrelsen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proofErr w:type="spellStart"/>
      <w:r w:rsidRPr="00805359">
        <w:rPr>
          <w:b w:val="0"/>
          <w:sz w:val="20"/>
          <w:szCs w:val="20"/>
        </w:rPr>
        <w:t>Sikkerhedesstyrelsen</w:t>
      </w:r>
      <w:proofErr w:type="spellEnd"/>
      <w:r w:rsidRPr="00805359">
        <w:rPr>
          <w:b w:val="0"/>
          <w:sz w:val="20"/>
          <w:szCs w:val="20"/>
        </w:rPr>
        <w:t xml:space="preserve">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 xml:space="preserve">Skatteministeriet </w:t>
      </w:r>
    </w:p>
    <w:p w:rsidR="00805359" w:rsidRPr="00805359" w:rsidRDefault="00805359" w:rsidP="00805359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>Transport-, Bygnings- og Boligministeriet</w:t>
      </w:r>
    </w:p>
    <w:p w:rsidR="00805359" w:rsidRPr="00805359" w:rsidRDefault="00805359" w:rsidP="00805359">
      <w:pPr>
        <w:pStyle w:val="Overskrift1"/>
        <w:rPr>
          <w:sz w:val="20"/>
          <w:szCs w:val="20"/>
        </w:rPr>
      </w:pPr>
      <w:r w:rsidRPr="00805359">
        <w:rPr>
          <w:b w:val="0"/>
          <w:sz w:val="20"/>
          <w:szCs w:val="20"/>
        </w:rPr>
        <w:t>Økonomi- og Indenrigsministeriet</w:t>
      </w:r>
    </w:p>
    <w:p w:rsidR="00805359" w:rsidRPr="00805359" w:rsidRDefault="00805359" w:rsidP="001362F3">
      <w:pPr>
        <w:pStyle w:val="Overskrift1"/>
        <w:rPr>
          <w:sz w:val="20"/>
          <w:szCs w:val="20"/>
        </w:rPr>
      </w:pPr>
    </w:p>
    <w:p w:rsidR="001362F3" w:rsidRPr="00805359" w:rsidRDefault="001362F3" w:rsidP="001362F3">
      <w:pPr>
        <w:pStyle w:val="Overskrift1"/>
        <w:rPr>
          <w:sz w:val="20"/>
          <w:szCs w:val="20"/>
        </w:rPr>
      </w:pPr>
      <w:r w:rsidRPr="00805359">
        <w:rPr>
          <w:sz w:val="20"/>
          <w:szCs w:val="20"/>
        </w:rPr>
        <w:t>Kommuner og Regioner</w:t>
      </w:r>
    </w:p>
    <w:p w:rsidR="001362F3" w:rsidRPr="00805359" w:rsidRDefault="001362F3" w:rsidP="001362F3">
      <w:pPr>
        <w:pStyle w:val="Overskrift1"/>
        <w:rPr>
          <w:b w:val="0"/>
          <w:sz w:val="20"/>
          <w:szCs w:val="20"/>
        </w:rPr>
      </w:pPr>
      <w:r w:rsidRPr="00805359">
        <w:rPr>
          <w:b w:val="0"/>
          <w:sz w:val="20"/>
          <w:szCs w:val="20"/>
        </w:rPr>
        <w:t>Alle landets kommuner</w:t>
      </w:r>
    </w:p>
    <w:p w:rsidR="00C43C01" w:rsidRDefault="001362F3" w:rsidP="00C43C01">
      <w:r w:rsidRPr="00805359">
        <w:t xml:space="preserve">Danske regioner </w:t>
      </w:r>
      <w:r w:rsidRPr="00805359">
        <w:br/>
        <w:t>KL</w:t>
      </w:r>
    </w:p>
    <w:p w:rsidR="00C43C01" w:rsidRDefault="00C43C01" w:rsidP="00C43C01"/>
    <w:p w:rsidR="00C43C01" w:rsidRDefault="00805359" w:rsidP="00C43C01">
      <w:pPr>
        <w:rPr>
          <w:rFonts w:asciiTheme="minorHAnsi" w:hAnsiTheme="minorHAnsi"/>
          <w:b/>
        </w:rPr>
      </w:pPr>
      <w:r w:rsidRPr="00C43C01">
        <w:rPr>
          <w:rFonts w:asciiTheme="minorHAnsi" w:hAnsiTheme="minorHAnsi"/>
          <w:b/>
        </w:rPr>
        <w:t>Øvrige høringsparter</w:t>
      </w:r>
    </w:p>
    <w:p w:rsidR="00C43C01" w:rsidRDefault="00805359" w:rsidP="00C43C01">
      <w:pPr>
        <w:rPr>
          <w:rFonts w:asciiTheme="minorHAnsi" w:hAnsiTheme="minorHAnsi"/>
        </w:rPr>
      </w:pPr>
      <w:r w:rsidRPr="00805359">
        <w:rPr>
          <w:rFonts w:asciiTheme="minorHAnsi" w:hAnsiTheme="minorHAnsi"/>
        </w:rPr>
        <w:t xml:space="preserve">Advokatsamfundet </w:t>
      </w:r>
    </w:p>
    <w:p w:rsidR="00C43C01" w:rsidRDefault="00805359" w:rsidP="00C43C01">
      <w:pPr>
        <w:rPr>
          <w:rFonts w:asciiTheme="minorHAnsi" w:hAnsiTheme="minorHAnsi"/>
        </w:rPr>
      </w:pPr>
      <w:r w:rsidRPr="00805359">
        <w:rPr>
          <w:rFonts w:asciiTheme="minorHAnsi" w:hAnsiTheme="minorHAnsi"/>
        </w:rPr>
        <w:t xml:space="preserve">Akademiet for de tekniske videnskaber </w:t>
      </w:r>
    </w:p>
    <w:p w:rsidR="00C43C01" w:rsidRDefault="00805359" w:rsidP="00C43C01">
      <w:pPr>
        <w:rPr>
          <w:rFonts w:asciiTheme="minorHAnsi" w:hAnsiTheme="minorHAnsi"/>
        </w:rPr>
      </w:pPr>
      <w:r w:rsidRPr="00805359">
        <w:rPr>
          <w:rFonts w:asciiTheme="minorHAnsi" w:hAnsiTheme="minorHAnsi"/>
        </w:rPr>
        <w:t xml:space="preserve">Akademikernes Centralorganisation </w:t>
      </w:r>
    </w:p>
    <w:p w:rsidR="00C43C01" w:rsidRDefault="00805359" w:rsidP="00C43C01">
      <w:pPr>
        <w:rPr>
          <w:rFonts w:asciiTheme="minorHAnsi" w:hAnsiTheme="minorHAnsi"/>
        </w:rPr>
      </w:pPr>
      <w:r w:rsidRPr="00805359">
        <w:rPr>
          <w:rFonts w:asciiTheme="minorHAnsi" w:hAnsiTheme="minorHAnsi"/>
        </w:rPr>
        <w:t>AKD Gruppen A/S</w:t>
      </w:r>
    </w:p>
    <w:p w:rsidR="00C43C01" w:rsidRDefault="00805359" w:rsidP="00C43C01">
      <w:pPr>
        <w:rPr>
          <w:rFonts w:asciiTheme="minorHAnsi" w:hAnsiTheme="minorHAnsi"/>
        </w:rPr>
      </w:pPr>
      <w:r w:rsidRPr="00805359">
        <w:rPr>
          <w:rFonts w:asciiTheme="minorHAnsi" w:hAnsiTheme="minorHAnsi"/>
        </w:rPr>
        <w:t>AKF, Anvendt Kommunal Forskning</w:t>
      </w:r>
    </w:p>
    <w:p w:rsidR="00C43C01" w:rsidRDefault="00805359" w:rsidP="00C43C01">
      <w:pPr>
        <w:rPr>
          <w:rFonts w:asciiTheme="minorHAnsi" w:hAnsiTheme="minorHAnsi"/>
        </w:rPr>
      </w:pPr>
      <w:r w:rsidRPr="00805359">
        <w:rPr>
          <w:rFonts w:asciiTheme="minorHAnsi" w:hAnsiTheme="minorHAnsi"/>
        </w:rPr>
        <w:t>Arbejderbevægelsens Erhvervsråd</w:t>
      </w:r>
    </w:p>
    <w:p w:rsidR="00C43C01" w:rsidRDefault="00805359" w:rsidP="00C43C01">
      <w:pPr>
        <w:rPr>
          <w:rFonts w:asciiTheme="minorHAnsi" w:hAnsiTheme="minorHAnsi"/>
        </w:rPr>
      </w:pPr>
      <w:r w:rsidRPr="00805359">
        <w:rPr>
          <w:rFonts w:asciiTheme="minorHAnsi" w:hAnsiTheme="minorHAnsi"/>
        </w:rPr>
        <w:t>ARI</w:t>
      </w:r>
    </w:p>
    <w:p w:rsidR="00805359" w:rsidRPr="00805359" w:rsidRDefault="00805359" w:rsidP="00C43C01">
      <w:pPr>
        <w:rPr>
          <w:rFonts w:asciiTheme="minorHAnsi" w:hAnsiTheme="minorHAnsi"/>
        </w:rPr>
      </w:pPr>
      <w:r w:rsidRPr="00805359">
        <w:rPr>
          <w:rFonts w:asciiTheme="minorHAnsi" w:hAnsiTheme="minorHAnsi"/>
        </w:rPr>
        <w:t xml:space="preserve">ATP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lastRenderedPageBreak/>
        <w:t xml:space="preserve">BL – Danmarks Almene Boliger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Byggesocietetet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Carlsberg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CONCITO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DAKOFA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Danmarks Naturfredningsforening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Dansk Affaldsforening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Dansk Arbejdsgiverforening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Dansk Byggeri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Dansk Erhverv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Dansk Standard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Dansk Transport og Logistik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Danske Advokater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Danske advokater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Danske Arkitektvirksomheder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Danske Regioner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Danske Revisorer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DANVA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Det Økologiske Råd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DI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Fagligt Fælles Forbund (3F)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Forbrugerrådet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FORCE Technology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Foreningen af Kommunale Tekniske Chefer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Foreningen af Rådgivende Ingeniører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Forsikring og Pension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Friluftsrådet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Genvindingsindustrien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Greenpeace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GTS-nettet (Godkendt Teknologisk Service)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Håndværksrådet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Informationscenter for Miljø &amp; Sundhed, Forbrugerkemi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Ingeniørforeningen i Danmark (IDA)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Landsorganisationen i Danmark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MEG – Sekretariatet for Aluminium og Miljø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NOAH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Parcelhusejernes Landsforening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Plastindustrien i Danmark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Realkreditforeningen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Realkreditrådet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 xml:space="preserve">Rigsrevisionen 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S.B.S. Byfornyelse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Teknologisk Institut</w:t>
      </w:r>
    </w:p>
    <w:p w:rsidR="00805359" w:rsidRPr="00805359" w:rsidRDefault="00805359" w:rsidP="00805359">
      <w:pPr>
        <w:pStyle w:val="Overskrift1"/>
        <w:rPr>
          <w:rFonts w:asciiTheme="minorHAnsi" w:hAnsiTheme="minorHAnsi"/>
          <w:b w:val="0"/>
          <w:sz w:val="20"/>
          <w:szCs w:val="20"/>
        </w:rPr>
      </w:pPr>
      <w:r w:rsidRPr="00805359">
        <w:rPr>
          <w:rFonts w:asciiTheme="minorHAnsi" w:hAnsiTheme="minorHAnsi"/>
          <w:b w:val="0"/>
          <w:sz w:val="20"/>
          <w:szCs w:val="20"/>
        </w:rPr>
        <w:t>WWF</w:t>
      </w:r>
    </w:p>
    <w:p w:rsidR="00805359" w:rsidRDefault="00805359" w:rsidP="00805359"/>
    <w:p w:rsidR="00805359" w:rsidRDefault="00805359" w:rsidP="00805359">
      <w:proofErr w:type="spellStart"/>
      <w:r>
        <w:t>Arkilsgaard</w:t>
      </w:r>
      <w:proofErr w:type="spellEnd"/>
    </w:p>
    <w:p w:rsidR="00805359" w:rsidRDefault="00805359" w:rsidP="00805359">
      <w:proofErr w:type="spellStart"/>
      <w:r>
        <w:t>Biofos</w:t>
      </w:r>
      <w:proofErr w:type="spellEnd"/>
    </w:p>
    <w:p w:rsidR="00805359" w:rsidRDefault="00805359" w:rsidP="00805359">
      <w:r>
        <w:t>Danske Sportsfaciliteters Brancheforening/Silkeborg Kommune</w:t>
      </w:r>
    </w:p>
    <w:p w:rsidR="00805359" w:rsidRDefault="00805359" w:rsidP="00805359">
      <w:r>
        <w:t>DBU</w:t>
      </w:r>
    </w:p>
    <w:p w:rsidR="00805359" w:rsidRDefault="00805359" w:rsidP="00805359">
      <w:r>
        <w:t>DGI</w:t>
      </w:r>
    </w:p>
    <w:p w:rsidR="00805359" w:rsidRDefault="00805359" w:rsidP="00805359">
      <w:r>
        <w:lastRenderedPageBreak/>
        <w:t>DIF</w:t>
      </w:r>
    </w:p>
    <w:p w:rsidR="00805359" w:rsidRDefault="00805359" w:rsidP="00805359">
      <w:r>
        <w:t>DME Entreprenører</w:t>
      </w:r>
    </w:p>
    <w:p w:rsidR="00805359" w:rsidRDefault="00805359" w:rsidP="00805359">
      <w:proofErr w:type="spellStart"/>
      <w:r>
        <w:t>Envina</w:t>
      </w:r>
      <w:proofErr w:type="spellEnd"/>
      <w:r>
        <w:t>/Gladsaxe Kommune</w:t>
      </w:r>
    </w:p>
    <w:p w:rsidR="00805359" w:rsidRPr="00805359" w:rsidRDefault="00805359" w:rsidP="00805359">
      <w:r w:rsidRPr="00805359">
        <w:t>Erhvervsakademi Aarhus</w:t>
      </w:r>
    </w:p>
    <w:p w:rsidR="00805359" w:rsidRDefault="00805359" w:rsidP="00805359">
      <w:r>
        <w:t>Firmaidræt</w:t>
      </w:r>
    </w:p>
    <w:p w:rsidR="00805359" w:rsidRDefault="00805359" w:rsidP="00805359">
      <w:proofErr w:type="spellStart"/>
      <w:r>
        <w:t>Genan</w:t>
      </w:r>
      <w:proofErr w:type="spellEnd"/>
    </w:p>
    <w:p w:rsidR="00805359" w:rsidRPr="00805359" w:rsidRDefault="00805359" w:rsidP="00805359">
      <w:r>
        <w:t>HOFOR</w:t>
      </w:r>
    </w:p>
    <w:p w:rsidR="00805359" w:rsidRPr="000874DF" w:rsidRDefault="00805359" w:rsidP="00805359">
      <w:r w:rsidRPr="000874DF">
        <w:t>Imdex</w:t>
      </w:r>
    </w:p>
    <w:p w:rsidR="00805359" w:rsidRPr="00805359" w:rsidRDefault="00805359" w:rsidP="00805359">
      <w:pPr>
        <w:rPr>
          <w:lang w:val="en-US"/>
        </w:rPr>
      </w:pPr>
      <w:r w:rsidRPr="00805359">
        <w:rPr>
          <w:lang w:val="en-US"/>
        </w:rPr>
        <w:t>KU, Dep. of Geosciences and Natural Resource Management</w:t>
      </w:r>
    </w:p>
    <w:p w:rsidR="00805359" w:rsidRDefault="00805359" w:rsidP="00805359">
      <w:r>
        <w:t>NKI</w:t>
      </w:r>
    </w:p>
    <w:p w:rsidR="00805359" w:rsidRDefault="00805359" w:rsidP="00805359">
      <w:r>
        <w:t>Re-Match</w:t>
      </w:r>
    </w:p>
    <w:p w:rsidR="00805359" w:rsidRPr="00805359" w:rsidRDefault="00805359" w:rsidP="00805359">
      <w:proofErr w:type="spellStart"/>
      <w:r w:rsidRPr="00805359">
        <w:t>Rubcom</w:t>
      </w:r>
      <w:proofErr w:type="spellEnd"/>
    </w:p>
    <w:sectPr w:rsidR="00805359" w:rsidRPr="00805359" w:rsidSect="007A04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56" w:rsidRDefault="008A6A56">
      <w:r>
        <w:separator/>
      </w:r>
    </w:p>
  </w:endnote>
  <w:endnote w:type="continuationSeparator" w:id="0">
    <w:p w:rsidR="008A6A56" w:rsidRDefault="008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362F3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874DF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F3" w:rsidRPr="001362F3" w:rsidRDefault="001362F3" w:rsidP="001362F3">
    <w:pPr>
      <w:pStyle w:val="Template-Address"/>
    </w:pPr>
    <w:bookmarkStart w:id="19" w:name="OFF_Institution"/>
    <w:bookmarkStart w:id="20" w:name="OFF_InstitutionHIF"/>
    <w:bookmarkStart w:id="21" w:name="XIF_MMFirstAddressLine"/>
    <w:r w:rsidRPr="001362F3">
      <w:t>navn</w:t>
    </w:r>
    <w:bookmarkEnd w:id="19"/>
    <w:r w:rsidRPr="001362F3">
      <w:t xml:space="preserve"> </w:t>
    </w:r>
    <w:bookmarkEnd w:id="20"/>
    <w:r w:rsidRPr="001362F3">
      <w:t xml:space="preserve">• </w:t>
    </w:r>
    <w:bookmarkStart w:id="22" w:name="OFF_AddressA"/>
    <w:bookmarkStart w:id="23" w:name="OFF_AddressAHIF"/>
    <w:r w:rsidRPr="001362F3">
      <w:t>adr1</w:t>
    </w:r>
    <w:bookmarkEnd w:id="22"/>
    <w:r w:rsidRPr="001362F3">
      <w:t xml:space="preserve"> </w:t>
    </w:r>
    <w:bookmarkEnd w:id="23"/>
    <w:r w:rsidRPr="001362F3">
      <w:t xml:space="preserve">• </w:t>
    </w:r>
    <w:bookmarkStart w:id="24" w:name="OFF_AddressB"/>
    <w:bookmarkStart w:id="25" w:name="OFF_AddressBHIF"/>
    <w:r w:rsidRPr="001362F3">
      <w:t>adr2</w:t>
    </w:r>
    <w:bookmarkEnd w:id="24"/>
    <w:r w:rsidRPr="001362F3">
      <w:t xml:space="preserve"> </w:t>
    </w:r>
    <w:bookmarkEnd w:id="25"/>
    <w:r w:rsidRPr="001362F3">
      <w:t xml:space="preserve">• </w:t>
    </w:r>
    <w:bookmarkStart w:id="26" w:name="OFF_AddressC"/>
    <w:bookmarkStart w:id="27" w:name="OFF_AddressCHIF"/>
    <w:r w:rsidRPr="001362F3">
      <w:t>adr3</w:t>
    </w:r>
    <w:bookmarkEnd w:id="26"/>
    <w:r w:rsidRPr="001362F3">
      <w:t xml:space="preserve"> </w:t>
    </w:r>
    <w:bookmarkEnd w:id="27"/>
    <w:r w:rsidRPr="001362F3">
      <w:t xml:space="preserve">• </w:t>
    </w:r>
    <w:bookmarkStart w:id="28" w:name="OFF_AddressD"/>
    <w:bookmarkStart w:id="29" w:name="OFF_AddressDHIF"/>
    <w:r w:rsidRPr="001362F3">
      <w:t>postnr</w:t>
    </w:r>
    <w:bookmarkEnd w:id="28"/>
    <w:r w:rsidRPr="001362F3">
      <w:t xml:space="preserve"> </w:t>
    </w:r>
    <w:bookmarkStart w:id="30" w:name="OFF_City"/>
    <w:r w:rsidRPr="001362F3">
      <w:t>by</w:t>
    </w:r>
    <w:bookmarkEnd w:id="30"/>
    <w:r w:rsidRPr="001362F3">
      <w:t xml:space="preserve"> </w:t>
    </w:r>
    <w:bookmarkEnd w:id="29"/>
  </w:p>
  <w:p w:rsidR="001362F3" w:rsidRPr="00AD0963" w:rsidRDefault="001362F3" w:rsidP="001362F3">
    <w:pPr>
      <w:pStyle w:val="Template-Address"/>
      <w:rPr>
        <w:lang w:val="en-GB"/>
      </w:rPr>
    </w:pPr>
    <w:bookmarkStart w:id="31" w:name="LAN_Phone"/>
    <w:bookmarkStart w:id="32" w:name="OFF_PhoneHIF"/>
    <w:bookmarkStart w:id="33" w:name="XIF_MMSecondAddressLine"/>
    <w:bookmarkEnd w:id="21"/>
    <w:r>
      <w:rPr>
        <w:lang w:val="en-GB"/>
      </w:rPr>
      <w:t>Tlf.</w:t>
    </w:r>
    <w:bookmarkEnd w:id="31"/>
    <w:r w:rsidRPr="00AD0963">
      <w:rPr>
        <w:lang w:val="en-GB"/>
      </w:rPr>
      <w:t xml:space="preserve"> </w:t>
    </w:r>
    <w:bookmarkStart w:id="34" w:name="OFF_Phone"/>
    <w:r w:rsidRPr="00AD0963">
      <w:rPr>
        <w:lang w:val="en-GB"/>
      </w:rPr>
      <w:t>Nr</w:t>
    </w:r>
    <w:bookmarkEnd w:id="34"/>
    <w:r w:rsidRPr="00AD0963">
      <w:rPr>
        <w:lang w:val="en-GB"/>
      </w:rPr>
      <w:t xml:space="preserve"> </w:t>
    </w:r>
    <w:bookmarkEnd w:id="32"/>
    <w:r w:rsidRPr="001362F3">
      <w:rPr>
        <w:lang w:val="en-GB"/>
      </w:rPr>
      <w:t xml:space="preserve">• </w:t>
    </w:r>
    <w:bookmarkStart w:id="35" w:name="LAN_Fax"/>
    <w:bookmarkStart w:id="36" w:name="OFF_FaxHIF"/>
    <w:r>
      <w:rPr>
        <w:lang w:val="en-GB"/>
      </w:rPr>
      <w:t>Fax</w:t>
    </w:r>
    <w:bookmarkEnd w:id="35"/>
    <w:r w:rsidRPr="00AD0963">
      <w:rPr>
        <w:lang w:val="en-GB"/>
      </w:rPr>
      <w:t xml:space="preserve"> </w:t>
    </w:r>
    <w:bookmarkStart w:id="37" w:name="OFF_Fax"/>
    <w:r w:rsidRPr="00AD0963">
      <w:rPr>
        <w:lang w:val="en-GB"/>
      </w:rPr>
      <w:t>nr</w:t>
    </w:r>
    <w:bookmarkEnd w:id="37"/>
    <w:r w:rsidRPr="00AD0963">
      <w:rPr>
        <w:lang w:val="en-GB"/>
      </w:rPr>
      <w:t xml:space="preserve"> </w:t>
    </w:r>
    <w:bookmarkEnd w:id="36"/>
    <w:r w:rsidRPr="001362F3">
      <w:rPr>
        <w:lang w:val="en-GB"/>
      </w:rPr>
      <w:t xml:space="preserve">• </w:t>
    </w:r>
    <w:bookmarkStart w:id="38" w:name="OFF_CVRHIF"/>
    <w:r w:rsidRPr="00AD0963">
      <w:rPr>
        <w:lang w:val="en-GB"/>
      </w:rPr>
      <w:t xml:space="preserve">CVR </w:t>
    </w:r>
    <w:bookmarkStart w:id="39" w:name="OFF_CVR"/>
    <w:r w:rsidRPr="00AD0963">
      <w:rPr>
        <w:lang w:val="en-GB"/>
      </w:rPr>
      <w:t>nr</w:t>
    </w:r>
    <w:bookmarkEnd w:id="39"/>
    <w:r w:rsidRPr="00AD0963">
      <w:rPr>
        <w:lang w:val="en-GB"/>
      </w:rPr>
      <w:t xml:space="preserve"> </w:t>
    </w:r>
    <w:bookmarkEnd w:id="38"/>
    <w:r w:rsidRPr="001362F3">
      <w:rPr>
        <w:lang w:val="en-GB"/>
      </w:rPr>
      <w:t xml:space="preserve">• </w:t>
    </w:r>
    <w:bookmarkStart w:id="40" w:name="OFF_EANHIF"/>
    <w:r w:rsidRPr="00AD0963">
      <w:rPr>
        <w:lang w:val="en-GB"/>
      </w:rPr>
      <w:t xml:space="preserve">EAN </w:t>
    </w:r>
    <w:bookmarkStart w:id="41" w:name="OFF_EAN"/>
    <w:r w:rsidRPr="00AD0963">
      <w:rPr>
        <w:lang w:val="en-GB"/>
      </w:rPr>
      <w:t>nr</w:t>
    </w:r>
    <w:bookmarkEnd w:id="41"/>
    <w:r w:rsidRPr="00AD0963">
      <w:rPr>
        <w:lang w:val="en-GB"/>
      </w:rPr>
      <w:t xml:space="preserve"> </w:t>
    </w:r>
    <w:bookmarkEnd w:id="40"/>
    <w:r w:rsidRPr="001362F3">
      <w:rPr>
        <w:vanish/>
        <w:lang w:val="en-GB"/>
      </w:rPr>
      <w:t xml:space="preserve">• </w:t>
    </w:r>
    <w:bookmarkStart w:id="42" w:name="OFF_Email"/>
    <w:bookmarkStart w:id="43" w:name="OFF_EmailHIF"/>
    <w:bookmarkEnd w:id="42"/>
    <w:r w:rsidRPr="00AD0963">
      <w:rPr>
        <w:vanish/>
        <w:lang w:val="en-GB"/>
      </w:rPr>
      <w:t xml:space="preserve"> </w:t>
    </w:r>
    <w:bookmarkEnd w:id="43"/>
    <w:r w:rsidRPr="001362F3">
      <w:rPr>
        <w:lang w:val="en-GB"/>
      </w:rPr>
      <w:t xml:space="preserve">• </w:t>
    </w:r>
    <w:bookmarkStart w:id="44" w:name="OFF_Web"/>
    <w:bookmarkStart w:id="45" w:name="OFF_WebHIF"/>
    <w:r w:rsidRPr="00AD0963">
      <w:rPr>
        <w:lang w:val="en-GB"/>
      </w:rPr>
      <w:t>web</w:t>
    </w:r>
    <w:bookmarkEnd w:id="44"/>
    <w:r w:rsidRPr="00AD0963">
      <w:rPr>
        <w:lang w:val="en-GB"/>
      </w:rPr>
      <w:t xml:space="preserve"> </w:t>
    </w:r>
    <w:bookmarkEnd w:id="33"/>
    <w:bookmarkEnd w:id="45"/>
  </w:p>
  <w:p w:rsidR="0048667B" w:rsidRPr="001362F3" w:rsidRDefault="0048667B" w:rsidP="001362F3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56" w:rsidRDefault="008A6A56">
      <w:r>
        <w:separator/>
      </w:r>
    </w:p>
  </w:footnote>
  <w:footnote w:type="continuationSeparator" w:id="0">
    <w:p w:rsidR="008A6A56" w:rsidRDefault="008A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1" w:name="BIT_PrimaryHeader"/>
  </w:p>
  <w:bookmarkEnd w:id="1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F3" w:rsidRPr="008B307D" w:rsidRDefault="001362F3" w:rsidP="001362F3">
    <w:pPr>
      <w:rPr>
        <w:lang w:val="en-GB"/>
      </w:rPr>
    </w:pPr>
    <w:bookmarkStart w:id="2" w:name="FLD_DocumentName"/>
    <w:r w:rsidRPr="008B307D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A4CF839" wp14:editId="45DB4EFD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1362F3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1362F3" w:rsidRDefault="001362F3">
                                <w:pPr>
                                  <w:pStyle w:val="Kolofontekst"/>
                                </w:pPr>
                                <w:bookmarkStart w:id="3" w:name="OFF_DepartmentHIF"/>
                                <w:r>
                                  <w:t>Miljøstyrelsen</w:t>
                                </w:r>
                              </w:p>
                              <w:p w:rsidR="001362F3" w:rsidRPr="001362F3" w:rsidRDefault="001362F3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4" w:name="LAN_CaseNo"/>
                                <w:bookmarkStart w:id="5" w:name="sagsnrHIF"/>
                                <w:bookmarkEnd w:id="3"/>
                                <w:r w:rsidRPr="001362F3">
                                  <w:rPr>
                                    <w:vanish/>
                                  </w:rPr>
                                  <w:t>J.nr.</w:t>
                                </w:r>
                                <w:bookmarkEnd w:id="4"/>
                                <w:r w:rsidRPr="001362F3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6" w:name="sagsnr"/>
                                <w:bookmarkEnd w:id="6"/>
                              </w:p>
                              <w:p w:rsidR="001362F3" w:rsidRPr="001362F3" w:rsidRDefault="001362F3">
                                <w:pPr>
                                  <w:pStyle w:val="Kolofontekst"/>
                                </w:pPr>
                                <w:bookmarkStart w:id="7" w:name="LAN_Ref"/>
                                <w:bookmarkStart w:id="8" w:name="USR_InitialsHIF"/>
                                <w:bookmarkEnd w:id="5"/>
                                <w:r w:rsidRPr="001362F3">
                                  <w:t>Ref.</w:t>
                                </w:r>
                                <w:bookmarkEnd w:id="7"/>
                                <w:r w:rsidRPr="001362F3">
                                  <w:t xml:space="preserve"> </w:t>
                                </w:r>
                                <w:bookmarkStart w:id="9" w:name="USR_Initials"/>
                                <w:r w:rsidRPr="001362F3">
                                  <w:t>ANNEN</w:t>
                                </w:r>
                                <w:bookmarkEnd w:id="9"/>
                              </w:p>
                              <w:p w:rsidR="001362F3" w:rsidRDefault="001362F3" w:rsidP="00F351D6">
                                <w:pPr>
                                  <w:pStyle w:val="Kolofontekst"/>
                                </w:pPr>
                                <w:bookmarkStart w:id="10" w:name="FLD_DocumentDate"/>
                                <w:bookmarkEnd w:id="8"/>
                                <w:r>
                                  <w:t>Den 16. november 2017</w:t>
                                </w:r>
                                <w:bookmarkEnd w:id="10"/>
                              </w:p>
                            </w:tc>
                          </w:tr>
                        </w:tbl>
                        <w:p w:rsidR="001362F3" w:rsidRDefault="001362F3" w:rsidP="001362F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1362F3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1362F3" w:rsidRDefault="001362F3">
                          <w:pPr>
                            <w:pStyle w:val="Kolofontekst"/>
                          </w:pPr>
                          <w:bookmarkStart w:id="11" w:name="OFF_DepartmentHIF"/>
                          <w:r>
                            <w:t>Miljøstyrelsen</w:t>
                          </w:r>
                        </w:p>
                        <w:p w:rsidR="001362F3" w:rsidRPr="001362F3" w:rsidRDefault="001362F3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12" w:name="LAN_CaseNo"/>
                          <w:bookmarkStart w:id="13" w:name="sagsnrHIF"/>
                          <w:bookmarkEnd w:id="11"/>
                          <w:r w:rsidRPr="001362F3">
                            <w:rPr>
                              <w:vanish/>
                            </w:rPr>
                            <w:t>J.nr.</w:t>
                          </w:r>
                          <w:bookmarkEnd w:id="12"/>
                          <w:r w:rsidRPr="001362F3">
                            <w:rPr>
                              <w:vanish/>
                            </w:rPr>
                            <w:t xml:space="preserve"> </w:t>
                          </w:r>
                          <w:bookmarkStart w:id="14" w:name="sagsnr"/>
                          <w:bookmarkEnd w:id="14"/>
                        </w:p>
                        <w:p w:rsidR="001362F3" w:rsidRPr="001362F3" w:rsidRDefault="001362F3">
                          <w:pPr>
                            <w:pStyle w:val="Kolofontekst"/>
                          </w:pPr>
                          <w:bookmarkStart w:id="15" w:name="LAN_Ref"/>
                          <w:bookmarkStart w:id="16" w:name="USR_InitialsHIF"/>
                          <w:bookmarkEnd w:id="13"/>
                          <w:r w:rsidRPr="001362F3">
                            <w:t>Ref.</w:t>
                          </w:r>
                          <w:bookmarkEnd w:id="15"/>
                          <w:r w:rsidRPr="001362F3">
                            <w:t xml:space="preserve"> </w:t>
                          </w:r>
                          <w:bookmarkStart w:id="17" w:name="USR_Initials"/>
                          <w:r w:rsidRPr="001362F3">
                            <w:t>ANNEN</w:t>
                          </w:r>
                          <w:bookmarkEnd w:id="17"/>
                        </w:p>
                        <w:p w:rsidR="001362F3" w:rsidRDefault="001362F3" w:rsidP="00F351D6">
                          <w:pPr>
                            <w:pStyle w:val="Kolofontekst"/>
                          </w:pPr>
                          <w:bookmarkStart w:id="18" w:name="FLD_DocumentDate"/>
                          <w:bookmarkEnd w:id="16"/>
                          <w:r>
                            <w:t>Den 16. november 2017</w:t>
                          </w:r>
                          <w:bookmarkEnd w:id="18"/>
                        </w:p>
                      </w:tc>
                    </w:tr>
                  </w:tbl>
                  <w:p w:rsidR="001362F3" w:rsidRDefault="001362F3" w:rsidP="001362F3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A51DBA" w:rsidRDefault="001362F3" w:rsidP="00CF1627">
    <w:pPr>
      <w:pStyle w:val="DocumentName"/>
    </w:pPr>
    <w:r>
      <w:t>Notat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F3"/>
    <w:rsid w:val="00002EA0"/>
    <w:rsid w:val="00003636"/>
    <w:rsid w:val="00005FAA"/>
    <w:rsid w:val="00010163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86B6B"/>
    <w:rsid w:val="000874DF"/>
    <w:rsid w:val="00096AA1"/>
    <w:rsid w:val="000A1C92"/>
    <w:rsid w:val="000A26F5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33780"/>
    <w:rsid w:val="001354CC"/>
    <w:rsid w:val="001362F3"/>
    <w:rsid w:val="0014150F"/>
    <w:rsid w:val="00144670"/>
    <w:rsid w:val="0014616C"/>
    <w:rsid w:val="00147799"/>
    <w:rsid w:val="00150899"/>
    <w:rsid w:val="00152CB8"/>
    <w:rsid w:val="00156908"/>
    <w:rsid w:val="00160721"/>
    <w:rsid w:val="001743E7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265A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3350"/>
    <w:rsid w:val="003A3369"/>
    <w:rsid w:val="003A44A9"/>
    <w:rsid w:val="003B19B2"/>
    <w:rsid w:val="003B6C74"/>
    <w:rsid w:val="003C67E6"/>
    <w:rsid w:val="003D3CB2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A04FE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3B3"/>
    <w:rsid w:val="007F770C"/>
    <w:rsid w:val="00802CB9"/>
    <w:rsid w:val="00805359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A56"/>
    <w:rsid w:val="008A6D27"/>
    <w:rsid w:val="008B1B83"/>
    <w:rsid w:val="008B3ADA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58B3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3C01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760D"/>
    <w:rsid w:val="00D008ED"/>
    <w:rsid w:val="00D01984"/>
    <w:rsid w:val="00D01EDA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90567"/>
    <w:rsid w:val="00F908EE"/>
    <w:rsid w:val="00F91352"/>
    <w:rsid w:val="00F922ED"/>
    <w:rsid w:val="00FB7ADE"/>
    <w:rsid w:val="00FC164F"/>
    <w:rsid w:val="00FD2036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3</Pages>
  <Words>297</Words>
  <Characters>1813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Anne Nielsen</dc:creator>
  <cp:lastModifiedBy>Ida Steenberg-Sørensen</cp:lastModifiedBy>
  <cp:revision>2</cp:revision>
  <cp:lastPrinted>2005-05-20T12:11:00Z</cp:lastPrinted>
  <dcterms:created xsi:type="dcterms:W3CDTF">2017-11-16T11:38:00Z</dcterms:created>
  <dcterms:modified xsi:type="dcterms:W3CDTF">2017-11-16T11:38:00Z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43055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Anne Nielsen</vt:lpwstr>
  </property>
  <property fmtid="{D5CDD505-2E9C-101B-9397-08002B2CF9AE}" pid="17" name="SD_CtlText_Generelt_CaseNo">
    <vt:lpwstr/>
  </property>
  <property fmtid="{D5CDD505-2E9C-101B-9397-08002B2CF9AE}" pid="18" name="SD_UserprofileName">
    <vt:lpwstr>Anne Nielsen</vt:lpwstr>
  </property>
  <property fmtid="{D5CDD505-2E9C-101B-9397-08002B2CF9AE}" pid="19" name="USR_Name">
    <vt:lpwstr>Anne Nielsen</vt:lpwstr>
  </property>
  <property fmtid="{D5CDD505-2E9C-101B-9397-08002B2CF9AE}" pid="20" name="USR_Initials">
    <vt:lpwstr>ANNEN</vt:lpwstr>
  </property>
  <property fmtid="{D5CDD505-2E9C-101B-9397-08002B2CF9AE}" pid="21" name="USR_Title">
    <vt:lpwstr>AC-Tekniker</vt:lpwstr>
  </property>
  <property fmtid="{D5CDD505-2E9C-101B-9397-08002B2CF9AE}" pid="22" name="USR_DirectPhone">
    <vt:lpwstr>72 54 43 10</vt:lpwstr>
  </property>
  <property fmtid="{D5CDD505-2E9C-101B-9397-08002B2CF9AE}" pid="23" name="USR_Mobile">
    <vt:lpwstr/>
  </property>
  <property fmtid="{D5CDD505-2E9C-101B-9397-08002B2CF9AE}" pid="24" name="USR_Email">
    <vt:lpwstr>annen@mst.dk</vt:lpwstr>
  </property>
  <property fmtid="{D5CDD505-2E9C-101B-9397-08002B2CF9AE}" pid="25" name="DocumentInfoFinished">
    <vt:lpwstr>True</vt:lpwstr>
  </property>
</Properties>
</file>