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AB9E1" w14:textId="41EDE01C" w:rsidR="009A5D16" w:rsidRPr="003F6D68" w:rsidRDefault="003B1385" w:rsidP="006A3AC1">
      <w:pPr>
        <w:pBdr>
          <w:bottom w:val="single" w:sz="4" w:space="1" w:color="auto"/>
        </w:pBdr>
        <w:ind w:left="360"/>
        <w:rPr>
          <w:rFonts w:ascii="Palatino Linotype" w:hAnsi="Palatino Linotype"/>
          <w:sz w:val="36"/>
          <w:szCs w:val="36"/>
        </w:rPr>
      </w:pPr>
      <w:bookmarkStart w:id="0" w:name="_GoBack"/>
      <w:bookmarkEnd w:id="0"/>
      <w:r>
        <w:rPr>
          <w:rFonts w:ascii="Palatino Linotype" w:hAnsi="Palatino Linotype"/>
          <w:b/>
          <w:sz w:val="36"/>
          <w:szCs w:val="36"/>
        </w:rPr>
        <w:t>Høringssvar</w:t>
      </w:r>
      <w:r w:rsidR="003A55F0" w:rsidRPr="003F6D68">
        <w:rPr>
          <w:rFonts w:ascii="Palatino Linotype" w:hAnsi="Palatino Linotype"/>
          <w:b/>
          <w:sz w:val="36"/>
          <w:szCs w:val="36"/>
        </w:rPr>
        <w:t xml:space="preserve"> – </w:t>
      </w:r>
      <w:r w:rsidR="00BB1A6F">
        <w:rPr>
          <w:rFonts w:ascii="Palatino Linotype" w:hAnsi="Palatino Linotype"/>
          <w:b/>
          <w:sz w:val="36"/>
          <w:szCs w:val="36"/>
        </w:rPr>
        <w:t>forslag om anmeldelsesordning for boliger</w:t>
      </w:r>
      <w:r w:rsidR="00876BB1">
        <w:rPr>
          <w:rFonts w:ascii="Palatino Linotype" w:hAnsi="Palatino Linotype"/>
          <w:b/>
          <w:sz w:val="36"/>
          <w:szCs w:val="36"/>
        </w:rPr>
        <w:t>.</w:t>
      </w:r>
    </w:p>
    <w:p w14:paraId="369B9CA3" w14:textId="4A17C991" w:rsidR="007311C6" w:rsidRDefault="007311C6" w:rsidP="009066FE">
      <w:pPr>
        <w:ind w:left="360"/>
        <w:rPr>
          <w:rFonts w:ascii="Palatino Linotype" w:hAnsi="Palatino Linotype"/>
        </w:rPr>
      </w:pPr>
    </w:p>
    <w:p w14:paraId="09A0093A" w14:textId="77777777" w:rsidR="004D4AF5" w:rsidRPr="004D4AF5" w:rsidRDefault="001027BE" w:rsidP="00DF60BC">
      <w:pPr>
        <w:pStyle w:val="Listeafsnit"/>
        <w:numPr>
          <w:ilvl w:val="0"/>
          <w:numId w:val="4"/>
        </w:numPr>
        <w:rPr>
          <w:rFonts w:ascii="Palatino Linotype" w:hAnsi="Palatino Linotype"/>
        </w:rPr>
      </w:pPr>
      <w:r>
        <w:rPr>
          <w:rFonts w:ascii="Palatino Linotype" w:hAnsi="Palatino Linotype"/>
          <w:b/>
          <w:bCs/>
          <w:sz w:val="28"/>
          <w:szCs w:val="28"/>
        </w:rPr>
        <w:t>Lovforslaget.</w:t>
      </w:r>
    </w:p>
    <w:p w14:paraId="35F4EF0C" w14:textId="77777777" w:rsidR="004D4AF5" w:rsidRDefault="004D4AF5" w:rsidP="004D4AF5">
      <w:pPr>
        <w:pStyle w:val="Listeafsnit"/>
        <w:rPr>
          <w:rFonts w:ascii="Palatino Linotype" w:hAnsi="Palatino Linotype"/>
        </w:rPr>
      </w:pPr>
      <w:r w:rsidRPr="004D4AF5">
        <w:rPr>
          <w:rFonts w:ascii="Palatino Linotype" w:hAnsi="Palatino Linotype"/>
        </w:rPr>
        <w:t>Forslaget giver kommunerne mulighed for at bestemme, at alle boliger, der er mere end 40 år gamle og som ikke har været udlejet inden for det seneste år</w:t>
      </w:r>
    </w:p>
    <w:p w14:paraId="75620EF8" w14:textId="77777777" w:rsidR="00665DEE" w:rsidRDefault="006E77EE" w:rsidP="004D4AF5">
      <w:pPr>
        <w:pStyle w:val="Listeafsnit"/>
        <w:rPr>
          <w:rFonts w:ascii="Palatino Linotype" w:hAnsi="Palatino Linotype"/>
        </w:rPr>
      </w:pPr>
      <w:r w:rsidRPr="004D4AF5">
        <w:rPr>
          <w:rFonts w:ascii="Palatino Linotype" w:hAnsi="Palatino Linotype"/>
        </w:rPr>
        <w:br/>
      </w:r>
      <w:r w:rsidR="003B1385" w:rsidRPr="006D6DDF">
        <w:rPr>
          <w:rFonts w:ascii="Palatino Linotype" w:hAnsi="Palatino Linotype"/>
        </w:rPr>
        <w:t xml:space="preserve">Hvis Kommunerne vælger at bruge </w:t>
      </w:r>
      <w:r w:rsidR="00E6445F" w:rsidRPr="006D6DDF">
        <w:rPr>
          <w:rFonts w:ascii="Palatino Linotype" w:hAnsi="Palatino Linotype"/>
        </w:rPr>
        <w:t>anmeldelsesordningen,</w:t>
      </w:r>
      <w:r w:rsidR="003B1385" w:rsidRPr="006D6DDF">
        <w:rPr>
          <w:rFonts w:ascii="Palatino Linotype" w:hAnsi="Palatino Linotype"/>
        </w:rPr>
        <w:t xml:space="preserve"> har </w:t>
      </w:r>
      <w:r w:rsidRPr="006D6DDF">
        <w:rPr>
          <w:rFonts w:ascii="Palatino Linotype" w:hAnsi="Palatino Linotype"/>
        </w:rPr>
        <w:t xml:space="preserve">kommunen 30 dage efter anmeldelsen </w:t>
      </w:r>
      <w:r w:rsidR="00C921AA" w:rsidRPr="006D6DDF">
        <w:rPr>
          <w:rFonts w:ascii="Palatino Linotype" w:hAnsi="Palatino Linotype"/>
        </w:rPr>
        <w:t>til at vurdere</w:t>
      </w:r>
      <w:r w:rsidRPr="006D6DDF">
        <w:rPr>
          <w:rFonts w:ascii="Palatino Linotype" w:hAnsi="Palatino Linotype"/>
        </w:rPr>
        <w:t xml:space="preserve"> til, hvorvidt</w:t>
      </w:r>
      <w:r w:rsidR="00665DEE">
        <w:rPr>
          <w:rFonts w:ascii="Palatino Linotype" w:hAnsi="Palatino Linotype"/>
        </w:rPr>
        <w:t>:</w:t>
      </w:r>
    </w:p>
    <w:p w14:paraId="1F4F91A6" w14:textId="049C25C8" w:rsidR="00665DEE" w:rsidRDefault="006E77EE" w:rsidP="004D4AF5">
      <w:pPr>
        <w:pStyle w:val="Listeafsnit"/>
        <w:rPr>
          <w:rFonts w:ascii="Palatino Linotype" w:hAnsi="Palatino Linotype"/>
        </w:rPr>
      </w:pPr>
      <w:r w:rsidRPr="006D6DDF">
        <w:rPr>
          <w:rFonts w:ascii="Palatino Linotype" w:hAnsi="Palatino Linotype"/>
        </w:rPr>
        <w:t xml:space="preserve"> </w:t>
      </w:r>
    </w:p>
    <w:p w14:paraId="10ACED5D" w14:textId="77777777" w:rsidR="00665DEE" w:rsidRDefault="006E77EE" w:rsidP="00DF60BC">
      <w:pPr>
        <w:pStyle w:val="Listeafsnit"/>
        <w:numPr>
          <w:ilvl w:val="1"/>
          <w:numId w:val="8"/>
        </w:numPr>
        <w:rPr>
          <w:rFonts w:ascii="Palatino Linotype" w:hAnsi="Palatino Linotype"/>
        </w:rPr>
      </w:pPr>
      <w:r w:rsidRPr="006D6DDF">
        <w:rPr>
          <w:rFonts w:ascii="Palatino Linotype" w:hAnsi="Palatino Linotype"/>
        </w:rPr>
        <w:t xml:space="preserve">boligen skal kondemneres, </w:t>
      </w:r>
    </w:p>
    <w:p w14:paraId="78896F7A" w14:textId="77777777" w:rsidR="00665DEE" w:rsidRDefault="006E77EE" w:rsidP="00DF60BC">
      <w:pPr>
        <w:pStyle w:val="Listeafsnit"/>
        <w:numPr>
          <w:ilvl w:val="1"/>
          <w:numId w:val="8"/>
        </w:numPr>
        <w:rPr>
          <w:rFonts w:ascii="Palatino Linotype" w:hAnsi="Palatino Linotype"/>
        </w:rPr>
      </w:pPr>
      <w:r w:rsidRPr="006D6DDF">
        <w:rPr>
          <w:rFonts w:ascii="Palatino Linotype" w:hAnsi="Palatino Linotype"/>
        </w:rPr>
        <w:t>der skal gennemføres huslejenævnssag</w:t>
      </w:r>
    </w:p>
    <w:p w14:paraId="0D9C9DB7" w14:textId="3D9AD927" w:rsidR="006E77EE" w:rsidRPr="006D6DDF" w:rsidRDefault="006E77EE" w:rsidP="00DF60BC">
      <w:pPr>
        <w:pStyle w:val="Listeafsnit"/>
        <w:numPr>
          <w:ilvl w:val="1"/>
          <w:numId w:val="8"/>
        </w:numPr>
        <w:rPr>
          <w:rFonts w:ascii="Palatino Linotype" w:hAnsi="Palatino Linotype"/>
        </w:rPr>
      </w:pPr>
      <w:r w:rsidRPr="006D6DDF">
        <w:rPr>
          <w:rFonts w:ascii="Palatino Linotype" w:hAnsi="Palatino Linotype"/>
        </w:rPr>
        <w:t xml:space="preserve">boligen må udlejes uden videre. </w:t>
      </w:r>
    </w:p>
    <w:p w14:paraId="20ED490A" w14:textId="77777777" w:rsidR="006E77EE" w:rsidRDefault="006E77EE" w:rsidP="009066FE">
      <w:pPr>
        <w:ind w:left="360"/>
        <w:rPr>
          <w:rFonts w:ascii="Palatino Linotype" w:hAnsi="Palatino Linotype"/>
        </w:rPr>
      </w:pPr>
    </w:p>
    <w:p w14:paraId="071423DC" w14:textId="1FA2F998" w:rsidR="006E77EE" w:rsidRPr="006E77EE" w:rsidRDefault="006D6DDF" w:rsidP="006D6DDF">
      <w:pPr>
        <w:ind w:left="72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A.1. </w:t>
      </w:r>
      <w:r w:rsidR="006E77EE" w:rsidRPr="006E77EE">
        <w:rPr>
          <w:rFonts w:ascii="Palatino Linotype" w:hAnsi="Palatino Linotype"/>
          <w:b/>
          <w:bCs/>
        </w:rPr>
        <w:t>Hvis der konkluderes sundhedsfare</w:t>
      </w:r>
      <w:r w:rsidR="00E473FC">
        <w:rPr>
          <w:rFonts w:ascii="Palatino Linotype" w:hAnsi="Palatino Linotype"/>
          <w:b/>
          <w:bCs/>
        </w:rPr>
        <w:t>:</w:t>
      </w:r>
    </w:p>
    <w:p w14:paraId="601E8EF9" w14:textId="09C1BF51" w:rsidR="00C921AA" w:rsidRDefault="00BB1A6F" w:rsidP="006D6DDF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Hvis besigtigelsen giver anledning til at tro, at der er sundhedsfare, </w:t>
      </w:r>
      <w:r w:rsidRPr="00C93BA5">
        <w:rPr>
          <w:rFonts w:ascii="Palatino Linotype" w:hAnsi="Palatino Linotype"/>
          <w:u w:val="single"/>
        </w:rPr>
        <w:t>skal</w:t>
      </w:r>
      <w:r>
        <w:rPr>
          <w:rFonts w:ascii="Palatino Linotype" w:hAnsi="Palatino Linotype"/>
        </w:rPr>
        <w:t xml:space="preserve"> kommunen </w:t>
      </w:r>
      <w:r w:rsidR="00C93BA5">
        <w:rPr>
          <w:rFonts w:ascii="Palatino Linotype" w:hAnsi="Palatino Linotype"/>
        </w:rPr>
        <w:t xml:space="preserve">indlede en kondemneringssag. </w:t>
      </w:r>
    </w:p>
    <w:p w14:paraId="68D52BAA" w14:textId="54F8FD29" w:rsidR="00C921AA" w:rsidRDefault="00C921AA" w:rsidP="006D6DDF">
      <w:pPr>
        <w:ind w:left="720"/>
        <w:rPr>
          <w:rFonts w:ascii="Palatino Linotype" w:hAnsi="Palatino Linotype"/>
        </w:rPr>
      </w:pPr>
    </w:p>
    <w:p w14:paraId="233ACFFC" w14:textId="77777777" w:rsidR="00C007D7" w:rsidRDefault="00C921AA" w:rsidP="006D6DDF">
      <w:pPr>
        <w:ind w:left="72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 xml:space="preserve">Det fremgår ikke, hvorvidt forslaget indebærer, at </w:t>
      </w:r>
      <w:r w:rsidR="00F60971">
        <w:rPr>
          <w:rFonts w:ascii="Palatino Linotype" w:hAnsi="Palatino Linotype"/>
        </w:rPr>
        <w:t xml:space="preserve">kommunen </w:t>
      </w:r>
      <w:r w:rsidR="00F97D68">
        <w:rPr>
          <w:rFonts w:ascii="Palatino Linotype" w:hAnsi="Palatino Linotype"/>
        </w:rPr>
        <w:t xml:space="preserve">i sager med sundhedsfare </w:t>
      </w:r>
      <w:r w:rsidR="00F60971">
        <w:rPr>
          <w:rFonts w:ascii="Palatino Linotype" w:hAnsi="Palatino Linotype"/>
        </w:rPr>
        <w:t xml:space="preserve">med udgangen af </w:t>
      </w:r>
      <w:r w:rsidR="00F97D68">
        <w:rPr>
          <w:rFonts w:ascii="Palatino Linotype" w:hAnsi="Palatino Linotype"/>
        </w:rPr>
        <w:t>30-dages fristen skal nedlægge et forbud. Det vil i praksis være umuligt.</w:t>
      </w:r>
      <w:r w:rsidR="00C007D7" w:rsidRPr="00C007D7">
        <w:rPr>
          <w:rFonts w:ascii="Palatino Linotype" w:hAnsi="Palatino Linotype"/>
          <w:b/>
          <w:bCs/>
        </w:rPr>
        <w:t xml:space="preserve"> </w:t>
      </w:r>
    </w:p>
    <w:p w14:paraId="03F78136" w14:textId="77777777" w:rsidR="00C007D7" w:rsidRDefault="00C007D7" w:rsidP="006D6DDF">
      <w:pPr>
        <w:ind w:left="720"/>
        <w:rPr>
          <w:rFonts w:ascii="Palatino Linotype" w:hAnsi="Palatino Linotype"/>
          <w:b/>
          <w:bCs/>
        </w:rPr>
      </w:pPr>
    </w:p>
    <w:p w14:paraId="4A8FF30B" w14:textId="32CFCB26" w:rsidR="00C007D7" w:rsidRPr="007311C6" w:rsidRDefault="006D6DDF" w:rsidP="006D6DDF">
      <w:pPr>
        <w:ind w:left="72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A.2 </w:t>
      </w:r>
      <w:r w:rsidR="00C007D7">
        <w:rPr>
          <w:rFonts w:ascii="Palatino Linotype" w:hAnsi="Palatino Linotype"/>
          <w:b/>
          <w:bCs/>
        </w:rPr>
        <w:t>Retsvirkninger for udlejeren:</w:t>
      </w:r>
    </w:p>
    <w:p w14:paraId="0F6BC2A4" w14:textId="4924A5B2" w:rsidR="00C007D7" w:rsidRDefault="00C007D7" w:rsidP="006D6DDF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Der kan så ikke lovligt indgås lejeaftale, inden boligen er godkendt.</w:t>
      </w:r>
    </w:p>
    <w:p w14:paraId="3416D8A8" w14:textId="77777777" w:rsidR="00C007D7" w:rsidRDefault="00C007D7" w:rsidP="006D6DDF">
      <w:pPr>
        <w:ind w:left="720"/>
        <w:rPr>
          <w:rFonts w:ascii="Palatino Linotype" w:hAnsi="Palatino Linotype"/>
        </w:rPr>
      </w:pPr>
    </w:p>
    <w:p w14:paraId="6B827F05" w14:textId="709B405C" w:rsidR="00C007D7" w:rsidRDefault="00C007D7" w:rsidP="006D6DDF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Udlejes en bolig, der er anmeldelsespligt på, skal ejeren dække kommunens genhusningsudgifter ved en eventuel efterfølgende kondemnering. </w:t>
      </w:r>
      <w:r w:rsidR="001027BE">
        <w:rPr>
          <w:rFonts w:ascii="Palatino Linotype" w:hAnsi="Palatino Linotype"/>
        </w:rPr>
        <w:br/>
      </w:r>
      <w:r>
        <w:rPr>
          <w:rFonts w:ascii="Palatino Linotype" w:hAnsi="Palatino Linotype"/>
        </w:rPr>
        <w:t>Det fremgår ikke, om dette også gælder indfasningsstøtte</w:t>
      </w:r>
      <w:r w:rsidR="001027BE">
        <w:rPr>
          <w:rFonts w:ascii="Palatino Linotype" w:hAnsi="Palatino Linotype"/>
        </w:rPr>
        <w:t>, hvilket bør præciseres</w:t>
      </w:r>
      <w:r>
        <w:rPr>
          <w:rFonts w:ascii="Palatino Linotype" w:hAnsi="Palatino Linotype"/>
        </w:rPr>
        <w:t xml:space="preserve">. </w:t>
      </w:r>
    </w:p>
    <w:p w14:paraId="084FC26E" w14:textId="77777777" w:rsidR="00C007D7" w:rsidRDefault="00C007D7" w:rsidP="006D6DDF">
      <w:pPr>
        <w:ind w:left="720"/>
        <w:rPr>
          <w:rFonts w:ascii="Palatino Linotype" w:hAnsi="Palatino Linotype"/>
        </w:rPr>
      </w:pPr>
    </w:p>
    <w:p w14:paraId="76E2A0BE" w14:textId="77777777" w:rsidR="00C007D7" w:rsidRDefault="00C007D7" w:rsidP="006D6DDF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Udlejeren kan blive idømt bøde for overtrædelsen, uanset om boligen kondemneres.</w:t>
      </w:r>
    </w:p>
    <w:p w14:paraId="2F536BB9" w14:textId="6F3D8E5C" w:rsidR="00F60971" w:rsidRPr="001027BE" w:rsidRDefault="00F60971" w:rsidP="00F60971">
      <w:pPr>
        <w:ind w:left="360"/>
        <w:rPr>
          <w:rFonts w:ascii="Palatino Linotype" w:hAnsi="Palatino Linotype"/>
          <w:b/>
          <w:bCs/>
        </w:rPr>
      </w:pPr>
    </w:p>
    <w:p w14:paraId="005B477A" w14:textId="7F9D67A3" w:rsidR="00665DEE" w:rsidRDefault="001027BE" w:rsidP="00DF60BC">
      <w:pPr>
        <w:pStyle w:val="Listeafsnit"/>
        <w:numPr>
          <w:ilvl w:val="0"/>
          <w:numId w:val="4"/>
        </w:numPr>
        <w:rPr>
          <w:rFonts w:ascii="Palatino Linotype" w:hAnsi="Palatino Linotype"/>
        </w:rPr>
      </w:pPr>
      <w:r w:rsidRPr="00EB7365">
        <w:rPr>
          <w:rFonts w:ascii="Palatino Linotype" w:hAnsi="Palatino Linotype"/>
          <w:b/>
          <w:bCs/>
          <w:sz w:val="28"/>
          <w:szCs w:val="28"/>
        </w:rPr>
        <w:t>Overordnet holdning.</w:t>
      </w:r>
      <w:r w:rsidRPr="001027BE">
        <w:rPr>
          <w:rFonts w:ascii="Palatino Linotype" w:hAnsi="Palatino Linotype"/>
          <w:b/>
          <w:bCs/>
        </w:rPr>
        <w:br/>
      </w:r>
      <w:r w:rsidRPr="001027BE">
        <w:rPr>
          <w:rFonts w:ascii="Palatino Linotype" w:hAnsi="Palatino Linotype"/>
        </w:rPr>
        <w:t xml:space="preserve">Vi er meget enige i behovet for at kommunerne </w:t>
      </w:r>
      <w:r w:rsidR="00EB7365">
        <w:rPr>
          <w:rFonts w:ascii="Palatino Linotype" w:hAnsi="Palatino Linotype"/>
        </w:rPr>
        <w:t xml:space="preserve">får bedre muligheder for at </w:t>
      </w:r>
      <w:r w:rsidRPr="001027BE">
        <w:rPr>
          <w:rFonts w:ascii="Palatino Linotype" w:hAnsi="Palatino Linotype"/>
        </w:rPr>
        <w:t>gribe ind</w:t>
      </w:r>
      <w:r w:rsidR="00EB7365">
        <w:rPr>
          <w:rFonts w:ascii="Palatino Linotype" w:hAnsi="Palatino Linotype"/>
        </w:rPr>
        <w:t>,</w:t>
      </w:r>
      <w:r w:rsidRPr="001027BE">
        <w:rPr>
          <w:rFonts w:ascii="Palatino Linotype" w:hAnsi="Palatino Linotype"/>
        </w:rPr>
        <w:t xml:space="preserve"> over for udlejning af sundhedsfarlige boliger og </w:t>
      </w:r>
      <w:r w:rsidR="001C2448">
        <w:rPr>
          <w:rFonts w:ascii="Palatino Linotype" w:hAnsi="Palatino Linotype"/>
        </w:rPr>
        <w:t>boligspekulation, og vi så gerne en endnu strammere lovgivning.</w:t>
      </w:r>
    </w:p>
    <w:p w14:paraId="34DAF9BB" w14:textId="77777777" w:rsidR="00665DEE" w:rsidRDefault="00665DEE" w:rsidP="00665DEE">
      <w:pPr>
        <w:pStyle w:val="Listeafsnit"/>
        <w:rPr>
          <w:rFonts w:ascii="Palatino Linotype" w:hAnsi="Palatino Linotype"/>
          <w:b/>
          <w:bCs/>
          <w:sz w:val="28"/>
          <w:szCs w:val="28"/>
        </w:rPr>
      </w:pPr>
    </w:p>
    <w:p w14:paraId="502D49DC" w14:textId="77777777" w:rsidR="001C2448" w:rsidRDefault="001027BE" w:rsidP="004D4AF5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Det er vores opfattelse, at </w:t>
      </w:r>
      <w:r w:rsidR="004D4AF5">
        <w:rPr>
          <w:rFonts w:ascii="Palatino Linotype" w:hAnsi="Palatino Linotype"/>
        </w:rPr>
        <w:t xml:space="preserve">en anmeldelsesordning burde </w:t>
      </w:r>
      <w:r w:rsidR="001C2448">
        <w:rPr>
          <w:rFonts w:ascii="Palatino Linotype" w:hAnsi="Palatino Linotype"/>
        </w:rPr>
        <w:t>give kommunerne frihed til at fastsætte strammere regler, for eksempel at reglerne omfatter alle boliger, der genudlejes.</w:t>
      </w:r>
    </w:p>
    <w:p w14:paraId="7753AA77" w14:textId="31B6146B" w:rsidR="00665DEE" w:rsidRDefault="001C2448" w:rsidP="004D4AF5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M</w:t>
      </w:r>
      <w:r w:rsidR="004D4AF5">
        <w:rPr>
          <w:rFonts w:ascii="Palatino Linotype" w:hAnsi="Palatino Linotype"/>
        </w:rPr>
        <w:t xml:space="preserve">ange af de </w:t>
      </w:r>
      <w:r>
        <w:rPr>
          <w:rFonts w:ascii="Palatino Linotype" w:hAnsi="Palatino Linotype"/>
        </w:rPr>
        <w:t xml:space="preserve">usunde </w:t>
      </w:r>
      <w:r w:rsidR="004D4AF5">
        <w:rPr>
          <w:rFonts w:ascii="Palatino Linotype" w:hAnsi="Palatino Linotype"/>
        </w:rPr>
        <w:t>boliger, der udlejes som boligspekulation</w:t>
      </w:r>
      <w:r>
        <w:rPr>
          <w:rFonts w:ascii="Palatino Linotype" w:hAnsi="Palatino Linotype"/>
        </w:rPr>
        <w:t xml:space="preserve"> vil ellers ikke kunne rammes, da </w:t>
      </w:r>
      <w:r w:rsidR="00665DEE">
        <w:rPr>
          <w:rFonts w:ascii="Palatino Linotype" w:hAnsi="Palatino Linotype"/>
        </w:rPr>
        <w:t xml:space="preserve">de </w:t>
      </w:r>
      <w:r>
        <w:rPr>
          <w:rFonts w:ascii="Palatino Linotype" w:hAnsi="Palatino Linotype"/>
        </w:rPr>
        <w:t xml:space="preserve">ikke </w:t>
      </w:r>
      <w:r w:rsidR="00665DEE">
        <w:rPr>
          <w:rFonts w:ascii="Palatino Linotype" w:hAnsi="Palatino Linotype"/>
        </w:rPr>
        <w:t>har været udlejet inden for det seneste år.</w:t>
      </w:r>
    </w:p>
    <w:p w14:paraId="53BF9378" w14:textId="77777777" w:rsidR="00665DEE" w:rsidRDefault="00665DEE" w:rsidP="004D4AF5">
      <w:pPr>
        <w:ind w:left="720"/>
        <w:rPr>
          <w:rFonts w:ascii="Palatino Linotype" w:hAnsi="Palatino Linotype"/>
        </w:rPr>
      </w:pPr>
    </w:p>
    <w:p w14:paraId="6FC29828" w14:textId="4FAB3D18" w:rsidR="00F97D68" w:rsidRDefault="004D4AF5" w:rsidP="004D4AF5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En ”nummerpladeordning”, der sikrer at alle ældre udlejningsboliger i de udsatte kommuner besigtiges </w:t>
      </w:r>
      <w:r w:rsidR="00EB7365">
        <w:rPr>
          <w:rFonts w:ascii="Palatino Linotype" w:hAnsi="Palatino Linotype"/>
        </w:rPr>
        <w:t xml:space="preserve">- </w:t>
      </w:r>
      <w:r>
        <w:rPr>
          <w:rFonts w:ascii="Palatino Linotype" w:hAnsi="Palatino Linotype"/>
        </w:rPr>
        <w:t xml:space="preserve">for eksempel hvert 5 år </w:t>
      </w:r>
      <w:r w:rsidR="00EB7365">
        <w:rPr>
          <w:rFonts w:ascii="Palatino Linotype" w:hAnsi="Palatino Linotype"/>
        </w:rPr>
        <w:t xml:space="preserve">og </w:t>
      </w:r>
      <w:r>
        <w:rPr>
          <w:rFonts w:ascii="Palatino Linotype" w:hAnsi="Palatino Linotype"/>
        </w:rPr>
        <w:t xml:space="preserve">af bygningssagkyndig </w:t>
      </w:r>
      <w:r w:rsidR="00EB7365">
        <w:rPr>
          <w:rFonts w:ascii="Palatino Linotype" w:hAnsi="Palatino Linotype"/>
        </w:rPr>
        <w:t>(</w:t>
      </w:r>
      <w:r>
        <w:rPr>
          <w:rFonts w:ascii="Palatino Linotype" w:hAnsi="Palatino Linotype"/>
        </w:rPr>
        <w:t>på udlejeres regning</w:t>
      </w:r>
      <w:r w:rsidR="00EB7365">
        <w:rPr>
          <w:rFonts w:ascii="Palatino Linotype" w:hAnsi="Palatino Linotype"/>
        </w:rPr>
        <w:t>)</w:t>
      </w:r>
      <w:r>
        <w:rPr>
          <w:rFonts w:ascii="Palatino Linotype" w:hAnsi="Palatino Linotype"/>
        </w:rPr>
        <w:t xml:space="preserve"> – ville klart være at </w:t>
      </w:r>
      <w:r w:rsidR="00EB7365">
        <w:rPr>
          <w:rFonts w:ascii="Palatino Linotype" w:hAnsi="Palatino Linotype"/>
        </w:rPr>
        <w:t>foretrække</w:t>
      </w:r>
      <w:r>
        <w:rPr>
          <w:rFonts w:ascii="Palatino Linotype" w:hAnsi="Palatino Linotype"/>
        </w:rPr>
        <w:t>.</w:t>
      </w:r>
    </w:p>
    <w:p w14:paraId="3251E44B" w14:textId="0AAFE372" w:rsidR="00F5688B" w:rsidRDefault="00F5688B" w:rsidP="004D4AF5">
      <w:pPr>
        <w:ind w:left="720"/>
        <w:rPr>
          <w:rFonts w:ascii="Palatino Linotype" w:hAnsi="Palatino Linotype"/>
        </w:rPr>
      </w:pPr>
    </w:p>
    <w:p w14:paraId="00FD9AAB" w14:textId="5C3AF75F" w:rsidR="001C2448" w:rsidRPr="001C2448" w:rsidRDefault="001C2448" w:rsidP="00F5688B">
      <w:pPr>
        <w:ind w:left="720"/>
        <w:rPr>
          <w:rFonts w:ascii="Palatino Linotype" w:hAnsi="Palatino Linotype"/>
          <w:b/>
          <w:bCs/>
        </w:rPr>
      </w:pPr>
      <w:r w:rsidRPr="001C2448">
        <w:rPr>
          <w:rFonts w:ascii="Palatino Linotype" w:hAnsi="Palatino Linotype"/>
          <w:b/>
          <w:bCs/>
        </w:rPr>
        <w:lastRenderedPageBreak/>
        <w:t>B.1. Problemstillinger i forslaget.</w:t>
      </w:r>
    </w:p>
    <w:p w14:paraId="68B2B037" w14:textId="5D30E61B" w:rsidR="001027BE" w:rsidRDefault="00F5688B" w:rsidP="00F5688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Vi påpeger nedenfor nogle problemer i forhold til tidshorisont, til proportionalitetsprincippet og til de administrative udfordringer</w:t>
      </w:r>
      <w:r w:rsidR="001C2448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der er i huslejenævnssager. Det er vore opfattelse, at det vil være nødvendigt med ret gennemgribende justeringer, hvis de nye regler skal kunne anvendes i praksis.</w:t>
      </w:r>
    </w:p>
    <w:p w14:paraId="13923A59" w14:textId="77777777" w:rsidR="001027BE" w:rsidRDefault="001027BE" w:rsidP="00F60971">
      <w:pPr>
        <w:ind w:left="360"/>
        <w:rPr>
          <w:rFonts w:ascii="Palatino Linotype" w:hAnsi="Palatino Linotype"/>
        </w:rPr>
      </w:pPr>
    </w:p>
    <w:p w14:paraId="1229BA0D" w14:textId="4A309E28" w:rsidR="00F97D68" w:rsidRDefault="004D4AF5" w:rsidP="00DF60BC">
      <w:pPr>
        <w:pStyle w:val="Listeafsnit"/>
        <w:numPr>
          <w:ilvl w:val="0"/>
          <w:numId w:val="4"/>
        </w:numPr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Lovforslagets p</w:t>
      </w:r>
      <w:r w:rsidR="006D6DDF">
        <w:rPr>
          <w:rFonts w:ascii="Palatino Linotype" w:hAnsi="Palatino Linotype"/>
          <w:b/>
          <w:bCs/>
          <w:sz w:val="28"/>
          <w:szCs w:val="28"/>
        </w:rPr>
        <w:t xml:space="preserve">roblematik ift. </w:t>
      </w:r>
      <w:r w:rsidR="00F97D68" w:rsidRPr="006D6DDF">
        <w:rPr>
          <w:rFonts w:ascii="Palatino Linotype" w:hAnsi="Palatino Linotype"/>
          <w:b/>
          <w:bCs/>
          <w:sz w:val="28"/>
          <w:szCs w:val="28"/>
        </w:rPr>
        <w:t>kondemneringssager</w:t>
      </w:r>
      <w:r w:rsidR="006D6DDF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14:paraId="12849565" w14:textId="2B82BD04" w:rsidR="006D6DDF" w:rsidRPr="006D6DDF" w:rsidRDefault="004D4AF5" w:rsidP="006D6DDF">
      <w:pPr>
        <w:pStyle w:val="Listeafsnit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C</w:t>
      </w:r>
      <w:r w:rsidR="006D6DDF" w:rsidRPr="006D6DDF">
        <w:rPr>
          <w:rFonts w:ascii="Palatino Linotype" w:hAnsi="Palatino Linotype"/>
          <w:b/>
          <w:bCs/>
        </w:rPr>
        <w:t>.1. Kravene i lovgivningen pt. og tidshorisont.</w:t>
      </w:r>
    </w:p>
    <w:p w14:paraId="2C7293C4" w14:textId="77777777" w:rsidR="00F97D68" w:rsidRDefault="00F97D68" w:rsidP="006D6DDF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D</w:t>
      </w:r>
      <w:r w:rsidR="007311C6">
        <w:rPr>
          <w:rFonts w:ascii="Palatino Linotype" w:hAnsi="Palatino Linotype"/>
        </w:rPr>
        <w:t xml:space="preserve">er </w:t>
      </w:r>
      <w:r>
        <w:rPr>
          <w:rFonts w:ascii="Palatino Linotype" w:hAnsi="Palatino Linotype"/>
        </w:rPr>
        <w:t xml:space="preserve">skal </w:t>
      </w:r>
      <w:r w:rsidR="007311C6">
        <w:rPr>
          <w:rFonts w:ascii="Palatino Linotype" w:hAnsi="Palatino Linotype"/>
        </w:rPr>
        <w:t>udføres en undersøgelse, der er så grundig, at den kan bruges som baggrund for en kondemnering, inkl. de nødvendige skimmel- og fugttekniske undersøgelser – og evt. destruktive undersøgelser.</w:t>
      </w:r>
      <w:r>
        <w:rPr>
          <w:rFonts w:ascii="Palatino Linotype" w:hAnsi="Palatino Linotype"/>
        </w:rPr>
        <w:t xml:space="preserve"> </w:t>
      </w:r>
    </w:p>
    <w:p w14:paraId="62A32DDB" w14:textId="77777777" w:rsidR="00F97D68" w:rsidRDefault="00F97D68" w:rsidP="006D6DDF">
      <w:pPr>
        <w:ind w:left="720"/>
        <w:rPr>
          <w:rFonts w:ascii="Palatino Linotype" w:hAnsi="Palatino Linotype"/>
        </w:rPr>
      </w:pPr>
    </w:p>
    <w:p w14:paraId="2498E009" w14:textId="6263AB4D" w:rsidR="00C921AA" w:rsidRDefault="00F97D68" w:rsidP="006D6DDF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Besigtigelsen skal som udgangspunkt varsles med 2 ugers frist, jf. § 5 i lov om retssikkerhed i forvaltningen. Efter besigtigelsen vil det i de fleste tilfælde være nødvendigt at få skimmelprøver</w:t>
      </w:r>
      <w:r w:rsidR="00BC01FF">
        <w:rPr>
          <w:rFonts w:ascii="Palatino Linotype" w:hAnsi="Palatino Linotype"/>
        </w:rPr>
        <w:t xml:space="preserve"> behandlet i laboratorie</w:t>
      </w:r>
      <w:r w:rsidR="001027BE">
        <w:rPr>
          <w:rFonts w:ascii="Palatino Linotype" w:hAnsi="Palatino Linotype"/>
        </w:rPr>
        <w:t xml:space="preserve">, hvilket </w:t>
      </w:r>
      <w:r w:rsidR="00EB7365">
        <w:rPr>
          <w:rFonts w:ascii="Palatino Linotype" w:hAnsi="Palatino Linotype"/>
        </w:rPr>
        <w:t>typisk tager ca. 2 uger.</w:t>
      </w:r>
      <w:r>
        <w:rPr>
          <w:rFonts w:ascii="Palatino Linotype" w:hAnsi="Palatino Linotype"/>
        </w:rPr>
        <w:t xml:space="preserve"> </w:t>
      </w:r>
      <w:r w:rsidR="007311C6">
        <w:rPr>
          <w:rFonts w:ascii="Palatino Linotype" w:hAnsi="Palatino Linotype"/>
        </w:rPr>
        <w:t xml:space="preserve"> </w:t>
      </w:r>
      <w:r w:rsidR="00BB1A6F">
        <w:rPr>
          <w:rFonts w:ascii="Palatino Linotype" w:hAnsi="Palatino Linotype"/>
        </w:rPr>
        <w:t xml:space="preserve"> </w:t>
      </w:r>
    </w:p>
    <w:p w14:paraId="3A814A63" w14:textId="77777777" w:rsidR="00C921AA" w:rsidRDefault="00C921AA" w:rsidP="006D6DDF">
      <w:pPr>
        <w:ind w:left="720"/>
        <w:rPr>
          <w:rFonts w:ascii="Palatino Linotype" w:hAnsi="Palatino Linotype"/>
        </w:rPr>
      </w:pPr>
    </w:p>
    <w:p w14:paraId="35B1B04D" w14:textId="22706A87" w:rsidR="00C93BA5" w:rsidRDefault="00C921AA" w:rsidP="006D6DDF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Kommunens plan om kondemnering </w:t>
      </w:r>
      <w:r w:rsidRPr="00EB7365">
        <w:rPr>
          <w:rFonts w:ascii="Palatino Linotype" w:hAnsi="Palatino Linotype"/>
          <w:u w:val="single"/>
        </w:rPr>
        <w:t>skal</w:t>
      </w:r>
      <w:r>
        <w:rPr>
          <w:rFonts w:ascii="Palatino Linotype" w:hAnsi="Palatino Linotype"/>
        </w:rPr>
        <w:t xml:space="preserve"> i forudgående partshøring, jf. Forvaltningslovens §19</w:t>
      </w:r>
      <w:r w:rsidR="00EB7365">
        <w:rPr>
          <w:rFonts w:ascii="Palatino Linotype" w:hAnsi="Palatino Linotype"/>
        </w:rPr>
        <w:t xml:space="preserve">. At fravige dette princip kan kun ske i helt ekstraordinære og konkrete sager, og ikke som led i </w:t>
      </w:r>
      <w:r w:rsidR="001C2448">
        <w:rPr>
          <w:rFonts w:ascii="Palatino Linotype" w:hAnsi="Palatino Linotype"/>
        </w:rPr>
        <w:t xml:space="preserve">en </w:t>
      </w:r>
      <w:r w:rsidR="00EB7365">
        <w:rPr>
          <w:rFonts w:ascii="Palatino Linotype" w:hAnsi="Palatino Linotype"/>
        </w:rPr>
        <w:t>systematisk proces.</w:t>
      </w:r>
      <w:r w:rsidR="006E77EE">
        <w:rPr>
          <w:rFonts w:ascii="Palatino Linotype" w:hAnsi="Palatino Linotype"/>
        </w:rPr>
        <w:br/>
      </w:r>
    </w:p>
    <w:p w14:paraId="5EBE7049" w14:textId="71949504" w:rsidR="00C921AA" w:rsidRDefault="00BC01FF" w:rsidP="006D6DDF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Endelig skal sagen forelægges kommunalbestyrelse</w:t>
      </w:r>
      <w:r w:rsidR="00F5688B">
        <w:rPr>
          <w:rFonts w:ascii="Palatino Linotype" w:hAnsi="Palatino Linotype"/>
        </w:rPr>
        <w:t>n – eller et af de faste udvalg.</w:t>
      </w:r>
    </w:p>
    <w:p w14:paraId="18488346" w14:textId="30E0D8FE" w:rsidR="00BC01FF" w:rsidRDefault="00BC01FF" w:rsidP="006D6DDF">
      <w:pPr>
        <w:ind w:left="720"/>
        <w:rPr>
          <w:rFonts w:ascii="Palatino Linotype" w:hAnsi="Palatino Linotype"/>
        </w:rPr>
      </w:pPr>
    </w:p>
    <w:p w14:paraId="77584BD8" w14:textId="4818FEB2" w:rsidR="00BC01FF" w:rsidRDefault="00BC01FF" w:rsidP="00EB7365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Alt i alt varer processen typisk mindst 4 måneder. En væsentlig del af tiden</w:t>
      </w:r>
      <w:r w:rsidR="001C2448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vedrører </w:t>
      </w:r>
      <w:r w:rsidR="00EB7365">
        <w:rPr>
          <w:rFonts w:ascii="Palatino Linotype" w:hAnsi="Palatino Linotype"/>
        </w:rPr>
        <w:t>forhold omkring lovbestemte retssikkerhedsgarantier</w:t>
      </w:r>
      <w:r w:rsidR="001C2448">
        <w:rPr>
          <w:rFonts w:ascii="Palatino Linotype" w:hAnsi="Palatino Linotype"/>
        </w:rPr>
        <w:t xml:space="preserve"> for udlejerne.</w:t>
      </w:r>
    </w:p>
    <w:p w14:paraId="0EBE3E67" w14:textId="77777777" w:rsidR="00EB7365" w:rsidRDefault="00EB7365" w:rsidP="00EB7365">
      <w:pPr>
        <w:ind w:left="720"/>
        <w:rPr>
          <w:rFonts w:ascii="Palatino Linotype" w:hAnsi="Palatino Linotype"/>
        </w:rPr>
      </w:pPr>
    </w:p>
    <w:p w14:paraId="57C96487" w14:textId="26E94401" w:rsidR="00BC01FF" w:rsidRDefault="004D4AF5" w:rsidP="00F5688B">
      <w:pPr>
        <w:ind w:left="72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C.</w:t>
      </w:r>
      <w:r w:rsidR="006D6DDF" w:rsidRPr="006D6DDF">
        <w:rPr>
          <w:rFonts w:ascii="Palatino Linotype" w:hAnsi="Palatino Linotype"/>
          <w:b/>
          <w:bCs/>
        </w:rPr>
        <w:t xml:space="preserve">2. </w:t>
      </w:r>
      <w:r w:rsidR="00EB7365">
        <w:rPr>
          <w:rFonts w:ascii="Palatino Linotype" w:hAnsi="Palatino Linotype"/>
          <w:b/>
          <w:bCs/>
        </w:rPr>
        <w:t>Kondemnering kan være uhensigtsmæssig og i strid med p</w:t>
      </w:r>
      <w:r w:rsidR="00BC01FF" w:rsidRPr="006D6DDF">
        <w:rPr>
          <w:rFonts w:ascii="Palatino Linotype" w:hAnsi="Palatino Linotype"/>
          <w:b/>
          <w:bCs/>
        </w:rPr>
        <w:t>roportionalitetsprincippet</w:t>
      </w:r>
      <w:r w:rsidR="00F5688B">
        <w:rPr>
          <w:rFonts w:ascii="Palatino Linotype" w:hAnsi="Palatino Linotype"/>
          <w:b/>
          <w:bCs/>
        </w:rPr>
        <w:t xml:space="preserve"> </w:t>
      </w:r>
      <w:r w:rsidR="001C2448">
        <w:rPr>
          <w:rFonts w:ascii="Palatino Linotype" w:hAnsi="Palatino Linotype"/>
          <w:b/>
          <w:bCs/>
        </w:rPr>
        <w:t>- sager</w:t>
      </w:r>
      <w:r w:rsidR="00F5688B">
        <w:rPr>
          <w:rFonts w:ascii="Palatino Linotype" w:hAnsi="Palatino Linotype"/>
          <w:b/>
          <w:bCs/>
        </w:rPr>
        <w:t xml:space="preserve"> om begrænset sundhedsfare</w:t>
      </w:r>
      <w:r w:rsidR="00BC01FF" w:rsidRPr="006D6DDF">
        <w:rPr>
          <w:rFonts w:ascii="Palatino Linotype" w:hAnsi="Palatino Linotype"/>
          <w:b/>
          <w:bCs/>
        </w:rPr>
        <w:t>.</w:t>
      </w:r>
    </w:p>
    <w:p w14:paraId="3B785145" w14:textId="77777777" w:rsidR="00F5688B" w:rsidRPr="006D6DDF" w:rsidRDefault="00F5688B" w:rsidP="00F5688B">
      <w:pPr>
        <w:ind w:left="720"/>
        <w:rPr>
          <w:rFonts w:ascii="Palatino Linotype" w:hAnsi="Palatino Linotype"/>
          <w:b/>
          <w:bCs/>
        </w:rPr>
      </w:pPr>
    </w:p>
    <w:p w14:paraId="36009037" w14:textId="4B97E927" w:rsidR="00113C3B" w:rsidRDefault="001C2448" w:rsidP="004D4AF5">
      <w:pPr>
        <w:ind w:left="720"/>
        <w:rPr>
          <w:rFonts w:ascii="Palatino Linotype" w:hAnsi="Palatino Linotype"/>
        </w:rPr>
      </w:pPr>
      <w:r w:rsidRPr="001C2448">
        <w:rPr>
          <w:rFonts w:ascii="Palatino Linotype" w:hAnsi="Palatino Linotype"/>
          <w:b/>
          <w:bCs/>
        </w:rPr>
        <w:t>C.2.1. Dialog.</w:t>
      </w:r>
      <w:r>
        <w:rPr>
          <w:rFonts w:ascii="Palatino Linotype" w:hAnsi="Palatino Linotype"/>
        </w:rPr>
        <w:br/>
        <w:t>V</w:t>
      </w:r>
      <w:r w:rsidR="00BC01FF">
        <w:rPr>
          <w:rFonts w:ascii="Palatino Linotype" w:hAnsi="Palatino Linotype"/>
        </w:rPr>
        <w:t>ed kondemneringsbesigtigelser kan der</w:t>
      </w:r>
      <w:r w:rsidR="00EB7365">
        <w:rPr>
          <w:rFonts w:ascii="Palatino Linotype" w:hAnsi="Palatino Linotype"/>
        </w:rPr>
        <w:t xml:space="preserve"> </w:t>
      </w:r>
      <w:r w:rsidR="00BC01FF">
        <w:rPr>
          <w:rFonts w:ascii="Palatino Linotype" w:hAnsi="Palatino Linotype"/>
        </w:rPr>
        <w:t>findes forhold, der medfører sundhedsfare</w:t>
      </w:r>
      <w:r w:rsidR="00AD5547">
        <w:rPr>
          <w:rFonts w:ascii="Palatino Linotype" w:hAnsi="Palatino Linotype"/>
        </w:rPr>
        <w:t xml:space="preserve">, og som gør at boligen ikke umiddelbart kan bebos. Men </w:t>
      </w:r>
      <w:r w:rsidR="00F5688B">
        <w:rPr>
          <w:rFonts w:ascii="Palatino Linotype" w:hAnsi="Palatino Linotype"/>
        </w:rPr>
        <w:t>ofte</w:t>
      </w:r>
      <w:r w:rsidR="00EB7365">
        <w:rPr>
          <w:rFonts w:ascii="Palatino Linotype" w:hAnsi="Palatino Linotype"/>
        </w:rPr>
        <w:t xml:space="preserve"> er</w:t>
      </w:r>
      <w:r w:rsidR="00AD5547">
        <w:rPr>
          <w:rFonts w:ascii="Palatino Linotype" w:hAnsi="Palatino Linotype"/>
        </w:rPr>
        <w:t xml:space="preserve"> det være noget, som</w:t>
      </w:r>
      <w:r w:rsidR="001027BE">
        <w:rPr>
          <w:rFonts w:ascii="Palatino Linotype" w:hAnsi="Palatino Linotype"/>
        </w:rPr>
        <w:t xml:space="preserve"> rimelig nemt, hurtigt og billigt kan afhjælpes</w:t>
      </w:r>
      <w:r w:rsidR="00AD5547">
        <w:rPr>
          <w:rFonts w:ascii="Palatino Linotype" w:hAnsi="Palatino Linotype"/>
        </w:rPr>
        <w:t xml:space="preserve"> uden en gennemgribende istandsættelse. </w:t>
      </w:r>
    </w:p>
    <w:p w14:paraId="52180AF2" w14:textId="77777777" w:rsidR="00113C3B" w:rsidRDefault="00113C3B" w:rsidP="004D4AF5">
      <w:pPr>
        <w:ind w:left="720"/>
        <w:rPr>
          <w:rFonts w:ascii="Palatino Linotype" w:hAnsi="Palatino Linotype"/>
        </w:rPr>
      </w:pPr>
    </w:p>
    <w:p w14:paraId="0D87E0C8" w14:textId="77777777" w:rsidR="001C2448" w:rsidRDefault="00AD5547" w:rsidP="004D4AF5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Her </w:t>
      </w:r>
      <w:r w:rsidR="001027BE">
        <w:rPr>
          <w:rFonts w:ascii="Palatino Linotype" w:hAnsi="Palatino Linotype"/>
        </w:rPr>
        <w:t xml:space="preserve">er praksis </w:t>
      </w:r>
      <w:r w:rsidR="00F5688B">
        <w:rPr>
          <w:rFonts w:ascii="Palatino Linotype" w:hAnsi="Palatino Linotype"/>
        </w:rPr>
        <w:t xml:space="preserve">p.t. </w:t>
      </w:r>
      <w:r w:rsidR="001027BE">
        <w:rPr>
          <w:rFonts w:ascii="Palatino Linotype" w:hAnsi="Palatino Linotype"/>
        </w:rPr>
        <w:t xml:space="preserve">i de fleste kommuner, </w:t>
      </w:r>
      <w:r w:rsidR="001C2448">
        <w:rPr>
          <w:rFonts w:ascii="Palatino Linotype" w:hAnsi="Palatino Linotype"/>
        </w:rPr>
        <w:t xml:space="preserve">at </w:t>
      </w:r>
      <w:r w:rsidR="00EB7365">
        <w:rPr>
          <w:rFonts w:ascii="Palatino Linotype" w:hAnsi="Palatino Linotype"/>
        </w:rPr>
        <w:t>kommunen opfordrer ejeren til at gennemføre en udbedring i dialog med kommunen</w:t>
      </w:r>
      <w:r w:rsidR="00F5688B">
        <w:rPr>
          <w:rFonts w:ascii="Palatino Linotype" w:hAnsi="Palatino Linotype"/>
        </w:rPr>
        <w:t>,</w:t>
      </w:r>
      <w:r w:rsidR="00EB7365">
        <w:rPr>
          <w:rFonts w:ascii="Palatino Linotype" w:hAnsi="Palatino Linotype"/>
        </w:rPr>
        <w:t xml:space="preserve"> og </w:t>
      </w:r>
      <w:r w:rsidR="001027BE">
        <w:rPr>
          <w:rFonts w:ascii="Palatino Linotype" w:hAnsi="Palatino Linotype"/>
        </w:rPr>
        <w:t xml:space="preserve">med en </w:t>
      </w:r>
      <w:r w:rsidR="00F5688B">
        <w:rPr>
          <w:rFonts w:ascii="Palatino Linotype" w:hAnsi="Palatino Linotype"/>
        </w:rPr>
        <w:t xml:space="preserve">aftale </w:t>
      </w:r>
      <w:r w:rsidR="00EB7365">
        <w:rPr>
          <w:rFonts w:ascii="Palatino Linotype" w:hAnsi="Palatino Linotype"/>
        </w:rPr>
        <w:t>om</w:t>
      </w:r>
      <w:r w:rsidR="001027BE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at boligen ikke udlejes, før forholdene er udbedret</w:t>
      </w:r>
      <w:r w:rsidR="00113C3B">
        <w:rPr>
          <w:rFonts w:ascii="Palatino Linotype" w:hAnsi="Palatino Linotype"/>
        </w:rPr>
        <w:t xml:space="preserve">. </w:t>
      </w:r>
      <w:r w:rsidR="00F5688B">
        <w:rPr>
          <w:rFonts w:ascii="Palatino Linotype" w:hAnsi="Palatino Linotype"/>
        </w:rPr>
        <w:t>E</w:t>
      </w:r>
      <w:r w:rsidR="001027BE">
        <w:rPr>
          <w:rFonts w:ascii="Palatino Linotype" w:hAnsi="Palatino Linotype"/>
        </w:rPr>
        <w:t xml:space="preserve">jeren oplyses samtidig om, at en kondemnering vil ske, </w:t>
      </w:r>
      <w:r w:rsidR="00113C3B">
        <w:rPr>
          <w:rFonts w:ascii="Palatino Linotype" w:hAnsi="Palatino Linotype"/>
        </w:rPr>
        <w:t xml:space="preserve">hvis ikke der sker en udbedring. </w:t>
      </w:r>
      <w:r>
        <w:rPr>
          <w:rFonts w:ascii="Palatino Linotype" w:hAnsi="Palatino Linotype"/>
        </w:rPr>
        <w:t xml:space="preserve"> </w:t>
      </w:r>
      <w:r w:rsidR="001C2448">
        <w:rPr>
          <w:rFonts w:ascii="Palatino Linotype" w:hAnsi="Palatino Linotype"/>
        </w:rPr>
        <w:br/>
      </w:r>
      <w:r w:rsidR="001C2448">
        <w:rPr>
          <w:rFonts w:ascii="Palatino Linotype" w:hAnsi="Palatino Linotype"/>
        </w:rPr>
        <w:br/>
        <w:t>Det er et vigtigt redskab, som løser en ret stor del af de sager, der kommer.</w:t>
      </w:r>
      <w:r w:rsidR="001027BE">
        <w:rPr>
          <w:rFonts w:ascii="Palatino Linotype" w:hAnsi="Palatino Linotype"/>
        </w:rPr>
        <w:br/>
      </w:r>
    </w:p>
    <w:p w14:paraId="192C8140" w14:textId="22B9AB17" w:rsidR="00AD5547" w:rsidRDefault="001C2448" w:rsidP="004D4AF5">
      <w:pPr>
        <w:ind w:left="720"/>
        <w:rPr>
          <w:rFonts w:ascii="Palatino Linotype" w:hAnsi="Palatino Linotype"/>
        </w:rPr>
      </w:pPr>
      <w:r w:rsidRPr="001C2448">
        <w:rPr>
          <w:rFonts w:ascii="Palatino Linotype" w:hAnsi="Palatino Linotype"/>
          <w:b/>
          <w:bCs/>
        </w:rPr>
        <w:t>C.2.2. Forhold, der kan påtales ift. anden lovgivning</w:t>
      </w:r>
      <w:r w:rsidR="001027BE">
        <w:rPr>
          <w:rFonts w:ascii="Palatino Linotype" w:hAnsi="Palatino Linotype"/>
        </w:rPr>
        <w:br/>
      </w:r>
      <w:r w:rsidR="00F5688B">
        <w:rPr>
          <w:rFonts w:ascii="Palatino Linotype" w:hAnsi="Palatino Linotype"/>
        </w:rPr>
        <w:t xml:space="preserve">Sundhedsfare kan også </w:t>
      </w:r>
      <w:r w:rsidR="00113C3B">
        <w:rPr>
          <w:rFonts w:ascii="Palatino Linotype" w:hAnsi="Palatino Linotype"/>
        </w:rPr>
        <w:t xml:space="preserve">forhold, der </w:t>
      </w:r>
      <w:r w:rsidR="001027BE">
        <w:rPr>
          <w:rFonts w:ascii="Palatino Linotype" w:hAnsi="Palatino Linotype"/>
        </w:rPr>
        <w:t xml:space="preserve">i 1. omgang </w:t>
      </w:r>
      <w:r w:rsidR="00113C3B">
        <w:rPr>
          <w:rFonts w:ascii="Palatino Linotype" w:hAnsi="Palatino Linotype"/>
        </w:rPr>
        <w:t xml:space="preserve">skal søges afhjulpet med hjemmel i anden lovgivning, inden </w:t>
      </w:r>
      <w:r w:rsidR="001027BE">
        <w:rPr>
          <w:rFonts w:ascii="Palatino Linotype" w:hAnsi="Palatino Linotype"/>
        </w:rPr>
        <w:t xml:space="preserve">det efter gældende praksis </w:t>
      </w:r>
      <w:r w:rsidR="00113C3B">
        <w:rPr>
          <w:rFonts w:ascii="Palatino Linotype" w:hAnsi="Palatino Linotype"/>
        </w:rPr>
        <w:t>er muligt at bruge byforny</w:t>
      </w:r>
      <w:r w:rsidR="00A53DA7">
        <w:rPr>
          <w:rFonts w:ascii="Palatino Linotype" w:hAnsi="Palatino Linotype"/>
        </w:rPr>
        <w:t>e</w:t>
      </w:r>
      <w:r w:rsidR="00113C3B">
        <w:rPr>
          <w:rFonts w:ascii="Palatino Linotype" w:hAnsi="Palatino Linotype"/>
        </w:rPr>
        <w:t>lseslovens</w:t>
      </w:r>
      <w:r w:rsidR="00A53DA7">
        <w:rPr>
          <w:rFonts w:ascii="Palatino Linotype" w:hAnsi="Palatino Linotype"/>
        </w:rPr>
        <w:t xml:space="preserve"> kap.9.</w:t>
      </w:r>
      <w:r w:rsidR="00F5688B">
        <w:rPr>
          <w:rFonts w:ascii="Palatino Linotype" w:hAnsi="Palatino Linotype"/>
        </w:rPr>
        <w:t xml:space="preserve"> Et eksempel kan være problemer med drikkevandet.</w:t>
      </w:r>
    </w:p>
    <w:p w14:paraId="58708DF4" w14:textId="5EBE01C4" w:rsidR="00113C3B" w:rsidRDefault="00113C3B" w:rsidP="004D4AF5">
      <w:pPr>
        <w:ind w:left="720"/>
        <w:rPr>
          <w:rFonts w:ascii="Palatino Linotype" w:hAnsi="Palatino Linotype"/>
        </w:rPr>
      </w:pPr>
    </w:p>
    <w:p w14:paraId="249141D7" w14:textId="77777777" w:rsidR="001C2448" w:rsidRDefault="001C2448" w:rsidP="004D4AF5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I de sager, der er nævnt i C.2.1. og C.2.2.v</w:t>
      </w:r>
      <w:r w:rsidR="00AD5547">
        <w:rPr>
          <w:rFonts w:ascii="Palatino Linotype" w:hAnsi="Palatino Linotype"/>
        </w:rPr>
        <w:t xml:space="preserve">il det </w:t>
      </w:r>
      <w:r w:rsidR="00113C3B">
        <w:rPr>
          <w:rFonts w:ascii="Palatino Linotype" w:hAnsi="Palatino Linotype"/>
        </w:rPr>
        <w:t>stride med proportionalitetsprincippet, hvis kommune</w:t>
      </w:r>
      <w:r w:rsidR="004D4AF5">
        <w:rPr>
          <w:rFonts w:ascii="Palatino Linotype" w:hAnsi="Palatino Linotype"/>
        </w:rPr>
        <w:t>rne altid</w:t>
      </w:r>
      <w:r w:rsidR="00113C3B">
        <w:rPr>
          <w:rFonts w:ascii="Palatino Linotype" w:hAnsi="Palatino Linotype"/>
        </w:rPr>
        <w:t xml:space="preserve"> skal starte med kondemnering. </w:t>
      </w:r>
    </w:p>
    <w:p w14:paraId="5EA3C46D" w14:textId="1DB42F8F" w:rsidR="00113C3B" w:rsidRDefault="001C2448" w:rsidP="004D4AF5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br/>
      </w:r>
      <w:r w:rsidR="00F5688B">
        <w:rPr>
          <w:rFonts w:ascii="Palatino Linotype" w:hAnsi="Palatino Linotype"/>
        </w:rPr>
        <w:t>Det vil også virke meget hårdhændet på ”seriøse” udlejere, der har en bolig med nogle mangler, men som er indstillet på at foretage udbedring.</w:t>
      </w:r>
    </w:p>
    <w:p w14:paraId="7A8A06DA" w14:textId="77777777" w:rsidR="00A53DA7" w:rsidRDefault="00A53DA7" w:rsidP="004D4AF5">
      <w:pPr>
        <w:ind w:left="720"/>
        <w:rPr>
          <w:rFonts w:ascii="Palatino Linotype" w:hAnsi="Palatino Linotype"/>
        </w:rPr>
      </w:pPr>
    </w:p>
    <w:p w14:paraId="3206FFEA" w14:textId="64F7D4BE" w:rsidR="00113C3B" w:rsidRDefault="00113C3B" w:rsidP="004D4AF5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Det er </w:t>
      </w:r>
      <w:r w:rsidR="004D4AF5">
        <w:rPr>
          <w:rFonts w:ascii="Palatino Linotype" w:hAnsi="Palatino Linotype"/>
        </w:rPr>
        <w:t xml:space="preserve">også </w:t>
      </w:r>
      <w:r>
        <w:rPr>
          <w:rFonts w:ascii="Palatino Linotype" w:hAnsi="Palatino Linotype"/>
        </w:rPr>
        <w:t xml:space="preserve">vores opfattelse at </w:t>
      </w:r>
      <w:r w:rsidR="00A53DA7">
        <w:rPr>
          <w:rFonts w:ascii="Palatino Linotype" w:hAnsi="Palatino Linotype"/>
        </w:rPr>
        <w:t>Byfonyelsesnævnene</w:t>
      </w:r>
      <w:r>
        <w:rPr>
          <w:rFonts w:ascii="Palatino Linotype" w:hAnsi="Palatino Linotype"/>
        </w:rPr>
        <w:t xml:space="preserve"> </w:t>
      </w:r>
      <w:r w:rsidR="00F5688B">
        <w:rPr>
          <w:rFonts w:ascii="Palatino Linotype" w:hAnsi="Palatino Linotype"/>
        </w:rPr>
        <w:t xml:space="preserve">efter den nuværende praksis </w:t>
      </w:r>
      <w:r>
        <w:rPr>
          <w:rFonts w:ascii="Palatino Linotype" w:hAnsi="Palatino Linotype"/>
        </w:rPr>
        <w:t>ikke vil godkende kondemneringer, der kunne have været undgået</w:t>
      </w:r>
      <w:r w:rsidR="00A53DA7">
        <w:rPr>
          <w:rFonts w:ascii="Palatino Linotype" w:hAnsi="Palatino Linotype"/>
        </w:rPr>
        <w:t>, og hvor sundhedsfaren er begrænset.</w:t>
      </w:r>
    </w:p>
    <w:p w14:paraId="7083F844" w14:textId="11D84AEF" w:rsidR="00A53DA7" w:rsidRDefault="00A53DA7" w:rsidP="00113C3B">
      <w:pPr>
        <w:ind w:firstLine="360"/>
        <w:rPr>
          <w:rFonts w:ascii="Palatino Linotype" w:hAnsi="Palatino Linotype"/>
        </w:rPr>
      </w:pPr>
    </w:p>
    <w:p w14:paraId="238160A5" w14:textId="31E74682" w:rsidR="00A53DA7" w:rsidRPr="00A53DA7" w:rsidRDefault="004D4AF5" w:rsidP="004D4AF5">
      <w:pPr>
        <w:ind w:left="360" w:firstLine="36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C.</w:t>
      </w:r>
      <w:r w:rsidR="006D6DDF">
        <w:rPr>
          <w:rFonts w:ascii="Palatino Linotype" w:hAnsi="Palatino Linotype"/>
          <w:b/>
          <w:bCs/>
        </w:rPr>
        <w:t>3. Forslag til ændringer</w:t>
      </w:r>
    </w:p>
    <w:p w14:paraId="21321ECB" w14:textId="77777777" w:rsidR="00A53DA7" w:rsidRDefault="00A53DA7" w:rsidP="004D4AF5">
      <w:pPr>
        <w:ind w:left="360" w:firstLine="360"/>
        <w:rPr>
          <w:rFonts w:ascii="Palatino Linotype" w:hAnsi="Palatino Linotype"/>
        </w:rPr>
      </w:pPr>
      <w:r>
        <w:rPr>
          <w:rFonts w:ascii="Palatino Linotype" w:hAnsi="Palatino Linotype"/>
        </w:rPr>
        <w:t>Hvis anmeldelsesordningen skal kunne bringes til at fungere, foreslår vi følgende ændringer:</w:t>
      </w:r>
    </w:p>
    <w:p w14:paraId="53016B91" w14:textId="1FC47D0B" w:rsidR="00A53DA7" w:rsidRDefault="00A53DA7" w:rsidP="00C921AA">
      <w:pPr>
        <w:ind w:left="360"/>
        <w:rPr>
          <w:rFonts w:ascii="Palatino Linotype" w:hAnsi="Palatino Linotype"/>
        </w:rPr>
      </w:pPr>
    </w:p>
    <w:p w14:paraId="4FFDD4AE" w14:textId="56DE3FAE" w:rsidR="00C007D7" w:rsidRDefault="00C007D7" w:rsidP="00F5688B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Efter besigtigelsen kan kommunen</w:t>
      </w:r>
      <w:r w:rsidR="00F5688B">
        <w:rPr>
          <w:rFonts w:ascii="Palatino Linotype" w:hAnsi="Palatino Linotype"/>
        </w:rPr>
        <w:t xml:space="preserve"> administrativt kan</w:t>
      </w:r>
      <w:r>
        <w:rPr>
          <w:rFonts w:ascii="Palatino Linotype" w:hAnsi="Palatino Linotype"/>
        </w:rPr>
        <w:t xml:space="preserve"> træffe beslutning om en af følgende muligheder:</w:t>
      </w:r>
    </w:p>
    <w:p w14:paraId="29FCF667" w14:textId="2140D969" w:rsidR="00AD5547" w:rsidRPr="006D6DDF" w:rsidRDefault="00A53DA7" w:rsidP="00DF60BC">
      <w:pPr>
        <w:pStyle w:val="Listeafsnit"/>
        <w:numPr>
          <w:ilvl w:val="0"/>
          <w:numId w:val="3"/>
        </w:numPr>
        <w:rPr>
          <w:rFonts w:ascii="Palatino Linotype" w:hAnsi="Palatino Linotype"/>
          <w:b/>
          <w:bCs/>
        </w:rPr>
      </w:pPr>
      <w:r w:rsidRPr="006D6DDF">
        <w:rPr>
          <w:rFonts w:ascii="Palatino Linotype" w:hAnsi="Palatino Linotype"/>
          <w:b/>
          <w:bCs/>
        </w:rPr>
        <w:t>Kommunen kan godkende udlejningen</w:t>
      </w:r>
      <w:r w:rsidR="00113C3B" w:rsidRPr="006D6DDF">
        <w:rPr>
          <w:rFonts w:ascii="Palatino Linotype" w:hAnsi="Palatino Linotype"/>
          <w:b/>
          <w:bCs/>
        </w:rPr>
        <w:t xml:space="preserve"> </w:t>
      </w:r>
      <w:r w:rsidR="00AD5547" w:rsidRPr="006D6DDF">
        <w:rPr>
          <w:rFonts w:ascii="Palatino Linotype" w:hAnsi="Palatino Linotype"/>
          <w:b/>
          <w:bCs/>
        </w:rPr>
        <w:t xml:space="preserve"> </w:t>
      </w:r>
    </w:p>
    <w:p w14:paraId="42D7C9F5" w14:textId="12A95777" w:rsidR="00113C3B" w:rsidRDefault="00A53DA7" w:rsidP="00DF60BC">
      <w:pPr>
        <w:pStyle w:val="Listeafsnit"/>
        <w:numPr>
          <w:ilvl w:val="0"/>
          <w:numId w:val="3"/>
        </w:numPr>
        <w:rPr>
          <w:rFonts w:ascii="Palatino Linotype" w:hAnsi="Palatino Linotype"/>
        </w:rPr>
      </w:pPr>
      <w:r w:rsidRPr="006D6DDF">
        <w:rPr>
          <w:rFonts w:ascii="Palatino Linotype" w:hAnsi="Palatino Linotype"/>
          <w:b/>
          <w:bCs/>
        </w:rPr>
        <w:t xml:space="preserve">Kommunen kan </w:t>
      </w:r>
      <w:r w:rsidR="00C007D7" w:rsidRPr="006D6DDF">
        <w:rPr>
          <w:rFonts w:ascii="Palatino Linotype" w:hAnsi="Palatino Linotype"/>
          <w:b/>
          <w:bCs/>
        </w:rPr>
        <w:t>meddele ejeren, at visse forhold skal udbedres</w:t>
      </w:r>
      <w:r w:rsidR="00C007D7" w:rsidRPr="00C007D7">
        <w:rPr>
          <w:rFonts w:ascii="Palatino Linotype" w:hAnsi="Palatino Linotype"/>
        </w:rPr>
        <w:t xml:space="preserve">, inden for en frist på 3 måneder. </w:t>
      </w:r>
      <w:r w:rsidR="00C007D7">
        <w:rPr>
          <w:rFonts w:ascii="Palatino Linotype" w:hAnsi="Palatino Linotype"/>
        </w:rPr>
        <w:t>K</w:t>
      </w:r>
      <w:r w:rsidR="00C007D7" w:rsidRPr="00C007D7">
        <w:rPr>
          <w:rFonts w:ascii="Palatino Linotype" w:hAnsi="Palatino Linotype"/>
        </w:rPr>
        <w:t xml:space="preserve">ommunen skal </w:t>
      </w:r>
      <w:r w:rsidR="00C007D7">
        <w:rPr>
          <w:rFonts w:ascii="Palatino Linotype" w:hAnsi="Palatino Linotype"/>
        </w:rPr>
        <w:t>godkende boligen igen efter udbedring.</w:t>
      </w:r>
      <w:r w:rsidR="00C007D7" w:rsidRPr="00C007D7">
        <w:rPr>
          <w:rFonts w:ascii="Palatino Linotype" w:hAnsi="Palatino Linotype"/>
        </w:rPr>
        <w:t xml:space="preserve"> </w:t>
      </w:r>
      <w:r w:rsidR="00C007D7">
        <w:rPr>
          <w:rFonts w:ascii="Palatino Linotype" w:hAnsi="Palatino Linotype"/>
        </w:rPr>
        <w:t>Kommunen kan kræve at e</w:t>
      </w:r>
      <w:r w:rsidR="00C007D7" w:rsidRPr="00C007D7">
        <w:rPr>
          <w:rFonts w:ascii="Palatino Linotype" w:hAnsi="Palatino Linotype"/>
        </w:rPr>
        <w:t>jeren fremsende</w:t>
      </w:r>
      <w:r w:rsidR="00F5688B">
        <w:rPr>
          <w:rFonts w:ascii="Palatino Linotype" w:hAnsi="Palatino Linotype"/>
        </w:rPr>
        <w:t>r</w:t>
      </w:r>
      <w:r w:rsidR="00C007D7" w:rsidRPr="00C007D7">
        <w:rPr>
          <w:rFonts w:ascii="Palatino Linotype" w:hAnsi="Palatino Linotype"/>
        </w:rPr>
        <w:t xml:space="preserve"> et forslag til </w:t>
      </w:r>
      <w:r w:rsidR="00C007D7">
        <w:rPr>
          <w:rFonts w:ascii="Palatino Linotype" w:hAnsi="Palatino Linotype"/>
        </w:rPr>
        <w:t xml:space="preserve">kommunens </w:t>
      </w:r>
      <w:r w:rsidR="00C007D7" w:rsidRPr="00C007D7">
        <w:rPr>
          <w:rFonts w:ascii="Palatino Linotype" w:hAnsi="Palatino Linotype"/>
        </w:rPr>
        <w:t>godkendelse</w:t>
      </w:r>
      <w:r w:rsidR="00C007D7">
        <w:rPr>
          <w:rFonts w:ascii="Palatino Linotype" w:hAnsi="Palatino Linotype"/>
        </w:rPr>
        <w:t xml:space="preserve">, svarende til </w:t>
      </w:r>
      <w:r w:rsidR="006D6DDF">
        <w:rPr>
          <w:rFonts w:ascii="Palatino Linotype" w:hAnsi="Palatino Linotype"/>
        </w:rPr>
        <w:t>processen</w:t>
      </w:r>
      <w:r w:rsidR="00C007D7">
        <w:rPr>
          <w:rFonts w:ascii="Palatino Linotype" w:hAnsi="Palatino Linotype"/>
        </w:rPr>
        <w:t xml:space="preserve"> i §</w:t>
      </w:r>
      <w:r w:rsidR="006D6DDF">
        <w:rPr>
          <w:rFonts w:ascii="Palatino Linotype" w:hAnsi="Palatino Linotype"/>
        </w:rPr>
        <w:t xml:space="preserve"> </w:t>
      </w:r>
      <w:r w:rsidR="00C007D7">
        <w:rPr>
          <w:rFonts w:ascii="Palatino Linotype" w:hAnsi="Palatino Linotype"/>
        </w:rPr>
        <w:t>79</w:t>
      </w:r>
      <w:r w:rsidR="006D6DDF">
        <w:rPr>
          <w:rFonts w:ascii="Palatino Linotype" w:hAnsi="Palatino Linotype"/>
        </w:rPr>
        <w:t xml:space="preserve"> om ophævelse af kondemnering</w:t>
      </w:r>
      <w:r w:rsidR="00323E31">
        <w:rPr>
          <w:rFonts w:ascii="Palatino Linotype" w:hAnsi="Palatino Linotype"/>
        </w:rPr>
        <w:t xml:space="preserve">. </w:t>
      </w:r>
    </w:p>
    <w:p w14:paraId="299FD423" w14:textId="7DB18064" w:rsidR="00C007D7" w:rsidRDefault="00C007D7" w:rsidP="00DF60BC">
      <w:pPr>
        <w:pStyle w:val="Listeafsnit"/>
        <w:numPr>
          <w:ilvl w:val="0"/>
          <w:numId w:val="3"/>
        </w:numPr>
        <w:rPr>
          <w:rFonts w:ascii="Palatino Linotype" w:hAnsi="Palatino Linotype"/>
        </w:rPr>
      </w:pPr>
      <w:r w:rsidRPr="006D6DDF">
        <w:rPr>
          <w:rFonts w:ascii="Palatino Linotype" w:hAnsi="Palatino Linotype"/>
          <w:b/>
          <w:bCs/>
        </w:rPr>
        <w:t>Kommunen meddeler, at der indledes en kondemneringssag.</w:t>
      </w:r>
      <w:r>
        <w:rPr>
          <w:rFonts w:ascii="Palatino Linotype" w:hAnsi="Palatino Linotype"/>
        </w:rPr>
        <w:t xml:space="preserve"> Kommunen skal </w:t>
      </w:r>
      <w:r w:rsidR="00F5688B">
        <w:rPr>
          <w:rFonts w:ascii="Palatino Linotype" w:hAnsi="Palatino Linotype"/>
        </w:rPr>
        <w:t xml:space="preserve">herefter </w:t>
      </w:r>
      <w:r>
        <w:rPr>
          <w:rFonts w:ascii="Palatino Linotype" w:hAnsi="Palatino Linotype"/>
        </w:rPr>
        <w:t xml:space="preserve">inden </w:t>
      </w:r>
      <w:r w:rsidR="00F5688B">
        <w:rPr>
          <w:rFonts w:ascii="Palatino Linotype" w:hAnsi="Palatino Linotype"/>
        </w:rPr>
        <w:t>4</w:t>
      </w:r>
      <w:r>
        <w:rPr>
          <w:rFonts w:ascii="Palatino Linotype" w:hAnsi="Palatino Linotype"/>
        </w:rPr>
        <w:t xml:space="preserve"> måneder træffe beslutning om kondemnering. Såfremt boligen ikke kondemneres, kan ejeren kræve en rimelig godtgørelse for lejetab (som </w:t>
      </w:r>
      <w:r w:rsidR="00F5688B">
        <w:rPr>
          <w:rFonts w:ascii="Palatino Linotype" w:hAnsi="Palatino Linotype"/>
        </w:rPr>
        <w:t xml:space="preserve">vi foreslår, at </w:t>
      </w:r>
      <w:r>
        <w:rPr>
          <w:rFonts w:ascii="Palatino Linotype" w:hAnsi="Palatino Linotype"/>
        </w:rPr>
        <w:t>kommunen kan anmelde til refusion</w:t>
      </w:r>
      <w:r w:rsidR="00F5688B">
        <w:rPr>
          <w:rFonts w:ascii="Palatino Linotype" w:hAnsi="Palatino Linotype"/>
        </w:rPr>
        <w:t>)</w:t>
      </w:r>
    </w:p>
    <w:p w14:paraId="6371FDCB" w14:textId="77777777" w:rsidR="00C007D7" w:rsidRDefault="00C007D7" w:rsidP="00C007D7">
      <w:pPr>
        <w:pStyle w:val="Listeafsnit"/>
        <w:ind w:left="1080"/>
        <w:rPr>
          <w:rFonts w:ascii="Palatino Linotype" w:hAnsi="Palatino Linotype"/>
        </w:rPr>
      </w:pPr>
    </w:p>
    <w:p w14:paraId="6E443F44" w14:textId="6620E0AC" w:rsidR="00C007D7" w:rsidRDefault="00C007D7" w:rsidP="004D4AF5">
      <w:pPr>
        <w:ind w:left="360" w:firstLine="360"/>
        <w:rPr>
          <w:rFonts w:ascii="Palatino Linotype" w:hAnsi="Palatino Linotype"/>
        </w:rPr>
      </w:pPr>
      <w:r>
        <w:rPr>
          <w:rFonts w:ascii="Palatino Linotype" w:hAnsi="Palatino Linotype"/>
        </w:rPr>
        <w:t>I tilfælde 2 og 3 må boligen ikke bruges til beboelse eller ophold</w:t>
      </w:r>
      <w:r w:rsidR="006D6DDF">
        <w:rPr>
          <w:rFonts w:ascii="Palatino Linotype" w:hAnsi="Palatino Linotype"/>
        </w:rPr>
        <w:t xml:space="preserve"> i perioden</w:t>
      </w:r>
      <w:r>
        <w:rPr>
          <w:rFonts w:ascii="Palatino Linotype" w:hAnsi="Palatino Linotype"/>
        </w:rPr>
        <w:t xml:space="preserve">. </w:t>
      </w:r>
    </w:p>
    <w:p w14:paraId="1658136F" w14:textId="77777777" w:rsidR="006D6DDF" w:rsidRDefault="006D6DDF" w:rsidP="00C007D7">
      <w:pPr>
        <w:ind w:left="360"/>
        <w:rPr>
          <w:rFonts w:ascii="Palatino Linotype" w:hAnsi="Palatino Linotype"/>
        </w:rPr>
      </w:pPr>
    </w:p>
    <w:p w14:paraId="5ABAB532" w14:textId="1D977052" w:rsidR="00C007D7" w:rsidRDefault="00C007D7" w:rsidP="00C007D7">
      <w:pPr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Alternativt bør det vurderes, om reglerne i stedes bør kobles op på muligheden for at give et midlertidigt forbud</w:t>
      </w:r>
      <w:r w:rsidR="004D4AF5">
        <w:rPr>
          <w:rFonts w:ascii="Palatino Linotype" w:hAnsi="Palatino Linotype"/>
        </w:rPr>
        <w:t xml:space="preserve"> -</w:t>
      </w:r>
      <w:r>
        <w:rPr>
          <w:rFonts w:ascii="Palatino Linotype" w:hAnsi="Palatino Linotype"/>
        </w:rPr>
        <w:t xml:space="preserve"> jf. § 80</w:t>
      </w:r>
      <w:r w:rsidR="004D4AF5">
        <w:rPr>
          <w:rFonts w:ascii="Palatino Linotype" w:hAnsi="Palatino Linotype"/>
        </w:rPr>
        <w:t xml:space="preserve"> - </w:t>
      </w:r>
      <w:r w:rsidR="006D6DDF">
        <w:rPr>
          <w:rFonts w:ascii="Palatino Linotype" w:hAnsi="Palatino Linotype"/>
        </w:rPr>
        <w:t>inden for de 30 dages frist</w:t>
      </w:r>
      <w:r>
        <w:rPr>
          <w:rFonts w:ascii="Palatino Linotype" w:hAnsi="Palatino Linotype"/>
        </w:rPr>
        <w:t>. Det kan undtagelsesvis</w:t>
      </w:r>
      <w:r w:rsidR="006C2151">
        <w:rPr>
          <w:rFonts w:ascii="Palatino Linotype" w:hAnsi="Palatino Linotype"/>
        </w:rPr>
        <w:t xml:space="preserve"> (og jf. praksis)</w:t>
      </w:r>
      <w:r>
        <w:rPr>
          <w:rFonts w:ascii="Palatino Linotype" w:hAnsi="Palatino Linotype"/>
        </w:rPr>
        <w:t xml:space="preserve"> </w:t>
      </w:r>
      <w:r w:rsidR="006C2151">
        <w:rPr>
          <w:rFonts w:ascii="Palatino Linotype" w:hAnsi="Palatino Linotype"/>
        </w:rPr>
        <w:t xml:space="preserve">ske uden partshøring, hvis det er nødvendigt for at sikre, at </w:t>
      </w:r>
      <w:r w:rsidR="004D4AF5">
        <w:rPr>
          <w:rFonts w:ascii="Palatino Linotype" w:hAnsi="Palatino Linotype"/>
        </w:rPr>
        <w:t>kommende beboere</w:t>
      </w:r>
      <w:r w:rsidR="006C2151">
        <w:rPr>
          <w:rFonts w:ascii="Palatino Linotype" w:hAnsi="Palatino Linotype"/>
        </w:rPr>
        <w:t xml:space="preserve"> ikke udsættes for sundhedsfare</w:t>
      </w:r>
      <w:r w:rsidR="004D4AF5">
        <w:rPr>
          <w:rFonts w:ascii="Palatino Linotype" w:hAnsi="Palatino Linotype"/>
        </w:rPr>
        <w:t>.</w:t>
      </w:r>
    </w:p>
    <w:p w14:paraId="55BCB428" w14:textId="43584F7A" w:rsidR="00F5688B" w:rsidRDefault="00F5688B" w:rsidP="00C007D7">
      <w:pPr>
        <w:ind w:left="360"/>
        <w:rPr>
          <w:rFonts w:ascii="Palatino Linotype" w:hAnsi="Palatino Linotype"/>
        </w:rPr>
      </w:pPr>
    </w:p>
    <w:p w14:paraId="0F491B2C" w14:textId="77777777" w:rsidR="00C007D7" w:rsidRPr="00C007D7" w:rsidRDefault="00C007D7" w:rsidP="00C007D7">
      <w:pPr>
        <w:ind w:left="360"/>
        <w:rPr>
          <w:rFonts w:ascii="Palatino Linotype" w:hAnsi="Palatino Linotype"/>
        </w:rPr>
      </w:pPr>
    </w:p>
    <w:p w14:paraId="221D274C" w14:textId="238B6F77" w:rsidR="006C2151" w:rsidRPr="006D6DDF" w:rsidRDefault="00E473FC" w:rsidP="00DF60BC">
      <w:pPr>
        <w:pStyle w:val="Listeafsnit"/>
        <w:numPr>
          <w:ilvl w:val="0"/>
          <w:numId w:val="4"/>
        </w:numPr>
        <w:rPr>
          <w:rFonts w:ascii="Palatino Linotype" w:hAnsi="Palatino Linotype"/>
          <w:b/>
          <w:bCs/>
          <w:sz w:val="28"/>
          <w:szCs w:val="28"/>
        </w:rPr>
      </w:pPr>
      <w:r w:rsidRPr="006D6DDF">
        <w:rPr>
          <w:rFonts w:ascii="Palatino Linotype" w:hAnsi="Palatino Linotype"/>
          <w:b/>
          <w:bCs/>
          <w:sz w:val="28"/>
          <w:szCs w:val="28"/>
        </w:rPr>
        <w:t>Væsentlige vedligeholdelsesmangler.</w:t>
      </w:r>
    </w:p>
    <w:p w14:paraId="0322DEBE" w14:textId="200662DD" w:rsidR="006C2151" w:rsidRPr="006C2151" w:rsidRDefault="004D4AF5" w:rsidP="009066FE">
      <w:pPr>
        <w:ind w:left="36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D</w:t>
      </w:r>
      <w:r w:rsidR="006D6DDF">
        <w:rPr>
          <w:rFonts w:ascii="Palatino Linotype" w:hAnsi="Palatino Linotype"/>
          <w:b/>
          <w:bCs/>
        </w:rPr>
        <w:t xml:space="preserve">.1. </w:t>
      </w:r>
      <w:r w:rsidR="006C2151" w:rsidRPr="006C2151">
        <w:rPr>
          <w:rFonts w:ascii="Palatino Linotype" w:hAnsi="Palatino Linotype"/>
          <w:b/>
          <w:bCs/>
        </w:rPr>
        <w:t>Forslaget:</w:t>
      </w:r>
    </w:p>
    <w:p w14:paraId="45F90B47" w14:textId="3BD55B78" w:rsidR="00BB1A6F" w:rsidRDefault="00C93BA5" w:rsidP="009066FE">
      <w:pPr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Er der ikke sundhedsfare, men </w:t>
      </w:r>
      <w:r w:rsidR="006E77EE">
        <w:rPr>
          <w:rFonts w:ascii="Palatino Linotype" w:hAnsi="Palatino Linotype"/>
        </w:rPr>
        <w:t xml:space="preserve">derimod alvorlige </w:t>
      </w:r>
      <w:r>
        <w:rPr>
          <w:rFonts w:ascii="Palatino Linotype" w:hAnsi="Palatino Linotype"/>
        </w:rPr>
        <w:t xml:space="preserve">vedligeholdelsesmangler, kan kommune indlede en huslejenævnssag med henblik på at få ejer pålagt at foretage udbedring – det er ikke noget kommunen skal.   </w:t>
      </w:r>
      <w:r w:rsidR="00BB1A6F">
        <w:rPr>
          <w:rFonts w:ascii="Palatino Linotype" w:hAnsi="Palatino Linotype"/>
        </w:rPr>
        <w:t xml:space="preserve"> </w:t>
      </w:r>
    </w:p>
    <w:p w14:paraId="7F6B92BE" w14:textId="5CE97224" w:rsidR="00E473FC" w:rsidRDefault="00E473FC" w:rsidP="009066FE">
      <w:pPr>
        <w:ind w:left="360"/>
        <w:rPr>
          <w:rFonts w:ascii="Palatino Linotype" w:hAnsi="Palatino Linotype"/>
        </w:rPr>
      </w:pPr>
    </w:p>
    <w:p w14:paraId="364BA177" w14:textId="6CDDC6F3" w:rsidR="00E473FC" w:rsidRDefault="00E473FC" w:rsidP="009066FE">
      <w:pPr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Sag skal indbringes inden udløbet af de 30 dage efter anmeldelsen. Boligen må desværre godt udlejes.</w:t>
      </w:r>
    </w:p>
    <w:p w14:paraId="1326400E" w14:textId="3D742297" w:rsidR="006C2151" w:rsidRDefault="006C2151" w:rsidP="009066FE">
      <w:pPr>
        <w:ind w:left="360"/>
        <w:rPr>
          <w:rFonts w:ascii="Palatino Linotype" w:hAnsi="Palatino Linotype"/>
        </w:rPr>
      </w:pPr>
    </w:p>
    <w:p w14:paraId="2B5FDBF7" w14:textId="09E8E5D7" w:rsidR="006C2151" w:rsidRPr="006C2151" w:rsidRDefault="006C2151" w:rsidP="009066FE">
      <w:pPr>
        <w:ind w:left="360"/>
        <w:rPr>
          <w:rFonts w:ascii="Palatino Linotype" w:hAnsi="Palatino Linotype"/>
          <w:b/>
          <w:bCs/>
        </w:rPr>
      </w:pPr>
      <w:r w:rsidRPr="006C2151">
        <w:rPr>
          <w:rFonts w:ascii="Palatino Linotype" w:hAnsi="Palatino Linotype"/>
          <w:b/>
          <w:bCs/>
        </w:rPr>
        <w:t>Vores forslag:</w:t>
      </w:r>
    </w:p>
    <w:p w14:paraId="46C61CBB" w14:textId="6796AD08" w:rsidR="006C2151" w:rsidRDefault="006C2151" w:rsidP="009066FE">
      <w:pPr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I overensstemmelse med det ovenstående foreslås det i stedet, at kommunen kan stille krav om udbedring inden boligen må udlejes – se </w:t>
      </w:r>
      <w:proofErr w:type="spellStart"/>
      <w:r>
        <w:rPr>
          <w:rFonts w:ascii="Palatino Linotype" w:hAnsi="Palatino Linotype"/>
        </w:rPr>
        <w:t>pkt</w:t>
      </w:r>
      <w:proofErr w:type="spellEnd"/>
      <w:r>
        <w:rPr>
          <w:rFonts w:ascii="Palatino Linotype" w:hAnsi="Palatino Linotype"/>
        </w:rPr>
        <w:t xml:space="preserve"> </w:t>
      </w:r>
      <w:r w:rsidR="004D4AF5">
        <w:rPr>
          <w:rFonts w:ascii="Palatino Linotype" w:hAnsi="Palatino Linotype"/>
        </w:rPr>
        <w:t>C.</w:t>
      </w:r>
      <w:r w:rsidR="006D6DDF">
        <w:rPr>
          <w:rFonts w:ascii="Palatino Linotype" w:hAnsi="Palatino Linotype"/>
        </w:rPr>
        <w:t>3, nr. 2</w:t>
      </w:r>
      <w:r>
        <w:rPr>
          <w:rFonts w:ascii="Palatino Linotype" w:hAnsi="Palatino Linotype"/>
        </w:rPr>
        <w:t xml:space="preserve"> ovenfor.</w:t>
      </w:r>
    </w:p>
    <w:p w14:paraId="023862FE" w14:textId="483A4DB7" w:rsidR="006C2151" w:rsidRDefault="006C2151" w:rsidP="009066FE">
      <w:pPr>
        <w:ind w:left="360"/>
        <w:rPr>
          <w:rFonts w:ascii="Palatino Linotype" w:hAnsi="Palatino Linotype"/>
        </w:rPr>
      </w:pPr>
    </w:p>
    <w:p w14:paraId="7FC43C19" w14:textId="300B7966" w:rsidR="006C2151" w:rsidRDefault="006C2151" w:rsidP="009066FE">
      <w:pPr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Det vil være effektivt, og mange alvorlige vedligeholdelsesmangler vil </w:t>
      </w:r>
      <w:r w:rsidR="006D6DDF">
        <w:rPr>
          <w:rFonts w:ascii="Palatino Linotype" w:hAnsi="Palatino Linotype"/>
        </w:rPr>
        <w:t xml:space="preserve">alligevel </w:t>
      </w:r>
      <w:r>
        <w:rPr>
          <w:rFonts w:ascii="Palatino Linotype" w:hAnsi="Palatino Linotype"/>
        </w:rPr>
        <w:t>vedrøre mangler ved klimaskærmen</w:t>
      </w:r>
      <w:r w:rsidR="004D4AF5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og vil principielt kunne påtales efter byfornyelseslovens § 75.</w:t>
      </w:r>
    </w:p>
    <w:p w14:paraId="4178FF9E" w14:textId="0BCAF2BA" w:rsidR="00C93BA5" w:rsidRDefault="00E473FC" w:rsidP="009066FE">
      <w:pPr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14:paraId="560051CF" w14:textId="03E8BA3C" w:rsidR="00D023C2" w:rsidRDefault="006C2151" w:rsidP="009066FE">
      <w:pPr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Årsagen </w:t>
      </w:r>
      <w:r w:rsidR="006D6DDF">
        <w:rPr>
          <w:rFonts w:ascii="Palatino Linotype" w:hAnsi="Palatino Linotype"/>
        </w:rPr>
        <w:t xml:space="preserve">til ændringsforslaget </w:t>
      </w:r>
      <w:r>
        <w:rPr>
          <w:rFonts w:ascii="Palatino Linotype" w:hAnsi="Palatino Linotype"/>
        </w:rPr>
        <w:t>er</w:t>
      </w:r>
      <w:r w:rsidR="00E6445F">
        <w:rPr>
          <w:rFonts w:ascii="Palatino Linotype" w:hAnsi="Palatino Linotype"/>
        </w:rPr>
        <w:t xml:space="preserve"> </w:t>
      </w:r>
      <w:r w:rsidR="00D023C2">
        <w:rPr>
          <w:rFonts w:ascii="Palatino Linotype" w:hAnsi="Palatino Linotype"/>
        </w:rPr>
        <w:t>at:</w:t>
      </w:r>
    </w:p>
    <w:p w14:paraId="069939EE" w14:textId="77777777" w:rsidR="00D023C2" w:rsidRDefault="00D023C2" w:rsidP="009066FE">
      <w:pPr>
        <w:ind w:left="360"/>
        <w:rPr>
          <w:rFonts w:ascii="Palatino Linotype" w:hAnsi="Palatino Linotype"/>
        </w:rPr>
      </w:pPr>
    </w:p>
    <w:p w14:paraId="676DBCEA" w14:textId="777C8B44" w:rsidR="00D023C2" w:rsidRPr="00D023C2" w:rsidRDefault="00D023C2" w:rsidP="00DF60BC">
      <w:pPr>
        <w:pStyle w:val="Listeafsnit"/>
        <w:numPr>
          <w:ilvl w:val="0"/>
          <w:numId w:val="6"/>
        </w:numPr>
        <w:rPr>
          <w:rFonts w:ascii="Palatino Linotype" w:hAnsi="Palatino Linotype"/>
        </w:rPr>
      </w:pPr>
      <w:r w:rsidRPr="00D023C2">
        <w:rPr>
          <w:rFonts w:ascii="Palatino Linotype" w:hAnsi="Palatino Linotype"/>
        </w:rPr>
        <w:t>processen vil blive enklere og mere overskuelig</w:t>
      </w:r>
      <w:r w:rsidR="006C2151" w:rsidRPr="00D023C2">
        <w:rPr>
          <w:rFonts w:ascii="Palatino Linotype" w:hAnsi="Palatino Linotype"/>
        </w:rPr>
        <w:t xml:space="preserve">, </w:t>
      </w:r>
    </w:p>
    <w:p w14:paraId="5CEFFFA9" w14:textId="7E2FE403" w:rsidR="00D023C2" w:rsidRPr="00D023C2" w:rsidRDefault="006C2151" w:rsidP="00DF60BC">
      <w:pPr>
        <w:pStyle w:val="Listeafsnit"/>
        <w:numPr>
          <w:ilvl w:val="0"/>
          <w:numId w:val="6"/>
        </w:numPr>
        <w:rPr>
          <w:rFonts w:ascii="Palatino Linotype" w:hAnsi="Palatino Linotype"/>
        </w:rPr>
      </w:pPr>
      <w:r w:rsidRPr="00D023C2">
        <w:rPr>
          <w:rFonts w:ascii="Palatino Linotype" w:hAnsi="Palatino Linotype"/>
        </w:rPr>
        <w:t>huslejenævnssager er meget ressourcekrævende</w:t>
      </w:r>
    </w:p>
    <w:p w14:paraId="03CE7362" w14:textId="5A96F1F2" w:rsidR="006C2151" w:rsidRPr="00D023C2" w:rsidRDefault="00D023C2" w:rsidP="00DF60BC">
      <w:pPr>
        <w:pStyle w:val="Listeafsnit"/>
        <w:numPr>
          <w:ilvl w:val="0"/>
          <w:numId w:val="6"/>
        </w:numPr>
        <w:rPr>
          <w:rFonts w:ascii="Palatino Linotype" w:hAnsi="Palatino Linotype"/>
        </w:rPr>
      </w:pPr>
      <w:r w:rsidRPr="00D023C2">
        <w:rPr>
          <w:rFonts w:ascii="Palatino Linotype" w:hAnsi="Palatino Linotype"/>
        </w:rPr>
        <w:t>mange</w:t>
      </w:r>
      <w:r w:rsidR="006C2151" w:rsidRPr="00D023C2">
        <w:rPr>
          <w:rFonts w:ascii="Palatino Linotype" w:hAnsi="Palatino Linotype"/>
        </w:rPr>
        <w:t xml:space="preserve">l kommuner </w:t>
      </w:r>
      <w:r w:rsidRPr="00D023C2">
        <w:rPr>
          <w:rFonts w:ascii="Palatino Linotype" w:hAnsi="Palatino Linotype"/>
        </w:rPr>
        <w:t xml:space="preserve">formentlig </w:t>
      </w:r>
      <w:r w:rsidR="006C2151" w:rsidRPr="00D023C2">
        <w:rPr>
          <w:rFonts w:ascii="Palatino Linotype" w:hAnsi="Palatino Linotype"/>
        </w:rPr>
        <w:t xml:space="preserve">vil fravælge anmeldelsesordningen, fordi </w:t>
      </w:r>
      <w:r w:rsidRPr="00D023C2">
        <w:rPr>
          <w:rFonts w:ascii="Palatino Linotype" w:hAnsi="Palatino Linotype"/>
        </w:rPr>
        <w:t>de mangler ressourcer til at gå ind i huslejenævnssager.</w:t>
      </w:r>
    </w:p>
    <w:p w14:paraId="7F472A77" w14:textId="77777777" w:rsidR="006C2151" w:rsidRDefault="006C2151" w:rsidP="009066FE">
      <w:pPr>
        <w:ind w:left="360"/>
        <w:rPr>
          <w:rFonts w:ascii="Palatino Linotype" w:hAnsi="Palatino Linotype"/>
        </w:rPr>
      </w:pPr>
    </w:p>
    <w:p w14:paraId="1A7C6C13" w14:textId="4CFCDB8E" w:rsidR="00C93BA5" w:rsidRPr="006D6DDF" w:rsidRDefault="006C2151" w:rsidP="00DF60BC">
      <w:pPr>
        <w:pStyle w:val="Listeafsnit"/>
        <w:numPr>
          <w:ilvl w:val="0"/>
          <w:numId w:val="4"/>
        </w:numPr>
        <w:rPr>
          <w:rFonts w:ascii="Palatino Linotype" w:hAnsi="Palatino Linotype"/>
          <w:b/>
          <w:bCs/>
          <w:sz w:val="28"/>
          <w:szCs w:val="28"/>
        </w:rPr>
      </w:pPr>
      <w:bookmarkStart w:id="1" w:name="_Hlk29558711"/>
      <w:r w:rsidRPr="006D6DDF">
        <w:rPr>
          <w:rFonts w:ascii="Palatino Linotype" w:hAnsi="Palatino Linotype"/>
          <w:b/>
          <w:bCs/>
          <w:sz w:val="28"/>
          <w:szCs w:val="28"/>
        </w:rPr>
        <w:t>R</w:t>
      </w:r>
      <w:r w:rsidR="007311C6" w:rsidRPr="006D6DDF">
        <w:rPr>
          <w:rFonts w:ascii="Palatino Linotype" w:hAnsi="Palatino Linotype"/>
          <w:b/>
          <w:bCs/>
          <w:sz w:val="28"/>
          <w:szCs w:val="28"/>
        </w:rPr>
        <w:t>etsvirkninger for udlejeren:</w:t>
      </w:r>
    </w:p>
    <w:p w14:paraId="6927CB36" w14:textId="0C53F072" w:rsidR="006D6DDF" w:rsidRPr="006D6DDF" w:rsidRDefault="00E6445F" w:rsidP="009066FE">
      <w:pPr>
        <w:ind w:left="36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E</w:t>
      </w:r>
      <w:r w:rsidR="006D6DDF" w:rsidRPr="006D6DDF">
        <w:rPr>
          <w:rFonts w:ascii="Palatino Linotype" w:hAnsi="Palatino Linotype"/>
          <w:b/>
          <w:bCs/>
        </w:rPr>
        <w:t>.1. Straf</w:t>
      </w:r>
    </w:p>
    <w:p w14:paraId="673C830E" w14:textId="6C53E291" w:rsidR="00C93BA5" w:rsidRDefault="007311C6" w:rsidP="009066FE">
      <w:pPr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Der kan ikke lovligt indgås lejeaftale inden boligen er godkendt.</w:t>
      </w:r>
    </w:p>
    <w:p w14:paraId="232CC0BE" w14:textId="2998F74C" w:rsidR="006D6DDF" w:rsidRDefault="006D6DDF" w:rsidP="009066FE">
      <w:pPr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Ejeren kan ifalde bødestraf.</w:t>
      </w:r>
    </w:p>
    <w:p w14:paraId="51F63152" w14:textId="77777777" w:rsidR="00E473FC" w:rsidRDefault="00E473FC" w:rsidP="009066FE">
      <w:pPr>
        <w:ind w:left="360"/>
        <w:rPr>
          <w:rFonts w:ascii="Palatino Linotype" w:hAnsi="Palatino Linotype"/>
        </w:rPr>
      </w:pPr>
    </w:p>
    <w:p w14:paraId="1B1B55B8" w14:textId="19F86FC6" w:rsidR="006C2151" w:rsidRPr="006C2151" w:rsidRDefault="00E6445F" w:rsidP="009066FE">
      <w:pPr>
        <w:ind w:left="36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E</w:t>
      </w:r>
      <w:r w:rsidR="006D6DDF">
        <w:rPr>
          <w:rFonts w:ascii="Palatino Linotype" w:hAnsi="Palatino Linotype"/>
          <w:b/>
          <w:bCs/>
        </w:rPr>
        <w:t xml:space="preserve">.2. </w:t>
      </w:r>
      <w:r w:rsidR="006C2151" w:rsidRPr="006C2151">
        <w:rPr>
          <w:rFonts w:ascii="Palatino Linotype" w:hAnsi="Palatino Linotype"/>
          <w:b/>
          <w:bCs/>
        </w:rPr>
        <w:t>Genhusning.</w:t>
      </w:r>
    </w:p>
    <w:p w14:paraId="70E382E1" w14:textId="06EF2756" w:rsidR="00C93BA5" w:rsidRDefault="00C93BA5" w:rsidP="009066FE">
      <w:pPr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Udlejes en bolig, der er anmeldelsespligt på, skal ejeren dække kommunens genhusningsudgifter ved en eventuel efterfølgende kondemnering. Det fremgår ikke, om dette også gælder indfasningsstøtten</w:t>
      </w:r>
      <w:r w:rsidR="00E6445F">
        <w:rPr>
          <w:rFonts w:ascii="Palatino Linotype" w:hAnsi="Palatino Linotype"/>
        </w:rPr>
        <w:t>, og det bør afklares.</w:t>
      </w:r>
    </w:p>
    <w:p w14:paraId="7866C15A" w14:textId="19149AE0" w:rsidR="00390E43" w:rsidRDefault="00390E43" w:rsidP="009066FE">
      <w:pPr>
        <w:ind w:left="360"/>
        <w:rPr>
          <w:rFonts w:ascii="Palatino Linotype" w:hAnsi="Palatino Linotype"/>
        </w:rPr>
      </w:pPr>
    </w:p>
    <w:p w14:paraId="46863C8C" w14:textId="34D6DACA" w:rsidR="00390E43" w:rsidRPr="00390E43" w:rsidRDefault="00D023C2" w:rsidP="009066FE">
      <w:pPr>
        <w:ind w:left="36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E.3</w:t>
      </w:r>
      <w:r w:rsidR="006D6DDF">
        <w:rPr>
          <w:rFonts w:ascii="Palatino Linotype" w:hAnsi="Palatino Linotype"/>
          <w:b/>
          <w:bCs/>
        </w:rPr>
        <w:t xml:space="preserve">. </w:t>
      </w:r>
      <w:r w:rsidR="00390E43" w:rsidRPr="00390E43">
        <w:rPr>
          <w:rFonts w:ascii="Palatino Linotype" w:hAnsi="Palatino Linotype"/>
          <w:b/>
          <w:bCs/>
        </w:rPr>
        <w:t>Vores bemærkninger.</w:t>
      </w:r>
    </w:p>
    <w:p w14:paraId="4E1D2FC2" w14:textId="69BBA84A" w:rsidR="006B1BAA" w:rsidRDefault="006B1BAA" w:rsidP="009066FE">
      <w:pPr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Vi finder det helt rimeligt, at en udlejer, der overtræder reglerne, også kommer til at dække udgifterne til genhusning, men vi tror det kan blive meget svært at administrere i praksis.</w:t>
      </w:r>
    </w:p>
    <w:p w14:paraId="5E652260" w14:textId="0B5A1F3E" w:rsidR="00390E43" w:rsidRDefault="00390E43" w:rsidP="00390E43">
      <w:pPr>
        <w:ind w:left="360"/>
        <w:rPr>
          <w:rFonts w:ascii="Palatino Linotype" w:hAnsi="Palatino Linotype"/>
        </w:rPr>
      </w:pPr>
    </w:p>
    <w:p w14:paraId="1B6D49B2" w14:textId="71DF5EC7" w:rsidR="00390E43" w:rsidRDefault="00D023C2" w:rsidP="00390E43">
      <w:pPr>
        <w:ind w:left="360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 xml:space="preserve">E.3.1. </w:t>
      </w:r>
      <w:r w:rsidR="006D6DDF" w:rsidRPr="006D6DDF">
        <w:rPr>
          <w:rFonts w:ascii="Palatino Linotype" w:hAnsi="Palatino Linotype"/>
          <w:b/>
          <w:bCs/>
        </w:rPr>
        <w:t>Udlejers retsstilling i sager om dækning af genhusningsudgifter.</w:t>
      </w:r>
      <w:r w:rsidR="00390E43" w:rsidRPr="006D6DDF">
        <w:rPr>
          <w:rFonts w:ascii="Palatino Linotype" w:hAnsi="Palatino Linotype"/>
          <w:b/>
          <w:bCs/>
        </w:rPr>
        <w:t xml:space="preserve"> </w:t>
      </w:r>
      <w:r w:rsidR="00390E43" w:rsidRPr="006D6DDF">
        <w:rPr>
          <w:rFonts w:ascii="Palatino Linotype" w:hAnsi="Palatino Linotype"/>
          <w:b/>
          <w:bCs/>
        </w:rPr>
        <w:br/>
      </w:r>
      <w:r w:rsidR="00390E43">
        <w:rPr>
          <w:rFonts w:ascii="Palatino Linotype" w:hAnsi="Palatino Linotype"/>
        </w:rPr>
        <w:t>De</w:t>
      </w:r>
      <w:r w:rsidR="00E6445F">
        <w:rPr>
          <w:rFonts w:ascii="Palatino Linotype" w:hAnsi="Palatino Linotype"/>
        </w:rPr>
        <w:t>r</w:t>
      </w:r>
      <w:r w:rsidR="00390E43">
        <w:rPr>
          <w:rFonts w:ascii="Palatino Linotype" w:hAnsi="Palatino Linotype"/>
        </w:rPr>
        <w:t xml:space="preserve"> er </w:t>
      </w:r>
      <w:r w:rsidR="00E6445F">
        <w:rPr>
          <w:rFonts w:ascii="Palatino Linotype" w:hAnsi="Palatino Linotype"/>
        </w:rPr>
        <w:t xml:space="preserve">for øjeblikket </w:t>
      </w:r>
      <w:r w:rsidR="00390E43">
        <w:rPr>
          <w:rFonts w:ascii="Palatino Linotype" w:hAnsi="Palatino Linotype"/>
        </w:rPr>
        <w:t xml:space="preserve">2 muligheder i </w:t>
      </w:r>
      <w:r>
        <w:rPr>
          <w:rFonts w:ascii="Palatino Linotype" w:hAnsi="Palatino Linotype"/>
        </w:rPr>
        <w:t xml:space="preserve">den eksisterende </w:t>
      </w:r>
      <w:r w:rsidR="00390E43">
        <w:rPr>
          <w:rFonts w:ascii="Palatino Linotype" w:hAnsi="Palatino Linotype"/>
        </w:rPr>
        <w:t>lov</w:t>
      </w:r>
      <w:r>
        <w:rPr>
          <w:rFonts w:ascii="Palatino Linotype" w:hAnsi="Palatino Linotype"/>
        </w:rPr>
        <w:t>givning</w:t>
      </w:r>
      <w:r w:rsidR="00390E43">
        <w:rPr>
          <w:rFonts w:ascii="Palatino Linotype" w:hAnsi="Palatino Linotype"/>
        </w:rPr>
        <w:t xml:space="preserve">: </w:t>
      </w:r>
    </w:p>
    <w:p w14:paraId="6291E89A" w14:textId="12954838" w:rsidR="00390E43" w:rsidRDefault="00390E43" w:rsidP="00390E43">
      <w:pPr>
        <w:ind w:left="360"/>
        <w:rPr>
          <w:rFonts w:ascii="Palatino Linotype" w:hAnsi="Palatino Linotype"/>
        </w:rPr>
      </w:pPr>
    </w:p>
    <w:p w14:paraId="6CD6230A" w14:textId="17B41075" w:rsidR="00390E43" w:rsidRPr="00D023C2" w:rsidRDefault="00390E43" w:rsidP="00DF60BC">
      <w:pPr>
        <w:pStyle w:val="Listeafsnit"/>
        <w:numPr>
          <w:ilvl w:val="0"/>
          <w:numId w:val="7"/>
        </w:numPr>
        <w:rPr>
          <w:rFonts w:ascii="Palatino Linotype" w:hAnsi="Palatino Linotype"/>
        </w:rPr>
      </w:pPr>
      <w:r w:rsidRPr="00D023C2">
        <w:rPr>
          <w:rFonts w:ascii="Palatino Linotype" w:hAnsi="Palatino Linotype"/>
          <w:b/>
          <w:bCs/>
        </w:rPr>
        <w:t xml:space="preserve">Kommunen anviser en bolig - § 68, stk. 1 </w:t>
      </w:r>
      <w:r w:rsidR="006D6DDF" w:rsidRPr="00D023C2">
        <w:rPr>
          <w:rFonts w:ascii="Palatino Linotype" w:hAnsi="Palatino Linotype"/>
        </w:rPr>
        <w:br/>
        <w:t>H</w:t>
      </w:r>
      <w:r w:rsidRPr="00D023C2">
        <w:rPr>
          <w:rFonts w:ascii="Palatino Linotype" w:hAnsi="Palatino Linotype"/>
        </w:rPr>
        <w:t xml:space="preserve">er dækker kommunen flytteomkostninger, </w:t>
      </w:r>
      <w:r w:rsidR="00E6445F" w:rsidRPr="00D023C2">
        <w:rPr>
          <w:rFonts w:ascii="Palatino Linotype" w:hAnsi="Palatino Linotype"/>
        </w:rPr>
        <w:t xml:space="preserve">evt. </w:t>
      </w:r>
      <w:r w:rsidRPr="00D023C2">
        <w:rPr>
          <w:rFonts w:ascii="Palatino Linotype" w:hAnsi="Palatino Linotype"/>
        </w:rPr>
        <w:t xml:space="preserve">inkl. håndværkerhjælp til </w:t>
      </w:r>
      <w:proofErr w:type="spellStart"/>
      <w:r w:rsidRPr="00D023C2">
        <w:rPr>
          <w:rFonts w:ascii="Palatino Linotype" w:hAnsi="Palatino Linotype"/>
        </w:rPr>
        <w:t>f.eks</w:t>
      </w:r>
      <w:proofErr w:type="spellEnd"/>
      <w:r w:rsidRPr="00D023C2">
        <w:rPr>
          <w:rFonts w:ascii="Palatino Linotype" w:hAnsi="Palatino Linotype"/>
        </w:rPr>
        <w:t xml:space="preserve"> flytning af vaskemaskine m.v. Kommunen kan ud fra en konkret vurdering (typisk af alder og helbred) dække udgifter til håndværkerhjælp til opsætning af hylder og gardine</w:t>
      </w:r>
      <w:r w:rsidR="006B1BAA" w:rsidRPr="00D023C2">
        <w:rPr>
          <w:rFonts w:ascii="Palatino Linotype" w:hAnsi="Palatino Linotype"/>
        </w:rPr>
        <w:t>r m.v.</w:t>
      </w:r>
    </w:p>
    <w:p w14:paraId="3F044456" w14:textId="77777777" w:rsidR="00390E43" w:rsidRDefault="00390E43" w:rsidP="00390E43">
      <w:pPr>
        <w:ind w:left="360"/>
        <w:rPr>
          <w:rFonts w:ascii="Palatino Linotype" w:hAnsi="Palatino Linotype"/>
        </w:rPr>
      </w:pPr>
    </w:p>
    <w:p w14:paraId="45318C1E" w14:textId="1F8008AC" w:rsidR="00390E43" w:rsidRPr="00D023C2" w:rsidRDefault="00390E43" w:rsidP="00D023C2">
      <w:pPr>
        <w:pStyle w:val="Listeafsnit"/>
        <w:ind w:left="1080"/>
        <w:rPr>
          <w:rFonts w:ascii="Palatino Linotype" w:hAnsi="Palatino Linotype"/>
          <w:b/>
          <w:bCs/>
        </w:rPr>
      </w:pPr>
      <w:r w:rsidRPr="00D023C2">
        <w:rPr>
          <w:rFonts w:ascii="Palatino Linotype" w:hAnsi="Palatino Linotype"/>
          <w:b/>
          <w:bCs/>
        </w:rPr>
        <w:t>Beboeren finder sig selv en anden bolig</w:t>
      </w:r>
      <w:r w:rsidR="006D6DDF" w:rsidRPr="00D023C2">
        <w:rPr>
          <w:rFonts w:ascii="Palatino Linotype" w:hAnsi="Palatino Linotype"/>
          <w:b/>
          <w:bCs/>
        </w:rPr>
        <w:t xml:space="preserve"> - § 68, stk. 2. </w:t>
      </w:r>
    </w:p>
    <w:p w14:paraId="040051E2" w14:textId="5209EB4A" w:rsidR="00390E43" w:rsidRPr="00D023C2" w:rsidRDefault="00390E43" w:rsidP="00DF60BC">
      <w:pPr>
        <w:pStyle w:val="Listeafsnit"/>
        <w:numPr>
          <w:ilvl w:val="0"/>
          <w:numId w:val="7"/>
        </w:numPr>
        <w:rPr>
          <w:rFonts w:ascii="Palatino Linotype" w:hAnsi="Palatino Linotype"/>
        </w:rPr>
      </w:pPr>
      <w:r w:rsidRPr="00D023C2">
        <w:rPr>
          <w:rFonts w:ascii="Palatino Linotype" w:hAnsi="Palatino Linotype"/>
        </w:rPr>
        <w:t xml:space="preserve">Her kan kommunen udbetale en godtgørelse, der ud over ovenstående også kan dække bl.a. depositum, indskud m.v. Det </w:t>
      </w:r>
      <w:r w:rsidR="00D023C2">
        <w:rPr>
          <w:rFonts w:ascii="Palatino Linotype" w:hAnsi="Palatino Linotype"/>
        </w:rPr>
        <w:t>er endda en mulighed</w:t>
      </w:r>
      <w:r w:rsidRPr="00D023C2">
        <w:rPr>
          <w:rFonts w:ascii="Palatino Linotype" w:hAnsi="Palatino Linotype"/>
        </w:rPr>
        <w:t xml:space="preserve">, at </w:t>
      </w:r>
      <w:r w:rsidR="006B1BAA" w:rsidRPr="00D023C2">
        <w:rPr>
          <w:rFonts w:ascii="Palatino Linotype" w:hAnsi="Palatino Linotype"/>
        </w:rPr>
        <w:t>godtgørelsen</w:t>
      </w:r>
      <w:r w:rsidRPr="00D023C2">
        <w:rPr>
          <w:rFonts w:ascii="Palatino Linotype" w:hAnsi="Palatino Linotype"/>
        </w:rPr>
        <w:t xml:space="preserve"> også kan dække udbetaling på </w:t>
      </w:r>
      <w:r w:rsidR="00D023C2">
        <w:rPr>
          <w:rFonts w:ascii="Palatino Linotype" w:hAnsi="Palatino Linotype"/>
        </w:rPr>
        <w:t xml:space="preserve">lejerens </w:t>
      </w:r>
      <w:r w:rsidRPr="00D023C2">
        <w:rPr>
          <w:rFonts w:ascii="Palatino Linotype" w:hAnsi="Palatino Linotype"/>
        </w:rPr>
        <w:t>køb af ejerbolig,</w:t>
      </w:r>
    </w:p>
    <w:p w14:paraId="05E56CE3" w14:textId="4D8EFBE2" w:rsidR="00390E43" w:rsidRDefault="00390E43" w:rsidP="00390E43">
      <w:pPr>
        <w:ind w:left="360"/>
        <w:rPr>
          <w:rFonts w:ascii="Palatino Linotype" w:hAnsi="Palatino Linotype"/>
        </w:rPr>
      </w:pPr>
    </w:p>
    <w:p w14:paraId="0161E885" w14:textId="250C327A" w:rsidR="00390E43" w:rsidRDefault="00390E43" w:rsidP="00390E43">
      <w:pPr>
        <w:ind w:left="360"/>
        <w:rPr>
          <w:rFonts w:ascii="Palatino Linotype" w:hAnsi="Palatino Linotype"/>
        </w:rPr>
      </w:pPr>
      <w:r w:rsidRPr="006B1BAA">
        <w:rPr>
          <w:rFonts w:ascii="Palatino Linotype" w:hAnsi="Palatino Linotype"/>
          <w:b/>
          <w:bCs/>
        </w:rPr>
        <w:t>Vores betænkelighed er</w:t>
      </w:r>
      <w:r>
        <w:rPr>
          <w:rFonts w:ascii="Palatino Linotype" w:hAnsi="Palatino Linotype"/>
        </w:rPr>
        <w:t xml:space="preserve">, at </w:t>
      </w:r>
      <w:r w:rsidR="00E6445F">
        <w:rPr>
          <w:rFonts w:ascii="Palatino Linotype" w:hAnsi="Palatino Linotype"/>
        </w:rPr>
        <w:t>udle</w:t>
      </w:r>
      <w:r>
        <w:rPr>
          <w:rFonts w:ascii="Palatino Linotype" w:hAnsi="Palatino Linotype"/>
        </w:rPr>
        <w:t xml:space="preserve">jeren vil gøre indsigelser mod de valg, der er truffet i forhold til ny bolig, og komme med indsigelser om, at boligen er for dyr, eller at kommune har </w:t>
      </w:r>
      <w:r w:rsidR="006D6DDF">
        <w:rPr>
          <w:rFonts w:ascii="Palatino Linotype" w:hAnsi="Palatino Linotype"/>
        </w:rPr>
        <w:t>været for gavmild ift. hvad der er dækket.</w:t>
      </w:r>
      <w:r>
        <w:rPr>
          <w:rFonts w:ascii="Palatino Linotype" w:hAnsi="Palatino Linotype"/>
        </w:rPr>
        <w:t xml:space="preserve"> </w:t>
      </w:r>
      <w:r w:rsidR="00D023C2">
        <w:rPr>
          <w:rFonts w:ascii="Palatino Linotype" w:hAnsi="Palatino Linotype"/>
        </w:rPr>
        <w:t>Her kan også være et retssikkerhedsspørgsmål.</w:t>
      </w:r>
    </w:p>
    <w:p w14:paraId="60EABC3E" w14:textId="2844747C" w:rsidR="006D6DDF" w:rsidRDefault="006D6DDF" w:rsidP="00390E43">
      <w:pPr>
        <w:ind w:left="360"/>
        <w:rPr>
          <w:rFonts w:ascii="Palatino Linotype" w:hAnsi="Palatino Linotype"/>
        </w:rPr>
      </w:pPr>
    </w:p>
    <w:p w14:paraId="65358A58" w14:textId="0C0989D1" w:rsidR="006D6DDF" w:rsidRDefault="006D6DDF" w:rsidP="00390E43">
      <w:pPr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Skal kommunen have bevisbyrden </w:t>
      </w:r>
      <w:r w:rsidR="006B1BAA">
        <w:rPr>
          <w:rFonts w:ascii="Palatino Linotype" w:hAnsi="Palatino Linotype"/>
        </w:rPr>
        <w:t>for at udgifterne er rimelige</w:t>
      </w:r>
      <w:r w:rsidR="00E6445F">
        <w:rPr>
          <w:rFonts w:ascii="Palatino Linotype" w:hAnsi="Palatino Linotype"/>
        </w:rPr>
        <w:t>,</w:t>
      </w:r>
      <w:r w:rsidR="006B1BA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kan det blive overordentligt svært </w:t>
      </w:r>
      <w:r w:rsidR="00D023C2">
        <w:rPr>
          <w:rFonts w:ascii="Palatino Linotype" w:hAnsi="Palatino Linotype"/>
        </w:rPr>
        <w:t xml:space="preserve">- </w:t>
      </w:r>
      <w:r>
        <w:rPr>
          <w:rFonts w:ascii="Palatino Linotype" w:hAnsi="Palatino Linotype"/>
        </w:rPr>
        <w:t>at inddrive udgifterne.</w:t>
      </w:r>
    </w:p>
    <w:p w14:paraId="0C8BD710" w14:textId="03FA0522" w:rsidR="00390E43" w:rsidRDefault="00390E43" w:rsidP="00390E43">
      <w:pPr>
        <w:ind w:left="360"/>
        <w:rPr>
          <w:rFonts w:ascii="Palatino Linotype" w:hAnsi="Palatino Linotype"/>
        </w:rPr>
      </w:pPr>
    </w:p>
    <w:p w14:paraId="6653E3EC" w14:textId="4C1B3339" w:rsidR="006B1BAA" w:rsidRPr="002B1B3D" w:rsidRDefault="00E6445F" w:rsidP="00DF60BC">
      <w:pPr>
        <w:pStyle w:val="Listeafsnit"/>
        <w:numPr>
          <w:ilvl w:val="0"/>
          <w:numId w:val="4"/>
        </w:numPr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Andre redskaber til bekæmpelse af boligspekulation.</w:t>
      </w:r>
    </w:p>
    <w:p w14:paraId="47867CA5" w14:textId="600CD12A" w:rsidR="006B1BAA" w:rsidRDefault="00250A28" w:rsidP="006B1BAA">
      <w:pPr>
        <w:ind w:left="360"/>
        <w:rPr>
          <w:rFonts w:ascii="Palatino Linotype" w:hAnsi="Palatino Linotype"/>
        </w:rPr>
      </w:pPr>
      <w:r w:rsidRPr="00250A28">
        <w:rPr>
          <w:rFonts w:ascii="Palatino Linotype" w:hAnsi="Palatino Linotype"/>
        </w:rPr>
        <w:t xml:space="preserve">Det er </w:t>
      </w:r>
      <w:r w:rsidR="002B1B3D">
        <w:rPr>
          <w:rFonts w:ascii="Palatino Linotype" w:hAnsi="Palatino Linotype"/>
        </w:rPr>
        <w:t xml:space="preserve">også </w:t>
      </w:r>
      <w:r w:rsidRPr="00250A28">
        <w:rPr>
          <w:rFonts w:ascii="Palatino Linotype" w:hAnsi="Palatino Linotype"/>
        </w:rPr>
        <w:t>vores opfattelse, at der er mange andre muligheder, der ikke er så vidtgående</w:t>
      </w:r>
      <w:r w:rsidR="006B1BAA" w:rsidRPr="00250A28">
        <w:rPr>
          <w:rFonts w:ascii="Palatino Linotype" w:hAnsi="Palatino Linotype"/>
        </w:rPr>
        <w:t xml:space="preserve"> </w:t>
      </w:r>
      <w:r w:rsidRPr="00250A28">
        <w:rPr>
          <w:rFonts w:ascii="Palatino Linotype" w:hAnsi="Palatino Linotype"/>
        </w:rPr>
        <w:t xml:space="preserve">som ovennævnte forslag, men </w:t>
      </w:r>
      <w:r w:rsidR="00D023C2">
        <w:rPr>
          <w:rFonts w:ascii="Palatino Linotype" w:hAnsi="Palatino Linotype"/>
        </w:rPr>
        <w:t xml:space="preserve">efter vores opfattelse </w:t>
      </w:r>
      <w:r w:rsidRPr="00250A28">
        <w:rPr>
          <w:rFonts w:ascii="Palatino Linotype" w:hAnsi="Palatino Linotype"/>
        </w:rPr>
        <w:t>er bedre egnede til at nå målene</w:t>
      </w:r>
      <w:r w:rsidR="00D023C2">
        <w:rPr>
          <w:rFonts w:ascii="Palatino Linotype" w:hAnsi="Palatino Linotype"/>
        </w:rPr>
        <w:t>. Især hvis de bruges som led i en koordineret og målrettet indsats.</w:t>
      </w:r>
    </w:p>
    <w:p w14:paraId="67FB2EAF" w14:textId="2A3AE67D" w:rsidR="00250A28" w:rsidRDefault="00250A28" w:rsidP="006B1BAA">
      <w:pPr>
        <w:ind w:left="360"/>
        <w:rPr>
          <w:rFonts w:ascii="Palatino Linotype" w:hAnsi="Palatino Linotype"/>
        </w:rPr>
      </w:pPr>
    </w:p>
    <w:p w14:paraId="30A90701" w14:textId="139D1958" w:rsidR="00250A28" w:rsidRDefault="00250A28" w:rsidP="006B1BAA">
      <w:pPr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I flæng kan nævnes:</w:t>
      </w:r>
    </w:p>
    <w:p w14:paraId="0CE211C6" w14:textId="483D7F42" w:rsidR="00250A28" w:rsidRPr="00250A28" w:rsidRDefault="00250A28" w:rsidP="00DF60BC">
      <w:pPr>
        <w:pStyle w:val="Listeafsnit"/>
        <w:numPr>
          <w:ilvl w:val="0"/>
          <w:numId w:val="5"/>
        </w:numPr>
        <w:rPr>
          <w:rFonts w:ascii="Palatino Linotype" w:hAnsi="Palatino Linotype"/>
        </w:rPr>
      </w:pPr>
      <w:r w:rsidRPr="00250A28">
        <w:rPr>
          <w:rFonts w:ascii="Palatino Linotype" w:hAnsi="Palatino Linotype"/>
        </w:rPr>
        <w:t>Genindførelse af</w:t>
      </w:r>
      <w:r w:rsidR="002B1B3D">
        <w:rPr>
          <w:rFonts w:ascii="Palatino Linotype" w:hAnsi="Palatino Linotype"/>
        </w:rPr>
        <w:t xml:space="preserve"> muligheden for </w:t>
      </w:r>
      <w:r w:rsidRPr="00250A28">
        <w:rPr>
          <w:rFonts w:ascii="Palatino Linotype" w:hAnsi="Palatino Linotype"/>
        </w:rPr>
        <w:t xml:space="preserve">at kommunerne kan besigtige de boliger, hvortil der søges boligstøtte/-ydelse. </w:t>
      </w:r>
    </w:p>
    <w:p w14:paraId="78D2BAB0" w14:textId="77777777" w:rsidR="00250A28" w:rsidRDefault="00250A28" w:rsidP="006B1BAA">
      <w:pPr>
        <w:ind w:left="360"/>
        <w:rPr>
          <w:rFonts w:ascii="Palatino Linotype" w:hAnsi="Palatino Linotype"/>
        </w:rPr>
      </w:pPr>
    </w:p>
    <w:p w14:paraId="78978591" w14:textId="65A326A1" w:rsidR="00E6445F" w:rsidRDefault="00250A28" w:rsidP="00250A28">
      <w:pPr>
        <w:pStyle w:val="Listeafsnit"/>
        <w:ind w:left="1080"/>
        <w:rPr>
          <w:rFonts w:ascii="Palatino Linotype" w:hAnsi="Palatino Linotype"/>
        </w:rPr>
      </w:pPr>
      <w:r w:rsidRPr="00250A28">
        <w:rPr>
          <w:rFonts w:ascii="Palatino Linotype" w:hAnsi="Palatino Linotype"/>
        </w:rPr>
        <w:t xml:space="preserve">Denne ret </w:t>
      </w:r>
      <w:r w:rsidR="00D023C2">
        <w:rPr>
          <w:rFonts w:ascii="Palatino Linotype" w:hAnsi="Palatino Linotype"/>
        </w:rPr>
        <w:t xml:space="preserve">har kommunerne principielt </w:t>
      </w:r>
      <w:r w:rsidR="002B1B3D">
        <w:rPr>
          <w:rFonts w:ascii="Palatino Linotype" w:hAnsi="Palatino Linotype"/>
        </w:rPr>
        <w:t xml:space="preserve">allerede </w:t>
      </w:r>
      <w:r w:rsidRPr="00250A28">
        <w:rPr>
          <w:rFonts w:ascii="Palatino Linotype" w:hAnsi="Palatino Linotype"/>
        </w:rPr>
        <w:t>i lovgivningen</w:t>
      </w:r>
      <w:r w:rsidR="002B1B3D">
        <w:rPr>
          <w:rFonts w:ascii="Palatino Linotype" w:hAnsi="Palatino Linotype"/>
        </w:rPr>
        <w:t>. Men</w:t>
      </w:r>
      <w:r w:rsidRPr="00250A28">
        <w:rPr>
          <w:rFonts w:ascii="Palatino Linotype" w:hAnsi="Palatino Linotype"/>
        </w:rPr>
        <w:t xml:space="preserve"> med overgangen til Udbetaling Danmark blev det i praksis umuligt</w:t>
      </w:r>
      <w:r w:rsidR="002B1B3D">
        <w:rPr>
          <w:rFonts w:ascii="Palatino Linotype" w:hAnsi="Palatino Linotype"/>
        </w:rPr>
        <w:t xml:space="preserve"> </w:t>
      </w:r>
      <w:r w:rsidR="00E6445F">
        <w:rPr>
          <w:rFonts w:ascii="Palatino Linotype" w:hAnsi="Palatino Linotype"/>
        </w:rPr>
        <w:t xml:space="preserve">for </w:t>
      </w:r>
      <w:r w:rsidR="00D023C2">
        <w:rPr>
          <w:rFonts w:ascii="Palatino Linotype" w:hAnsi="Palatino Linotype"/>
        </w:rPr>
        <w:t>kommunerne</w:t>
      </w:r>
      <w:r w:rsidR="00E6445F">
        <w:rPr>
          <w:rFonts w:ascii="Palatino Linotype" w:hAnsi="Palatino Linotype"/>
        </w:rPr>
        <w:t xml:space="preserve"> at udøve denne ret.</w:t>
      </w:r>
      <w:r w:rsidR="00D023C2">
        <w:rPr>
          <w:rFonts w:ascii="Palatino Linotype" w:hAnsi="Palatino Linotype"/>
        </w:rPr>
        <w:t xml:space="preserve"> </w:t>
      </w:r>
    </w:p>
    <w:p w14:paraId="29A39D21" w14:textId="3C48E996" w:rsidR="006B1BAA" w:rsidRPr="00250A28" w:rsidRDefault="00250A28" w:rsidP="00250A28">
      <w:pPr>
        <w:pStyle w:val="Listeafsnit"/>
        <w:ind w:left="1080"/>
        <w:rPr>
          <w:rFonts w:ascii="Palatino Linotype" w:hAnsi="Palatino Linotype"/>
        </w:rPr>
      </w:pPr>
      <w:r w:rsidRPr="00250A28">
        <w:rPr>
          <w:rFonts w:ascii="Palatino Linotype" w:hAnsi="Palatino Linotype"/>
        </w:rPr>
        <w:t xml:space="preserve"> </w:t>
      </w:r>
      <w:r w:rsidR="002B1B3D">
        <w:rPr>
          <w:rFonts w:ascii="Palatino Linotype" w:hAnsi="Palatino Linotype"/>
        </w:rPr>
        <w:br/>
      </w:r>
      <w:r w:rsidRPr="00250A28">
        <w:rPr>
          <w:rFonts w:ascii="Palatino Linotype" w:hAnsi="Palatino Linotype"/>
        </w:rPr>
        <w:t xml:space="preserve">Det må være muligt at indføre et system, hvor kommunerne underrettes, og får en kort frist til at </w:t>
      </w:r>
      <w:r w:rsidR="00D023C2">
        <w:rPr>
          <w:rFonts w:ascii="Palatino Linotype" w:hAnsi="Palatino Linotype"/>
        </w:rPr>
        <w:t xml:space="preserve">besigtige boligerne og </w:t>
      </w:r>
      <w:r w:rsidRPr="00250A28">
        <w:rPr>
          <w:rFonts w:ascii="Palatino Linotype" w:hAnsi="Palatino Linotype"/>
        </w:rPr>
        <w:t xml:space="preserve">komme med indsigelse. </w:t>
      </w:r>
      <w:r w:rsidR="006B1BAA" w:rsidRPr="00250A28">
        <w:rPr>
          <w:rFonts w:ascii="Palatino Linotype" w:hAnsi="Palatino Linotype"/>
        </w:rPr>
        <w:t xml:space="preserve"> </w:t>
      </w:r>
    </w:p>
    <w:p w14:paraId="30E4691F" w14:textId="77777777" w:rsidR="00390E43" w:rsidRPr="006B1BAA" w:rsidRDefault="00390E43" w:rsidP="00390E43">
      <w:pPr>
        <w:ind w:left="360"/>
        <w:rPr>
          <w:rFonts w:ascii="Palatino Linotype" w:hAnsi="Palatino Linotype"/>
        </w:rPr>
      </w:pPr>
    </w:p>
    <w:p w14:paraId="5DC858F0" w14:textId="76D28835" w:rsidR="00C93BA5" w:rsidRDefault="00250A28" w:rsidP="00250A28">
      <w:pPr>
        <w:pStyle w:val="Listeafsnit"/>
        <w:ind w:left="1080"/>
        <w:rPr>
          <w:rFonts w:ascii="Palatino Linotype" w:hAnsi="Palatino Linotype"/>
        </w:rPr>
      </w:pPr>
      <w:r w:rsidRPr="00250A28">
        <w:rPr>
          <w:rFonts w:ascii="Palatino Linotype" w:hAnsi="Palatino Linotype"/>
        </w:rPr>
        <w:t>Der bliver brugt mange millioner årligt i boligstøtte i boliger, der ikke burde bebos.</w:t>
      </w:r>
    </w:p>
    <w:p w14:paraId="05C05411" w14:textId="77777777" w:rsidR="00250A28" w:rsidRDefault="00250A28" w:rsidP="00250A28">
      <w:pPr>
        <w:pStyle w:val="Listeafsnit"/>
        <w:ind w:left="1080"/>
        <w:rPr>
          <w:rFonts w:ascii="Palatino Linotype" w:hAnsi="Palatino Linotype"/>
        </w:rPr>
      </w:pPr>
    </w:p>
    <w:p w14:paraId="05030FB1" w14:textId="386D9328" w:rsidR="00D023C2" w:rsidRDefault="00250A28" w:rsidP="00DF60BC">
      <w:pPr>
        <w:pStyle w:val="Listeafsnit"/>
        <w:numPr>
          <w:ilvl w:val="0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At det sikres, at </w:t>
      </w:r>
      <w:r w:rsidR="00D023C2">
        <w:rPr>
          <w:rFonts w:ascii="Palatino Linotype" w:hAnsi="Palatino Linotype"/>
        </w:rPr>
        <w:t>land</w:t>
      </w:r>
      <w:r>
        <w:rPr>
          <w:rFonts w:ascii="Palatino Linotype" w:hAnsi="Palatino Linotype"/>
        </w:rPr>
        <w:t>kommunerne fremover vil få refusionsmuligheder</w:t>
      </w:r>
      <w:r w:rsidR="002B1B3D">
        <w:rPr>
          <w:rFonts w:ascii="Palatino Linotype" w:hAnsi="Palatino Linotype"/>
        </w:rPr>
        <w:t xml:space="preserve"> efter byfornyelsesloven, i hvert fald til kondemneringsindsatsen</w:t>
      </w:r>
      <w:r w:rsidR="00D023C2">
        <w:rPr>
          <w:rFonts w:ascii="Palatino Linotype" w:hAnsi="Palatino Linotype"/>
        </w:rPr>
        <w:t xml:space="preserve"> i en længere periode og i hele kommunen</w:t>
      </w:r>
      <w:r>
        <w:rPr>
          <w:rFonts w:ascii="Palatino Linotype" w:hAnsi="Palatino Linotype"/>
        </w:rPr>
        <w:t xml:space="preserve">. </w:t>
      </w:r>
    </w:p>
    <w:p w14:paraId="2D09A396" w14:textId="77777777" w:rsidR="00D023C2" w:rsidRDefault="00D023C2" w:rsidP="00D023C2">
      <w:pPr>
        <w:pStyle w:val="Listeafsnit"/>
        <w:ind w:left="1080"/>
        <w:rPr>
          <w:rFonts w:ascii="Palatino Linotype" w:hAnsi="Palatino Linotype"/>
        </w:rPr>
      </w:pPr>
    </w:p>
    <w:p w14:paraId="56DB2ABC" w14:textId="4F68C67E" w:rsidR="00E6445F" w:rsidRDefault="00E6445F" w:rsidP="00D023C2">
      <w:pPr>
        <w:pStyle w:val="Listeafsnit"/>
        <w:ind w:left="108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Der har siden 2019 ikke været afsat midler til statsrefusion til kondemnering og genhusning i byer over 4.000 indbyggere (medmindre der er restbeløb på 2018-puljen). </w:t>
      </w:r>
      <w:r w:rsidR="00D023C2">
        <w:rPr>
          <w:rFonts w:ascii="Palatino Linotype" w:hAnsi="Palatino Linotype"/>
        </w:rPr>
        <w:br/>
      </w:r>
      <w:r w:rsidR="00D9175D">
        <w:rPr>
          <w:rFonts w:ascii="Palatino Linotype" w:hAnsi="Palatino Linotype"/>
        </w:rPr>
        <w:br/>
      </w:r>
      <w:r>
        <w:rPr>
          <w:rFonts w:ascii="Palatino Linotype" w:hAnsi="Palatino Linotype"/>
        </w:rPr>
        <w:t xml:space="preserve">Et eksempel er kommuner som Lolland og Langeland, der har store boligsociale problemer og </w:t>
      </w:r>
      <w:r w:rsidR="00D023C2">
        <w:rPr>
          <w:rFonts w:ascii="Palatino Linotype" w:hAnsi="Palatino Linotype"/>
        </w:rPr>
        <w:t xml:space="preserve">udbredt </w:t>
      </w:r>
      <w:r>
        <w:rPr>
          <w:rFonts w:ascii="Palatino Linotype" w:hAnsi="Palatino Linotype"/>
        </w:rPr>
        <w:t xml:space="preserve">boligspekulation i Maribo, Nakskov og Rudkøbing, men ikke </w:t>
      </w:r>
      <w:r w:rsidR="00D023C2">
        <w:rPr>
          <w:rFonts w:ascii="Palatino Linotype" w:hAnsi="Palatino Linotype"/>
        </w:rPr>
        <w:t xml:space="preserve">fremadrettet </w:t>
      </w:r>
      <w:r>
        <w:rPr>
          <w:rFonts w:ascii="Palatino Linotype" w:hAnsi="Palatino Linotype"/>
        </w:rPr>
        <w:t>statsrefusion til indsatsen.</w:t>
      </w:r>
      <w:r w:rsidR="00D9175D">
        <w:rPr>
          <w:rFonts w:ascii="Palatino Linotype" w:hAnsi="Palatino Linotype"/>
        </w:rPr>
        <w:t xml:space="preserve"> </w:t>
      </w:r>
      <w:r w:rsidR="00D9175D">
        <w:rPr>
          <w:rFonts w:ascii="Palatino Linotype" w:hAnsi="Palatino Linotype"/>
        </w:rPr>
        <w:br/>
      </w:r>
      <w:r w:rsidR="00D9175D">
        <w:rPr>
          <w:rFonts w:ascii="Palatino Linotype" w:hAnsi="Palatino Linotype"/>
        </w:rPr>
        <w:br/>
        <w:t>Den nemme og gratis løsning er at give de kommuner, der får Landsbypuljer, ret til at bruge landsbypuljen til kondemneringssager i hele kommunen.</w:t>
      </w:r>
    </w:p>
    <w:p w14:paraId="67DEC245" w14:textId="77777777" w:rsidR="00E6445F" w:rsidRDefault="00E6445F" w:rsidP="00E6445F">
      <w:pPr>
        <w:pStyle w:val="Listeafsnit"/>
        <w:ind w:left="1080"/>
        <w:rPr>
          <w:rFonts w:ascii="Palatino Linotype" w:hAnsi="Palatino Linotype"/>
        </w:rPr>
      </w:pPr>
    </w:p>
    <w:p w14:paraId="227868EF" w14:textId="63FC734A" w:rsidR="00250A28" w:rsidRDefault="00E6445F" w:rsidP="00DF60BC">
      <w:pPr>
        <w:pStyle w:val="Listeafsnit"/>
        <w:numPr>
          <w:ilvl w:val="0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At kommunerne tilskyndes til at bruge erfaringerne fra de 6 kommuner, der pt. har igangsat en intensiveret indsats mod boligspekulation.</w:t>
      </w:r>
      <w:r w:rsidR="002B1B3D">
        <w:rPr>
          <w:rFonts w:ascii="Palatino Linotype" w:hAnsi="Palatino Linotype"/>
        </w:rPr>
        <w:br/>
      </w:r>
    </w:p>
    <w:p w14:paraId="3E8BCA3D" w14:textId="65541865" w:rsidR="00F1547A" w:rsidRDefault="00D9175D" w:rsidP="00D9175D">
      <w:pPr>
        <w:pStyle w:val="Listeafsnit"/>
        <w:ind w:left="1080"/>
        <w:rPr>
          <w:rFonts w:ascii="Palatino Linotype" w:hAnsi="Palatino Linotype"/>
        </w:rPr>
      </w:pPr>
      <w:r>
        <w:rPr>
          <w:rFonts w:ascii="Palatino Linotype" w:hAnsi="Palatino Linotype"/>
        </w:rPr>
        <w:t>Det kunne ske ved</w:t>
      </w:r>
      <w:r w:rsidR="00250A28">
        <w:rPr>
          <w:rFonts w:ascii="Palatino Linotype" w:hAnsi="Palatino Linotype"/>
        </w:rPr>
        <w:t xml:space="preserve"> </w:t>
      </w:r>
      <w:r w:rsidR="00F1547A">
        <w:rPr>
          <w:rFonts w:ascii="Palatino Linotype" w:hAnsi="Palatino Linotype"/>
        </w:rPr>
        <w:t xml:space="preserve">en </w:t>
      </w:r>
      <w:r w:rsidR="00250A28">
        <w:rPr>
          <w:rFonts w:ascii="Palatino Linotype" w:hAnsi="Palatino Linotype"/>
        </w:rPr>
        <w:t xml:space="preserve">mindre ændring i bekendtgørelsen om støtteberettigede udgifter, så kommunerne får en ret til at vælge at disponere en mindre del af </w:t>
      </w:r>
      <w:r w:rsidR="00D70D6A">
        <w:rPr>
          <w:rFonts w:ascii="Palatino Linotype" w:hAnsi="Palatino Linotype"/>
        </w:rPr>
        <w:t xml:space="preserve">deres </w:t>
      </w:r>
      <w:r w:rsidR="00250A28">
        <w:rPr>
          <w:rFonts w:ascii="Palatino Linotype" w:hAnsi="Palatino Linotype"/>
        </w:rPr>
        <w:t>landsbypuljer</w:t>
      </w:r>
      <w:r w:rsidR="00C348B5">
        <w:rPr>
          <w:rFonts w:ascii="Palatino Linotype" w:hAnsi="Palatino Linotype"/>
        </w:rPr>
        <w:t>,</w:t>
      </w:r>
      <w:r w:rsidR="00250A28">
        <w:rPr>
          <w:rFonts w:ascii="Palatino Linotype" w:hAnsi="Palatino Linotype"/>
        </w:rPr>
        <w:t xml:space="preserve"> til </w:t>
      </w:r>
      <w:r w:rsidR="00F1547A">
        <w:rPr>
          <w:rFonts w:ascii="Palatino Linotype" w:hAnsi="Palatino Linotype"/>
        </w:rPr>
        <w:t xml:space="preserve">delvis dækning af </w:t>
      </w:r>
      <w:r w:rsidR="00250A28">
        <w:rPr>
          <w:rFonts w:ascii="Palatino Linotype" w:hAnsi="Palatino Linotype"/>
        </w:rPr>
        <w:t>løn- og andre udgifter i en opstartsperiode</w:t>
      </w:r>
      <w:r w:rsidR="00D70D6A">
        <w:rPr>
          <w:rFonts w:ascii="Palatino Linotype" w:hAnsi="Palatino Linotype"/>
        </w:rPr>
        <w:t>,</w:t>
      </w:r>
      <w:r w:rsidR="00250A28">
        <w:rPr>
          <w:rFonts w:ascii="Palatino Linotype" w:hAnsi="Palatino Linotype"/>
        </w:rPr>
        <w:t xml:space="preserve"> til en målrettet kondemneringsindsats. </w:t>
      </w:r>
    </w:p>
    <w:p w14:paraId="32C1DF4D" w14:textId="3F23F0B8" w:rsidR="00F1547A" w:rsidRDefault="00F1547A" w:rsidP="00D70D6A">
      <w:pPr>
        <w:pStyle w:val="Listeafsnit"/>
        <w:ind w:left="1080"/>
        <w:rPr>
          <w:rFonts w:ascii="Palatino Linotype" w:hAnsi="Palatino Linotype"/>
        </w:rPr>
      </w:pPr>
      <w:r>
        <w:rPr>
          <w:rFonts w:ascii="Palatino Linotype" w:hAnsi="Palatino Linotype"/>
        </w:rPr>
        <w:br/>
      </w:r>
      <w:r w:rsidR="00250A28" w:rsidRPr="00F1547A">
        <w:rPr>
          <w:rFonts w:ascii="Palatino Linotype" w:hAnsi="Palatino Linotype"/>
        </w:rPr>
        <w:t>Der henvises til, at der allerede er hjemmel til at give støtte til løn m.v.</w:t>
      </w:r>
      <w:r>
        <w:rPr>
          <w:rFonts w:ascii="Palatino Linotype" w:hAnsi="Palatino Linotype"/>
        </w:rPr>
        <w:t xml:space="preserve"> til kommunale projektledere</w:t>
      </w:r>
      <w:r w:rsidR="00250A28" w:rsidRPr="00F1547A">
        <w:rPr>
          <w:rFonts w:ascii="Palatino Linotype" w:hAnsi="Palatino Linotype"/>
        </w:rPr>
        <w:t xml:space="preserve"> i forbindelse med områdefornyelse</w:t>
      </w:r>
      <w:r>
        <w:rPr>
          <w:rFonts w:ascii="Palatino Linotype" w:hAnsi="Palatino Linotype"/>
        </w:rPr>
        <w:t xml:space="preserve"> efter lovens kap. 2</w:t>
      </w:r>
      <w:r w:rsidR="00C348B5">
        <w:rPr>
          <w:rFonts w:ascii="Palatino Linotype" w:hAnsi="Palatino Linotype"/>
        </w:rPr>
        <w:t xml:space="preserve">, og at kondemnerings- og </w:t>
      </w:r>
      <w:r w:rsidR="00C348B5">
        <w:rPr>
          <w:rFonts w:ascii="Palatino Linotype" w:hAnsi="Palatino Linotype"/>
        </w:rPr>
        <w:lastRenderedPageBreak/>
        <w:t xml:space="preserve">genhusningsopgaver er et mindst lige så specialiseret arbejdsområde.  </w:t>
      </w:r>
      <w:r>
        <w:rPr>
          <w:rFonts w:ascii="Palatino Linotype" w:hAnsi="Palatino Linotype"/>
        </w:rPr>
        <w:br/>
      </w:r>
    </w:p>
    <w:p w14:paraId="23D89071" w14:textId="26342101" w:rsidR="00D70D6A" w:rsidRDefault="00D70D6A" w:rsidP="00D70D6A">
      <w:pPr>
        <w:pStyle w:val="Listeafsnit"/>
        <w:ind w:left="1080"/>
        <w:rPr>
          <w:rFonts w:ascii="Palatino Linotype" w:hAnsi="Palatino Linotype"/>
        </w:rPr>
      </w:pPr>
      <w:r>
        <w:rPr>
          <w:rFonts w:ascii="Palatino Linotype" w:hAnsi="Palatino Linotype"/>
        </w:rPr>
        <w:t>Det er småpenge, de er givet godt ud, og det vil have en meget stor effekt</w:t>
      </w:r>
      <w:r w:rsidR="00F1547A">
        <w:rPr>
          <w:rFonts w:ascii="Palatino Linotype" w:hAnsi="Palatino Linotype"/>
        </w:rPr>
        <w:t>. Det giver også mening i forhold til at kondemnerings- og genhusningssager normalt trækker meget mindre på landsbypuljerne end nedrivning og bygningsfornyelse, men kræver betydelige kommunale ressourcer.</w:t>
      </w:r>
    </w:p>
    <w:p w14:paraId="38E2EA79" w14:textId="7449E5E4" w:rsidR="00C348B5" w:rsidRDefault="00C348B5" w:rsidP="00D70D6A">
      <w:pPr>
        <w:pStyle w:val="Listeafsnit"/>
        <w:ind w:left="1080"/>
        <w:rPr>
          <w:rFonts w:ascii="Palatino Linotype" w:hAnsi="Palatino Linotype"/>
        </w:rPr>
      </w:pPr>
    </w:p>
    <w:p w14:paraId="52055609" w14:textId="4765CB31" w:rsidR="00C348B5" w:rsidRDefault="00C348B5" w:rsidP="00D70D6A">
      <w:pPr>
        <w:pStyle w:val="Listeafsnit"/>
        <w:ind w:left="1080"/>
        <w:rPr>
          <w:rFonts w:ascii="Palatino Linotype" w:hAnsi="Palatino Linotype"/>
        </w:rPr>
      </w:pPr>
      <w:r>
        <w:rPr>
          <w:rFonts w:ascii="Palatino Linotype" w:hAnsi="Palatino Linotype"/>
        </w:rPr>
        <w:t>Der er vores erfaring, at mange kommuner vil vælge at gøre indsatsen permanent.</w:t>
      </w:r>
    </w:p>
    <w:p w14:paraId="2730EB9F" w14:textId="1ACBFDEB" w:rsidR="00C348B5" w:rsidRDefault="00C348B5" w:rsidP="00D70D6A">
      <w:pPr>
        <w:pStyle w:val="Listeafsnit"/>
        <w:ind w:left="1080"/>
        <w:rPr>
          <w:rFonts w:ascii="Palatino Linotype" w:hAnsi="Palatino Linotype"/>
        </w:rPr>
      </w:pPr>
    </w:p>
    <w:p w14:paraId="1ED8DAF8" w14:textId="02A4B8AB" w:rsidR="00C348B5" w:rsidRDefault="00C348B5" w:rsidP="00DF60BC">
      <w:pPr>
        <w:pStyle w:val="Listeafsnit"/>
        <w:numPr>
          <w:ilvl w:val="0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Der </w:t>
      </w:r>
      <w:r w:rsidR="00FA7209">
        <w:rPr>
          <w:rFonts w:ascii="Palatino Linotype" w:hAnsi="Palatino Linotype"/>
        </w:rPr>
        <w:t>bør</w:t>
      </w:r>
      <w:r>
        <w:rPr>
          <w:rFonts w:ascii="Palatino Linotype" w:hAnsi="Palatino Linotype"/>
        </w:rPr>
        <w:t xml:space="preserve"> overvejes ændringer af lejelovgivningen med henblik på at sikre, at lejerne nemmere </w:t>
      </w:r>
      <w:r w:rsidR="00FA7209">
        <w:rPr>
          <w:rFonts w:ascii="Palatino Linotype" w:hAnsi="Palatino Linotype"/>
        </w:rPr>
        <w:t>kan</w:t>
      </w:r>
      <w:r>
        <w:rPr>
          <w:rFonts w:ascii="Palatino Linotype" w:hAnsi="Palatino Linotype"/>
        </w:rPr>
        <w:t xml:space="preserve"> </w:t>
      </w:r>
      <w:r w:rsidR="00FA7209">
        <w:rPr>
          <w:rFonts w:ascii="Palatino Linotype" w:hAnsi="Palatino Linotype"/>
        </w:rPr>
        <w:t xml:space="preserve">få et eventuelt indskud/depositum/forudbetalt leje tilbagebetalt. </w:t>
      </w:r>
      <w:r w:rsidR="00FA7209">
        <w:rPr>
          <w:rFonts w:ascii="Palatino Linotype" w:hAnsi="Palatino Linotype"/>
        </w:rPr>
        <w:br/>
        <w:t xml:space="preserve">Nogle udlejere spekulerer i, at lejerne aldrig har ressourcer til at føre sag om tilbagebetaling af indskud, og betragter dette som en </w:t>
      </w:r>
      <w:r w:rsidR="00D9175D">
        <w:rPr>
          <w:rFonts w:ascii="Palatino Linotype" w:hAnsi="Palatino Linotype"/>
        </w:rPr>
        <w:t xml:space="preserve">ekstra </w:t>
      </w:r>
      <w:r w:rsidR="00FA7209">
        <w:rPr>
          <w:rFonts w:ascii="Palatino Linotype" w:hAnsi="Palatino Linotype"/>
        </w:rPr>
        <w:t xml:space="preserve">indtægt. </w:t>
      </w:r>
      <w:r w:rsidR="00FA7209">
        <w:rPr>
          <w:rFonts w:ascii="Palatino Linotype" w:hAnsi="Palatino Linotype"/>
        </w:rPr>
        <w:br/>
        <w:t>Det kan dreje sig om indskud, som kommunerne har ydet støtte til efter aktivloven, og som lejerne principielt bliver ved med at hæfte for.</w:t>
      </w:r>
    </w:p>
    <w:p w14:paraId="782F4C24" w14:textId="31B6301C" w:rsidR="00250A28" w:rsidRDefault="00250A28" w:rsidP="00D70D6A">
      <w:pPr>
        <w:pStyle w:val="Listeafsnit"/>
        <w:ind w:left="1080"/>
        <w:rPr>
          <w:rFonts w:ascii="Palatino Linotype" w:hAnsi="Palatino Linotype"/>
        </w:rPr>
      </w:pPr>
    </w:p>
    <w:p w14:paraId="40F5F516" w14:textId="408BC0EE" w:rsidR="00F1547A" w:rsidRDefault="00D70D6A" w:rsidP="00DF60BC">
      <w:pPr>
        <w:pStyle w:val="Listeafsnit"/>
        <w:numPr>
          <w:ilvl w:val="0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Der er nogle forskellige ”småting” i byfornyelseslovens kap. 9., samt de tilhørende vejledninger, hvor mindre ændringer og forenklinger burde overvejes i dialog med de kommuner, der har erfaringerne i praksis.</w:t>
      </w:r>
      <w:r w:rsidR="00C348B5">
        <w:rPr>
          <w:rFonts w:ascii="Palatino Linotype" w:hAnsi="Palatino Linotype"/>
        </w:rPr>
        <w:t xml:space="preserve"> Det vil i et vist omfang kunne effektivisere indsatsen.</w:t>
      </w:r>
    </w:p>
    <w:p w14:paraId="78600C85" w14:textId="77777777" w:rsidR="00C348B5" w:rsidRDefault="00D70D6A" w:rsidP="00F1547A">
      <w:pPr>
        <w:rPr>
          <w:rFonts w:ascii="Palatino Linotype" w:hAnsi="Palatino Linotype"/>
          <w:b/>
          <w:bCs/>
        </w:rPr>
      </w:pPr>
      <w:r w:rsidRPr="00F1547A">
        <w:rPr>
          <w:rFonts w:ascii="Palatino Linotype" w:hAnsi="Palatino Linotype"/>
        </w:rPr>
        <w:br/>
      </w:r>
      <w:bookmarkEnd w:id="1"/>
    </w:p>
    <w:p w14:paraId="0C3766C6" w14:textId="66C3960B" w:rsidR="002B1B3D" w:rsidRPr="00C348B5" w:rsidRDefault="00C348B5" w:rsidP="00C348B5">
      <w:pPr>
        <w:ind w:firstLine="720"/>
        <w:rPr>
          <w:rFonts w:ascii="Palatino Linotype" w:hAnsi="Palatino Linotype"/>
          <w:b/>
          <w:bCs/>
        </w:rPr>
      </w:pPr>
      <w:r w:rsidRPr="00C348B5">
        <w:rPr>
          <w:rFonts w:ascii="Palatino Linotype" w:hAnsi="Palatino Linotype"/>
          <w:b/>
          <w:bCs/>
        </w:rPr>
        <w:t>15. januar 2020</w:t>
      </w:r>
    </w:p>
    <w:p w14:paraId="393EBDD5" w14:textId="61070E7C" w:rsidR="00C348B5" w:rsidRPr="00C348B5" w:rsidRDefault="00C348B5" w:rsidP="00C348B5">
      <w:pPr>
        <w:ind w:firstLine="720"/>
        <w:rPr>
          <w:rFonts w:ascii="Palatino Linotype" w:hAnsi="Palatino Linotype"/>
          <w:b/>
          <w:bCs/>
        </w:rPr>
      </w:pPr>
      <w:r w:rsidRPr="00C348B5">
        <w:rPr>
          <w:rFonts w:ascii="Palatino Linotype" w:hAnsi="Palatino Linotype"/>
          <w:b/>
          <w:bCs/>
        </w:rPr>
        <w:t xml:space="preserve">Søren </w:t>
      </w:r>
      <w:r>
        <w:rPr>
          <w:rFonts w:ascii="Palatino Linotype" w:hAnsi="Palatino Linotype"/>
          <w:b/>
          <w:bCs/>
        </w:rPr>
        <w:t>G</w:t>
      </w:r>
      <w:r w:rsidRPr="00C348B5">
        <w:rPr>
          <w:rFonts w:ascii="Palatino Linotype" w:hAnsi="Palatino Linotype"/>
          <w:b/>
          <w:bCs/>
        </w:rPr>
        <w:t>arde Rådgivning A/S</w:t>
      </w:r>
    </w:p>
    <w:sectPr w:rsidR="00C348B5" w:rsidRPr="00C348B5" w:rsidSect="0011741A">
      <w:headerReference w:type="default" r:id="rId7"/>
      <w:footerReference w:type="default" r:id="rId8"/>
      <w:pgSz w:w="11906" w:h="16838" w:code="9"/>
      <w:pgMar w:top="1701" w:right="851" w:bottom="851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B49E5" w14:textId="77777777" w:rsidR="00DF60BC" w:rsidRDefault="00DF60BC">
      <w:r>
        <w:separator/>
      </w:r>
    </w:p>
  </w:endnote>
  <w:endnote w:type="continuationSeparator" w:id="0">
    <w:p w14:paraId="54AF0215" w14:textId="77777777" w:rsidR="00DF60BC" w:rsidRDefault="00DF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C8AA7" w14:textId="77777777" w:rsidR="00BE5DB1" w:rsidRDefault="00BE5DB1" w:rsidP="001976AC">
    <w:pPr>
      <w:pStyle w:val="Sidefod"/>
      <w:tabs>
        <w:tab w:val="clear" w:pos="9638"/>
      </w:tabs>
      <w:jc w:val="both"/>
      <w:rPr>
        <w:rFonts w:ascii="Palatino Linotype" w:hAnsi="Palatino Linotype" w:cs="Palatino Linotype"/>
        <w:i/>
        <w:iCs/>
      </w:rPr>
    </w:pPr>
  </w:p>
  <w:p w14:paraId="6BD00E0B" w14:textId="77777777" w:rsidR="00BE5DB1" w:rsidRPr="00FE3A30" w:rsidRDefault="00BE5DB1" w:rsidP="004A46D4">
    <w:pPr>
      <w:pStyle w:val="Sidefod"/>
      <w:pBdr>
        <w:top w:val="single" w:sz="4" w:space="1" w:color="auto"/>
      </w:pBdr>
      <w:tabs>
        <w:tab w:val="clear" w:pos="9638"/>
      </w:tabs>
      <w:jc w:val="both"/>
      <w:rPr>
        <w:rFonts w:ascii="Palatino Linotype" w:hAnsi="Palatino Linotype" w:cs="Palatino Linotype"/>
        <w:i/>
        <w:iCs/>
      </w:rPr>
    </w:pPr>
    <w:r w:rsidRPr="00FE3A30">
      <w:rPr>
        <w:rFonts w:ascii="Palatino Linotype" w:hAnsi="Palatino Linotype" w:cs="Palatino Linotype"/>
        <w:i/>
        <w:iCs/>
      </w:rPr>
      <w:t>Søren Garde Rådgivning</w:t>
    </w:r>
    <w:r w:rsidR="007E6D45">
      <w:rPr>
        <w:rFonts w:ascii="Palatino Linotype" w:hAnsi="Palatino Linotype" w:cs="Palatino Linotype"/>
        <w:i/>
        <w:iCs/>
      </w:rPr>
      <w:t xml:space="preserve"> A/S</w:t>
    </w:r>
    <w:r w:rsidRPr="00FE3A30">
      <w:rPr>
        <w:rFonts w:ascii="Palatino Linotype" w:hAnsi="Palatino Linotype" w:cs="Palatino Linotype"/>
        <w:i/>
        <w:iCs/>
      </w:rPr>
      <w:tab/>
    </w:r>
    <w:r w:rsidR="004A46D4">
      <w:rPr>
        <w:rFonts w:ascii="Palatino Linotype" w:hAnsi="Palatino Linotype" w:cs="Palatino Linotype"/>
        <w:i/>
        <w:iCs/>
      </w:rPr>
      <w:t>Voldbyvej 8B</w:t>
    </w:r>
    <w:r>
      <w:rPr>
        <w:rFonts w:ascii="Palatino Linotype" w:hAnsi="Palatino Linotype" w:cs="Palatino Linotype"/>
        <w:i/>
        <w:iCs/>
      </w:rPr>
      <w:tab/>
    </w:r>
    <w:r>
      <w:rPr>
        <w:rFonts w:ascii="Palatino Linotype" w:hAnsi="Palatino Linotype" w:cs="Palatino Linotype"/>
        <w:i/>
        <w:iCs/>
      </w:rPr>
      <w:tab/>
    </w:r>
    <w:r w:rsidR="007E6D45">
      <w:rPr>
        <w:rFonts w:ascii="Palatino Linotype" w:hAnsi="Palatino Linotype" w:cs="Palatino Linotype"/>
        <w:i/>
        <w:iCs/>
      </w:rPr>
      <w:t xml:space="preserve">         </w:t>
    </w:r>
    <w:r>
      <w:rPr>
        <w:rFonts w:ascii="Palatino Linotype" w:hAnsi="Palatino Linotype" w:cs="Palatino Linotype"/>
        <w:i/>
        <w:iCs/>
      </w:rPr>
      <w:t xml:space="preserve"> 8450 Hamme</w:t>
    </w:r>
    <w:r w:rsidRPr="00FE3A30">
      <w:rPr>
        <w:rFonts w:ascii="Palatino Linotype" w:hAnsi="Palatino Linotype" w:cs="Palatino Linotype"/>
        <w:i/>
        <w:iCs/>
      </w:rPr>
      <w:t>l</w:t>
    </w:r>
  </w:p>
  <w:p w14:paraId="27B7B30F" w14:textId="77777777" w:rsidR="00BE5DB1" w:rsidRPr="00933A21" w:rsidRDefault="00BE5DB1" w:rsidP="001976AC">
    <w:pPr>
      <w:pStyle w:val="Sidefod"/>
      <w:jc w:val="both"/>
      <w:rPr>
        <w:rFonts w:ascii="Palatino Linotype" w:hAnsi="Palatino Linotype" w:cs="Palatino Linotype"/>
        <w:i/>
        <w:iCs/>
        <w:lang w:val="en-US"/>
      </w:rPr>
    </w:pPr>
    <w:r w:rsidRPr="00933A21">
      <w:rPr>
        <w:rFonts w:ascii="Palatino Linotype" w:hAnsi="Palatino Linotype" w:cs="Palatino Linotype"/>
        <w:i/>
        <w:iCs/>
        <w:lang w:val="en-US"/>
      </w:rPr>
      <w:t>Tlf.  22 23 47 55</w:t>
    </w:r>
    <w:r w:rsidRPr="00933A21">
      <w:rPr>
        <w:rFonts w:ascii="Palatino Linotype" w:hAnsi="Palatino Linotype" w:cs="Palatino Linotype"/>
        <w:i/>
        <w:iCs/>
        <w:lang w:val="en-US"/>
      </w:rPr>
      <w:tab/>
      <w:t>E-mail: sga@garderaad.dk</w:t>
    </w:r>
    <w:r w:rsidRPr="00933A21">
      <w:rPr>
        <w:rFonts w:ascii="Palatino Linotype" w:hAnsi="Palatino Linotype" w:cs="Palatino Linotype"/>
        <w:i/>
        <w:iCs/>
        <w:lang w:val="en-US"/>
      </w:rPr>
      <w:tab/>
      <w:t xml:space="preserve"> www.garderaad.dk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D0695" w14:textId="77777777" w:rsidR="00DF60BC" w:rsidRDefault="00DF60BC">
      <w:r>
        <w:separator/>
      </w:r>
    </w:p>
  </w:footnote>
  <w:footnote w:type="continuationSeparator" w:id="0">
    <w:p w14:paraId="2A449F00" w14:textId="77777777" w:rsidR="00DF60BC" w:rsidRDefault="00DF6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2FDD" w14:textId="77777777" w:rsidR="00BE5DB1" w:rsidRPr="00D53BCC" w:rsidRDefault="00BE5DB1">
    <w:pPr>
      <w:jc w:val="right"/>
      <w:rPr>
        <w:rFonts w:ascii="Palatino Linotype" w:hAnsi="Palatino Linotype" w:cs="Palatino Linotype"/>
        <w:b/>
        <w:bCs/>
        <w:sz w:val="24"/>
        <w:szCs w:val="24"/>
      </w:rPr>
    </w:pPr>
    <w:r w:rsidRPr="00D53BCC">
      <w:rPr>
        <w:rFonts w:ascii="Palatino Linotype" w:hAnsi="Palatino Linotype" w:cs="Palatino Linotype"/>
        <w:b/>
        <w:bCs/>
        <w:color w:val="FF0000"/>
        <w:sz w:val="72"/>
        <w:szCs w:val="72"/>
      </w:rPr>
      <w:t>§</w:t>
    </w:r>
    <w:r w:rsidRPr="00D53BCC">
      <w:rPr>
        <w:rFonts w:ascii="Palatino Linotype" w:hAnsi="Palatino Linotype" w:cs="Palatino Linotype"/>
        <w:b/>
        <w:bCs/>
        <w:color w:val="00B050"/>
        <w:sz w:val="72"/>
        <w:szCs w:val="72"/>
      </w:rPr>
      <w:t>§</w:t>
    </w:r>
    <w:r w:rsidRPr="00D53BCC">
      <w:rPr>
        <w:rFonts w:ascii="Palatino Linotype" w:hAnsi="Palatino Linotype" w:cs="Palatino Linotype"/>
        <w:b/>
        <w:bCs/>
        <w:color w:val="0070C0"/>
        <w:sz w:val="72"/>
        <w:szCs w:val="72"/>
      </w:rPr>
      <w:t>§</w:t>
    </w:r>
  </w:p>
  <w:p w14:paraId="5CEA26C5" w14:textId="77777777" w:rsidR="00BE5DB1" w:rsidRDefault="00BE5DB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4F97"/>
    <w:multiLevelType w:val="hybridMultilevel"/>
    <w:tmpl w:val="D14AB0C2"/>
    <w:lvl w:ilvl="0" w:tplc="8870D100">
      <w:start w:val="1"/>
      <w:numFmt w:val="upperLetter"/>
      <w:pStyle w:val="Overskrift1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D64FA"/>
    <w:multiLevelType w:val="hybridMultilevel"/>
    <w:tmpl w:val="B1744914"/>
    <w:lvl w:ilvl="0" w:tplc="C5A6F4E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400C9"/>
    <w:multiLevelType w:val="hybridMultilevel"/>
    <w:tmpl w:val="9084C1B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A740DF"/>
    <w:multiLevelType w:val="hybridMultilevel"/>
    <w:tmpl w:val="E8EA1B38"/>
    <w:lvl w:ilvl="0" w:tplc="ADAAFCDE">
      <w:start w:val="1"/>
      <w:numFmt w:val="upperLetter"/>
      <w:pStyle w:val="Overskriftmpkt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087B4D"/>
    <w:multiLevelType w:val="hybridMultilevel"/>
    <w:tmpl w:val="B7B2BE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F7792"/>
    <w:multiLevelType w:val="hybridMultilevel"/>
    <w:tmpl w:val="0BB68F08"/>
    <w:lvl w:ilvl="0" w:tplc="B168745E">
      <w:start w:val="1"/>
      <w:numFmt w:val="decimal"/>
      <w:lvlText w:val="%1."/>
      <w:lvlJc w:val="left"/>
      <w:pPr>
        <w:ind w:left="1080" w:hanging="360"/>
      </w:pPr>
      <w:rPr>
        <w:b/>
        <w:bCs/>
        <w:i w:val="0"/>
        <w:iCs w:val="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E76FCE"/>
    <w:multiLevelType w:val="hybridMultilevel"/>
    <w:tmpl w:val="14CAD75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C341A3"/>
    <w:multiLevelType w:val="hybridMultilevel"/>
    <w:tmpl w:val="00AAB50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1304"/>
  <w:autoHyphenation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15"/>
    <w:rsid w:val="0002391C"/>
    <w:rsid w:val="00031A0B"/>
    <w:rsid w:val="000436CC"/>
    <w:rsid w:val="000502AA"/>
    <w:rsid w:val="000544A4"/>
    <w:rsid w:val="0007395D"/>
    <w:rsid w:val="000763F1"/>
    <w:rsid w:val="000C5D58"/>
    <w:rsid w:val="000E6991"/>
    <w:rsid w:val="001027BE"/>
    <w:rsid w:val="00105A55"/>
    <w:rsid w:val="00113C3B"/>
    <w:rsid w:val="0011741A"/>
    <w:rsid w:val="001408A7"/>
    <w:rsid w:val="00144CDE"/>
    <w:rsid w:val="001667AC"/>
    <w:rsid w:val="00174F1F"/>
    <w:rsid w:val="001765A2"/>
    <w:rsid w:val="0019175C"/>
    <w:rsid w:val="0019357D"/>
    <w:rsid w:val="001976AC"/>
    <w:rsid w:val="001A240A"/>
    <w:rsid w:val="001A4998"/>
    <w:rsid w:val="001A5EB8"/>
    <w:rsid w:val="001C2448"/>
    <w:rsid w:val="001C7039"/>
    <w:rsid w:val="001D09A3"/>
    <w:rsid w:val="001E25E9"/>
    <w:rsid w:val="001F49CB"/>
    <w:rsid w:val="001F7E19"/>
    <w:rsid w:val="00202B55"/>
    <w:rsid w:val="00203F36"/>
    <w:rsid w:val="00214E84"/>
    <w:rsid w:val="00250A28"/>
    <w:rsid w:val="00252F7C"/>
    <w:rsid w:val="00257DE3"/>
    <w:rsid w:val="00272BA0"/>
    <w:rsid w:val="002B1B3D"/>
    <w:rsid w:val="002C0197"/>
    <w:rsid w:val="002D09B2"/>
    <w:rsid w:val="002D3A0C"/>
    <w:rsid w:val="002D66A2"/>
    <w:rsid w:val="002F644C"/>
    <w:rsid w:val="0030458C"/>
    <w:rsid w:val="0030470F"/>
    <w:rsid w:val="00323E31"/>
    <w:rsid w:val="00325BF5"/>
    <w:rsid w:val="00326B55"/>
    <w:rsid w:val="00332361"/>
    <w:rsid w:val="00333B9D"/>
    <w:rsid w:val="003526BF"/>
    <w:rsid w:val="00356C90"/>
    <w:rsid w:val="003757CC"/>
    <w:rsid w:val="00390E43"/>
    <w:rsid w:val="003A2957"/>
    <w:rsid w:val="003A55F0"/>
    <w:rsid w:val="003B1385"/>
    <w:rsid w:val="003C0FEC"/>
    <w:rsid w:val="003C5DC6"/>
    <w:rsid w:val="003C74F4"/>
    <w:rsid w:val="003D2FE2"/>
    <w:rsid w:val="003E3B4F"/>
    <w:rsid w:val="003F6D68"/>
    <w:rsid w:val="0040752E"/>
    <w:rsid w:val="00470C06"/>
    <w:rsid w:val="004A1835"/>
    <w:rsid w:val="004A46D4"/>
    <w:rsid w:val="004A7A5E"/>
    <w:rsid w:val="004B4A70"/>
    <w:rsid w:val="004B77D8"/>
    <w:rsid w:val="004C24FE"/>
    <w:rsid w:val="004C67AD"/>
    <w:rsid w:val="004D4AF5"/>
    <w:rsid w:val="00533124"/>
    <w:rsid w:val="00535E0C"/>
    <w:rsid w:val="005369C2"/>
    <w:rsid w:val="00544849"/>
    <w:rsid w:val="00561C5F"/>
    <w:rsid w:val="00567068"/>
    <w:rsid w:val="00571D81"/>
    <w:rsid w:val="0058089A"/>
    <w:rsid w:val="00592F1B"/>
    <w:rsid w:val="0059719A"/>
    <w:rsid w:val="005A5703"/>
    <w:rsid w:val="005C6A06"/>
    <w:rsid w:val="005D3103"/>
    <w:rsid w:val="00612064"/>
    <w:rsid w:val="006171B2"/>
    <w:rsid w:val="0062557F"/>
    <w:rsid w:val="00645CBC"/>
    <w:rsid w:val="00653453"/>
    <w:rsid w:val="00663214"/>
    <w:rsid w:val="00665DEE"/>
    <w:rsid w:val="006701CA"/>
    <w:rsid w:val="00676949"/>
    <w:rsid w:val="006A3AC1"/>
    <w:rsid w:val="006B1BAA"/>
    <w:rsid w:val="006B2653"/>
    <w:rsid w:val="006B3B0E"/>
    <w:rsid w:val="006C2151"/>
    <w:rsid w:val="006C5733"/>
    <w:rsid w:val="006D6DDF"/>
    <w:rsid w:val="006E77EE"/>
    <w:rsid w:val="006F3117"/>
    <w:rsid w:val="00700FBE"/>
    <w:rsid w:val="00730FE3"/>
    <w:rsid w:val="007311C6"/>
    <w:rsid w:val="0073417C"/>
    <w:rsid w:val="00742F56"/>
    <w:rsid w:val="0074436A"/>
    <w:rsid w:val="007450C1"/>
    <w:rsid w:val="00761DB0"/>
    <w:rsid w:val="0078125F"/>
    <w:rsid w:val="0079503E"/>
    <w:rsid w:val="00797240"/>
    <w:rsid w:val="007A446A"/>
    <w:rsid w:val="007D0B11"/>
    <w:rsid w:val="007D27EF"/>
    <w:rsid w:val="007E6D45"/>
    <w:rsid w:val="00801FC8"/>
    <w:rsid w:val="00807B80"/>
    <w:rsid w:val="008232AB"/>
    <w:rsid w:val="00823C8C"/>
    <w:rsid w:val="008314E0"/>
    <w:rsid w:val="008337A0"/>
    <w:rsid w:val="00861ABD"/>
    <w:rsid w:val="00864CA5"/>
    <w:rsid w:val="0086691C"/>
    <w:rsid w:val="00876BB1"/>
    <w:rsid w:val="008C1F74"/>
    <w:rsid w:val="008D1856"/>
    <w:rsid w:val="008E6DB8"/>
    <w:rsid w:val="008E7985"/>
    <w:rsid w:val="008E7B49"/>
    <w:rsid w:val="00902471"/>
    <w:rsid w:val="009066FE"/>
    <w:rsid w:val="009277FB"/>
    <w:rsid w:val="00933A21"/>
    <w:rsid w:val="00942910"/>
    <w:rsid w:val="00944778"/>
    <w:rsid w:val="00944CF2"/>
    <w:rsid w:val="0096088E"/>
    <w:rsid w:val="00972E7A"/>
    <w:rsid w:val="009A3AAD"/>
    <w:rsid w:val="009A5D16"/>
    <w:rsid w:val="009B5123"/>
    <w:rsid w:val="009B6207"/>
    <w:rsid w:val="009B74AE"/>
    <w:rsid w:val="009C0F66"/>
    <w:rsid w:val="009C5375"/>
    <w:rsid w:val="009C708E"/>
    <w:rsid w:val="009E0E11"/>
    <w:rsid w:val="009E60D3"/>
    <w:rsid w:val="00A01B52"/>
    <w:rsid w:val="00A13E9B"/>
    <w:rsid w:val="00A2273B"/>
    <w:rsid w:val="00A26FD9"/>
    <w:rsid w:val="00A27381"/>
    <w:rsid w:val="00A27834"/>
    <w:rsid w:val="00A32A79"/>
    <w:rsid w:val="00A3568B"/>
    <w:rsid w:val="00A41604"/>
    <w:rsid w:val="00A53DA7"/>
    <w:rsid w:val="00A56BC1"/>
    <w:rsid w:val="00A71C39"/>
    <w:rsid w:val="00AB4C3D"/>
    <w:rsid w:val="00AB7B91"/>
    <w:rsid w:val="00AC546A"/>
    <w:rsid w:val="00AC776E"/>
    <w:rsid w:val="00AD5547"/>
    <w:rsid w:val="00AD64E3"/>
    <w:rsid w:val="00B01CF9"/>
    <w:rsid w:val="00B0421A"/>
    <w:rsid w:val="00B13330"/>
    <w:rsid w:val="00B13615"/>
    <w:rsid w:val="00B54E9F"/>
    <w:rsid w:val="00B57CCF"/>
    <w:rsid w:val="00B60895"/>
    <w:rsid w:val="00BA0755"/>
    <w:rsid w:val="00BB1A6F"/>
    <w:rsid w:val="00BB6626"/>
    <w:rsid w:val="00BC01FF"/>
    <w:rsid w:val="00BC621A"/>
    <w:rsid w:val="00BD1840"/>
    <w:rsid w:val="00BD7572"/>
    <w:rsid w:val="00BE1A80"/>
    <w:rsid w:val="00BE4B4F"/>
    <w:rsid w:val="00BE5DB1"/>
    <w:rsid w:val="00BF2480"/>
    <w:rsid w:val="00C007D7"/>
    <w:rsid w:val="00C21EAD"/>
    <w:rsid w:val="00C348B5"/>
    <w:rsid w:val="00C36622"/>
    <w:rsid w:val="00C36D08"/>
    <w:rsid w:val="00C674BB"/>
    <w:rsid w:val="00C71EC5"/>
    <w:rsid w:val="00C777B9"/>
    <w:rsid w:val="00C874B7"/>
    <w:rsid w:val="00C921AA"/>
    <w:rsid w:val="00C93BA5"/>
    <w:rsid w:val="00CA72E9"/>
    <w:rsid w:val="00CB2D13"/>
    <w:rsid w:val="00CB5AEE"/>
    <w:rsid w:val="00CC19FC"/>
    <w:rsid w:val="00CE039A"/>
    <w:rsid w:val="00CE2EBE"/>
    <w:rsid w:val="00D023C2"/>
    <w:rsid w:val="00D05398"/>
    <w:rsid w:val="00D2541B"/>
    <w:rsid w:val="00D35956"/>
    <w:rsid w:val="00D529E5"/>
    <w:rsid w:val="00D53BCC"/>
    <w:rsid w:val="00D70D6A"/>
    <w:rsid w:val="00D72547"/>
    <w:rsid w:val="00D9175D"/>
    <w:rsid w:val="00D95F42"/>
    <w:rsid w:val="00DA1F69"/>
    <w:rsid w:val="00DF2C62"/>
    <w:rsid w:val="00DF60BC"/>
    <w:rsid w:val="00DF6521"/>
    <w:rsid w:val="00E00E65"/>
    <w:rsid w:val="00E056DE"/>
    <w:rsid w:val="00E30DD8"/>
    <w:rsid w:val="00E41DDA"/>
    <w:rsid w:val="00E473FC"/>
    <w:rsid w:val="00E4796A"/>
    <w:rsid w:val="00E53FF8"/>
    <w:rsid w:val="00E62A63"/>
    <w:rsid w:val="00E63F21"/>
    <w:rsid w:val="00E6445F"/>
    <w:rsid w:val="00E675E7"/>
    <w:rsid w:val="00E776EB"/>
    <w:rsid w:val="00E86388"/>
    <w:rsid w:val="00E8771D"/>
    <w:rsid w:val="00E97931"/>
    <w:rsid w:val="00EB18B6"/>
    <w:rsid w:val="00EB5E32"/>
    <w:rsid w:val="00EB7365"/>
    <w:rsid w:val="00EC6474"/>
    <w:rsid w:val="00EC77FB"/>
    <w:rsid w:val="00EF60DB"/>
    <w:rsid w:val="00F035FA"/>
    <w:rsid w:val="00F10694"/>
    <w:rsid w:val="00F1547A"/>
    <w:rsid w:val="00F2053F"/>
    <w:rsid w:val="00F20FA5"/>
    <w:rsid w:val="00F53A66"/>
    <w:rsid w:val="00F5688B"/>
    <w:rsid w:val="00F60971"/>
    <w:rsid w:val="00F7423A"/>
    <w:rsid w:val="00F8299E"/>
    <w:rsid w:val="00F9290F"/>
    <w:rsid w:val="00F97D68"/>
    <w:rsid w:val="00FA1C19"/>
    <w:rsid w:val="00FA7209"/>
    <w:rsid w:val="00FA798F"/>
    <w:rsid w:val="00FC511B"/>
    <w:rsid w:val="00FC6669"/>
    <w:rsid w:val="00FE3A30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8E85216"/>
  <w15:docId w15:val="{EA7EA4D0-F514-4367-81BE-6C8E107F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C06"/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864CA5"/>
    <w:pPr>
      <w:keepNext/>
      <w:numPr>
        <w:numId w:val="2"/>
      </w:numPr>
      <w:spacing w:before="240" w:after="60"/>
      <w:outlineLvl w:val="0"/>
    </w:pPr>
    <w:rPr>
      <w:rFonts w:ascii="Palatino Linotype" w:hAnsi="Palatino Linotype" w:cs="Palatino Linotype"/>
      <w:b/>
      <w:bCs/>
      <w:color w:val="215868"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031A0B"/>
    <w:pPr>
      <w:keepNext/>
      <w:ind w:firstLine="1304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sid w:val="00FC6E03"/>
    <w:rPr>
      <w:rFonts w:ascii="Palatino Linotype" w:hAnsi="Palatino Linotype" w:cs="Palatino Linotype"/>
      <w:b/>
      <w:bCs/>
      <w:color w:val="215868"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C6E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idehoved">
    <w:name w:val="header"/>
    <w:basedOn w:val="Normal"/>
    <w:link w:val="SidehovedTegn"/>
    <w:uiPriority w:val="99"/>
    <w:semiHidden/>
    <w:rsid w:val="00031A0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C6E03"/>
    <w:rPr>
      <w:rFonts w:ascii="Arial" w:hAnsi="Arial" w:cs="Arial"/>
    </w:rPr>
  </w:style>
  <w:style w:type="paragraph" w:styleId="Sidefod">
    <w:name w:val="footer"/>
    <w:basedOn w:val="Normal"/>
    <w:link w:val="SidefodTegn"/>
    <w:uiPriority w:val="99"/>
    <w:semiHidden/>
    <w:rsid w:val="00031A0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976AC"/>
    <w:rPr>
      <w:rFonts w:ascii="Arial" w:hAnsi="Arial" w:cs="Arial"/>
      <w:sz w:val="24"/>
      <w:szCs w:val="24"/>
    </w:rPr>
  </w:style>
  <w:style w:type="paragraph" w:customStyle="1" w:styleId="Overskriftmpkt">
    <w:name w:val="Overskrift m pkt"/>
    <w:basedOn w:val="Overskrift1"/>
    <w:uiPriority w:val="99"/>
    <w:rsid w:val="00031A0B"/>
    <w:pPr>
      <w:numPr>
        <w:numId w:val="1"/>
      </w:numPr>
    </w:pPr>
  </w:style>
  <w:style w:type="character" w:styleId="Strk">
    <w:name w:val="Strong"/>
    <w:basedOn w:val="Standardskrifttypeiafsnit"/>
    <w:uiPriority w:val="99"/>
    <w:qFormat/>
    <w:rsid w:val="00031A0B"/>
    <w:rPr>
      <w:b/>
      <w:bCs/>
    </w:rPr>
  </w:style>
  <w:style w:type="paragraph" w:styleId="Brdtekst">
    <w:name w:val="Body Text"/>
    <w:basedOn w:val="Normal"/>
    <w:link w:val="BrdtekstTegn"/>
    <w:uiPriority w:val="99"/>
    <w:semiHidden/>
    <w:rsid w:val="00031A0B"/>
    <w:rPr>
      <w:rFonts w:ascii="Times New Roman" w:hAnsi="Times New Roman" w:cs="Times New Roman"/>
      <w:b/>
      <w:bCs/>
      <w:sz w:val="48"/>
      <w:szCs w:val="48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FC6E03"/>
    <w:rPr>
      <w:rFonts w:ascii="Arial" w:hAnsi="Arial" w:cs="Arial"/>
    </w:rPr>
  </w:style>
  <w:style w:type="paragraph" w:styleId="Bloktekst">
    <w:name w:val="Block Text"/>
    <w:basedOn w:val="Normal"/>
    <w:uiPriority w:val="99"/>
    <w:semiHidden/>
    <w:rsid w:val="00031A0B"/>
    <w:pPr>
      <w:overflowPunct w:val="0"/>
      <w:autoSpaceDE w:val="0"/>
      <w:autoSpaceDN w:val="0"/>
      <w:adjustRightInd w:val="0"/>
      <w:ind w:left="1701" w:right="-432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C511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6E03"/>
    <w:rPr>
      <w:sz w:val="0"/>
      <w:szCs w:val="0"/>
    </w:rPr>
  </w:style>
  <w:style w:type="character" w:styleId="Kommentarhenvisning">
    <w:name w:val="annotation reference"/>
    <w:basedOn w:val="Standardskrifttypeiafsnit"/>
    <w:uiPriority w:val="99"/>
    <w:semiHidden/>
    <w:rsid w:val="00FC511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FC511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C6E03"/>
    <w:rPr>
      <w:rFonts w:ascii="Arial" w:hAnsi="Arial" w:cs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FC511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C6E03"/>
    <w:rPr>
      <w:rFonts w:ascii="Arial" w:hAnsi="Arial" w:cs="Arial"/>
      <w:b/>
      <w:bCs/>
      <w:sz w:val="20"/>
      <w:szCs w:val="20"/>
    </w:rPr>
  </w:style>
  <w:style w:type="table" w:styleId="Tabel-Gitter">
    <w:name w:val="Table Grid"/>
    <w:basedOn w:val="Tabel-Normal"/>
    <w:uiPriority w:val="99"/>
    <w:rsid w:val="005808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0458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street-address">
    <w:name w:val="street-address"/>
    <w:basedOn w:val="Standardskrifttypeiafsnit"/>
    <w:uiPriority w:val="99"/>
    <w:rsid w:val="0059719A"/>
  </w:style>
  <w:style w:type="character" w:customStyle="1" w:styleId="postal-code">
    <w:name w:val="postal-code"/>
    <w:basedOn w:val="Standardskrifttypeiafsnit"/>
    <w:uiPriority w:val="99"/>
    <w:rsid w:val="0059719A"/>
  </w:style>
  <w:style w:type="character" w:customStyle="1" w:styleId="locality">
    <w:name w:val="locality"/>
    <w:basedOn w:val="Standardskrifttypeiafsnit"/>
    <w:uiPriority w:val="99"/>
    <w:rsid w:val="0059719A"/>
  </w:style>
  <w:style w:type="character" w:customStyle="1" w:styleId="geo">
    <w:name w:val="geo"/>
    <w:basedOn w:val="Standardskrifttypeiafsnit"/>
    <w:uiPriority w:val="99"/>
    <w:rsid w:val="0059719A"/>
  </w:style>
  <w:style w:type="character" w:customStyle="1" w:styleId="longitude">
    <w:name w:val="longitude"/>
    <w:basedOn w:val="Standardskrifttypeiafsnit"/>
    <w:uiPriority w:val="99"/>
    <w:rsid w:val="0059719A"/>
  </w:style>
  <w:style w:type="character" w:customStyle="1" w:styleId="latitude">
    <w:name w:val="latitude"/>
    <w:basedOn w:val="Standardskrifttypeiafsnit"/>
    <w:uiPriority w:val="99"/>
    <w:rsid w:val="0059719A"/>
  </w:style>
  <w:style w:type="paragraph" w:styleId="Listeafsnit">
    <w:name w:val="List Paragraph"/>
    <w:basedOn w:val="Normal"/>
    <w:uiPriority w:val="34"/>
    <w:qFormat/>
    <w:rsid w:val="00F7423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71D81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4A1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20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0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0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2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20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1781</Words>
  <Characters>10213</Characters>
  <Application>Microsoft Office Word</Application>
  <DocSecurity>4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§§§§§§§§</vt:lpstr>
    </vt:vector>
  </TitlesOfParts>
  <Company>Kuben A/S</Company>
  <LinksUpToDate>false</LinksUpToDate>
  <CharactersWithSpaces>11971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§§§§§§§§</dc:title>
  <dc:subject/>
  <dc:creator>sga</dc:creator>
  <cp:keywords/>
  <dc:description/>
  <cp:lastModifiedBy>TRM Malene Bønding Oelrich</cp:lastModifiedBy>
  <cp:revision>2</cp:revision>
  <cp:lastPrinted>2020-01-15T11:09:00Z</cp:lastPrinted>
  <dcterms:created xsi:type="dcterms:W3CDTF">2020-02-20T08:41:00Z</dcterms:created>
  <dcterms:modified xsi:type="dcterms:W3CDTF">2020-02-20T08:41:00Z</dcterms:modified>
</cp:coreProperties>
</file>