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"/>
        <w:gridCol w:w="8562"/>
      </w:tblGrid>
      <w:tr w:rsidR="00CE4CAF" w:rsidRPr="00BD66A5" w:rsidTr="00CE4CAF">
        <w:tc>
          <w:tcPr>
            <w:tcW w:w="0" w:type="auto"/>
          </w:tcPr>
          <w:p w:rsidR="00CE4CAF" w:rsidRDefault="00CE4CAF" w:rsidP="00BD66A5">
            <w:pPr>
              <w:pStyle w:val="Overskrift1"/>
              <w:jc w:val="center"/>
              <w:outlineLvl w:val="0"/>
              <w:rPr>
                <w:rFonts w:ascii="Arial" w:hAnsi="Arial"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Default="00CE4CAF" w:rsidP="00BD66A5">
            <w:pPr>
              <w:pStyle w:val="Overskrift1"/>
              <w:jc w:val="center"/>
              <w:outlineLvl w:val="0"/>
              <w:rPr>
                <w:rFonts w:ascii="Arial" w:hAnsi="Arial" w:cs="Arial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sz w:val="20"/>
                <w:szCs w:val="20"/>
              </w:rPr>
              <w:t xml:space="preserve">Ændring af bekendtgørelse om arbejdsmarkedsuddannelser m.v. </w:t>
            </w:r>
          </w:p>
          <w:p w:rsidR="00CE4CAF" w:rsidRDefault="00CE4CAF" w:rsidP="00BD66A5">
            <w:pPr>
              <w:pStyle w:val="Overskrift1"/>
              <w:jc w:val="center"/>
              <w:outlineLvl w:val="0"/>
              <w:rPr>
                <w:rFonts w:ascii="Arial" w:hAnsi="Arial" w:cs="Arial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sz w:val="20"/>
                <w:szCs w:val="20"/>
              </w:rPr>
              <w:t>november 2024</w:t>
            </w:r>
          </w:p>
          <w:p w:rsidR="00CE4CAF" w:rsidRPr="00CE4CAF" w:rsidRDefault="00CE4CAF" w:rsidP="00CE4CAF">
            <w:bookmarkStart w:id="0" w:name="_GoBack"/>
            <w:bookmarkEnd w:id="0"/>
          </w:p>
          <w:p w:rsidR="00CE4CAF" w:rsidRPr="00BD66A5" w:rsidRDefault="00CE4CAF" w:rsidP="00BD66A5">
            <w:pPr>
              <w:pStyle w:val="Overskrift1"/>
              <w:jc w:val="center"/>
              <w:outlineLvl w:val="0"/>
              <w:rPr>
                <w:rFonts w:ascii="Arial" w:hAnsi="Arial" w:cs="Arial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sz w:val="20"/>
                <w:szCs w:val="20"/>
              </w:rPr>
              <w:t>Høringsparter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086787">
            <w:pPr>
              <w:pStyle w:val="Overskrift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1. ADHD-Foreningen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086787">
            <w:pPr>
              <w:pStyle w:val="Overskrift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2. Advokatsamfundet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086787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3. Akademiet for de Tekniske Videnskaber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086787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4. </w:t>
            </w:r>
            <w:r w:rsidRPr="00BD66A5">
              <w:rPr>
                <w:rFonts w:ascii="Arial" w:hAnsi="Arial" w:cs="Arial"/>
                <w:b w:val="0"/>
                <w:sz w:val="20"/>
                <w:szCs w:val="20"/>
              </w:rPr>
              <w:t>Akademikerne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086787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5. Ankestyrelsen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086787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6. AOF Danmark 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8E48E7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7. Arbejderbevægelsens Erhvervsråd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814152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62" w:type="dxa"/>
          </w:tcPr>
          <w:p w:rsidR="00CE4CAF" w:rsidRPr="00084C8D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084C8D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8. Arbejdsgivernes Uddannelsesbidrag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C4763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C4763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9. Arbejdsmarkedets Tillægspension (ATP)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2157D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sz w:val="20"/>
                <w:szCs w:val="20"/>
              </w:rPr>
              <w:t>10. Arkitektskolen i Aarhus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11</w:t>
            </w:r>
            <w:r w:rsidRPr="006924B3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. ASE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2157D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12. Autismeforeningen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13</w:t>
            </w:r>
            <w:r w:rsidRPr="00FB15B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. Beskæftigelsesrådet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8E48E7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14. Bestyrelsesforeningen Danske HF og VUC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8E48E7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15. Blik- og Rørarbejderforbundet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8E48E7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8E48E7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16.</w:t>
            </w:r>
            <w:r w:rsidRPr="008E4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8E7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Business Danmark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17.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Centralorganisationernes Fællesudvalg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18. Cepos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19. Cevea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20. Daghøjskoleforeningen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sz w:val="20"/>
                <w:szCs w:val="20"/>
              </w:rPr>
              <w:t>21. Danmarks Akkrediteringsinstitution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22.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Danmarks Evalueringsinstitut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23.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Danmarks Frie Fagforening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24.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Danmarks Lærerforening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25. Danmarks Medie- og Journalisthøjskole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26. Danmarks Statistik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75604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27. Danmarks Vejlederforening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28. Dansk Arbejdsgiverforening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29. Dansk Blindesamfund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30. Dansk El-forbund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31. Dansk Center for Undervisningsmiljø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32. Dansk Erhverv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33. Dansk Folkeoplysnings Samråd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34. Dansk Handicapforbund </w:t>
            </w:r>
            <w: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35.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 Industri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36</w:t>
            </w:r>
            <w:r w:rsidRPr="001F02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. Dansk – it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37. Dansk Magisterforening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38.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 Metal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-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39.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 Oplysningsforbund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5C1F18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62" w:type="dxa"/>
          </w:tcPr>
          <w:p w:rsidR="00CE4CAF" w:rsidRPr="001F026C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1F02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40. Dansk Psykologforening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41.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 Socialrådgiverforening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42. Dansk Ungdomsfællesråd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43.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A-kasser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A80D9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44.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Advokater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45. Danske Døves Landsforbund 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46.</w:t>
            </w:r>
            <w:r w:rsidRPr="004F2830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Erhvervsakademier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  <w:r w:rsidRPr="004F2830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 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47. Danske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Erhvervsskoler og –Gymnasier, bestyrelserne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48.</w:t>
            </w:r>
            <w:r w:rsidRPr="004F2830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Erhvervsskoler og -Gymnasier – Lederne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49.</w:t>
            </w:r>
            <w:r w:rsidRPr="004F2830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Forlag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50. Danske Gymnasieelevers Sammenslutning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51. </w:t>
            </w: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Danske Gymnasier</w:t>
            </w:r>
            <w:r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52.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Handicaporganisationer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53.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HF &amp; VUC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54. Danske HF &amp; VUC (Bestyrelserne)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86694E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86694E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86694E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55. </w:t>
            </w: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Danske Landbrugsskoler</w:t>
            </w:r>
            <w:r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86694E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86694E" w:rsidRDefault="00CE4CAF" w:rsidP="000E5E5B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86694E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56. </w:t>
            </w:r>
            <w:r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Danske Musik- og Kulturskoler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1F026C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57.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Professionshøjskoler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58.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Regioner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59. Danske Revisorer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60. Danske Seniorer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61.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SOSU-skoler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62.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SOSU-skoler – bestyrelserne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63. Danske Underviserorganisationers Samråd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64.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Universiteter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65. Datatilsynet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66. Dea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67. </w:t>
            </w: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De Danske Sprogcentre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68. Den Uvildige konsulentordning på Handicapområdet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69.</w:t>
            </w:r>
            <w:r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Designskolen Kolding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70. Det Kongelige Danske Kunstakademis Skoler for Arkitektur, Design og Konservering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71.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Det Centrale Handicapråd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72. Det Faglige Hus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73. Forsikring og Pension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74. Det Kriminalpræventive Råd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75. Det nationale integrationsråd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76. Erhvervsskolernes Elevorganisation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77. </w:t>
            </w:r>
            <w:r w:rsidRPr="00127160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Erhvervsskolelederne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78. Fagbevægelsens Hovedorganisation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79. </w:t>
            </w:r>
            <w:r w:rsidRPr="00127160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Fagligt Fælles Forbund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80. Fag og Arbejde (FOA)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81. FGU Danmark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82.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Finansforbundet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83. Finans Danmark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84. Finanssektorens Arbejdsgiverforening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85. </w:t>
            </w:r>
            <w:r w:rsidRPr="008B7DA1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Finanstilsynet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86. Folkehøjskolernes Forening i Danmark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87.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Folkeligt Oplysnings Forbund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88. Fora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89. Foreningen af forstandere og direktører ved AMU-centrene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90. </w:t>
            </w: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Foreningen af ledere ved danskuddannelserne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91. Foreningen af tekniske og administrative tjenestemænd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92. Foreningsfællesskabet Ligeværd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93.</w:t>
            </w:r>
            <w:r w:rsidRPr="00BD66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Forhandlingsfællesskabet</w:t>
            </w:r>
            <w:r w:rsidRPr="00BD66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94.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Frie Funktionærer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95. FSR – danske revisorer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96. Frivilligrådet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97. Fængselsforbundet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98. Fødevareforbundet NFF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99.</w:t>
            </w:r>
            <w:r w:rsidRPr="00BD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Gartneri-, Land- og Skovbrugets Arbejdsgivere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100. Gymnasieskolernes Lærerforening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101</w:t>
            </w:r>
            <w:r w:rsidRPr="00E83CAF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. HK Danmark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102.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Institut for Menneskerettigheder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DF51EF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103. KL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104. Kommunale Velfærdschefer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105.</w:t>
            </w: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Kooperationen</w:t>
            </w:r>
            <w:r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106. Kriminalforsorgen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107. </w:t>
            </w:r>
            <w:r w:rsidRPr="007177B6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Kriminalforsorgsforeningen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108. Kristelig Arbejdsgiverforening</w:t>
            </w:r>
          </w:p>
        </w:tc>
      </w:tr>
      <w:tr w:rsidR="00CE4CAF" w:rsidRPr="00BD66A5" w:rsidTr="00CE4CAF">
        <w:trPr>
          <w:trHeight w:val="443"/>
        </w:trPr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109. </w:t>
            </w:r>
            <w:r w:rsidRPr="002D151F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Kristelig Fagbevægelse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110. LandboUngdom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111. Landbrug &amp; Fødevarer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112. </w:t>
            </w:r>
            <w:r w:rsidRPr="00BD66A5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Landdistrikternes Fællesråd</w:t>
            </w:r>
            <w:r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113. </w:t>
            </w: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Landselevbestyrelsen for det pædagogiske område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114. Landselevbestyrelsen for social- og sundhedsområdet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BD66A5" w:rsidTr="00CE4CAF">
        <w:tc>
          <w:tcPr>
            <w:tcW w:w="0" w:type="auto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BD66A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BD66A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115. Landsforeningen Fleksjob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rPr>
          <w:trHeight w:val="487"/>
        </w:trPr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116. Landsforeningen SIND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F55FC9" w:rsidRDefault="00CE4CAF" w:rsidP="007177B6">
            <w:pPr>
              <w:pStyle w:val="Overskrift2"/>
              <w:spacing w:before="0"/>
              <w:textAlignment w:val="baseline"/>
              <w:outlineLvl w:val="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F55FC9" w:rsidRDefault="00CE4CAF" w:rsidP="007177B6">
            <w:pPr>
              <w:pStyle w:val="Overskrift2"/>
              <w:spacing w:before="0"/>
              <w:textAlignment w:val="baseline"/>
              <w:outlineLvl w:val="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F55FC9">
              <w:rPr>
                <w:rFonts w:ascii="Arial" w:hAnsi="Arial" w:cs="Arial"/>
                <w:iCs/>
                <w:color w:val="auto"/>
                <w:sz w:val="20"/>
                <w:szCs w:val="20"/>
              </w:rPr>
              <w:t>117. Landssammensl</w:t>
            </w: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utningen af Handelsskoleelever </w:t>
            </w:r>
            <w:r w:rsidRPr="00F55FC9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118. </w:t>
            </w:r>
            <w:r w:rsidRPr="007177B6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Lederne</w:t>
            </w: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119. LOF (Liberalt Oplysnings Forbund)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120. Ordblindeforeningen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C47635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C4763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121. Pension Danmark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122. Professionshøjskolernes Rektorkollegium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123. Rektorkollegiet for de Maritime Uddannelser c/o</w:t>
            </w:r>
          </w:p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Danske Erhvervsakademier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-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124. Retspolitisk Forening c/o advokat Bjørn Elmquist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125. Rigsrevisionen 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DC29C0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62" w:type="dxa"/>
          </w:tcPr>
          <w:p w:rsidR="00CE4CAF" w:rsidRPr="007177B6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7177B6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126.</w:t>
            </w:r>
            <w:r w:rsidRPr="0071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7B6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Rådet for de Grundlæggende Erhvervsrettede Uddannelser (REU)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7177B6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7177B6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127. Rådet for digital sikkerhed -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128. Rådet for Erhvervsakademiuddannelser og Professionsbacheloruddannelser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129. Rådet for Etniske Minoriteter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130. Rådet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for Voksen- og Efteruddannelse</w:t>
            </w: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(VEU-Rådet)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131. SMVD</w:t>
            </w: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anmark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132. Studievalg Danmark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133.</w:t>
            </w:r>
            <w:r w:rsidRPr="00696E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Tekniq Arbejdsgiverne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134.</w:t>
            </w:r>
            <w:r w:rsidRPr="00696E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6E7E">
              <w:rPr>
                <w:rFonts w:ascii="Arial" w:hAnsi="Arial" w:cs="Arial"/>
                <w:b w:val="0"/>
                <w:sz w:val="20"/>
                <w:szCs w:val="20"/>
              </w:rPr>
              <w:t>Uddannelsesforbundet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96E7E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135. Uddannelseslederne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CE4CAF" w:rsidRPr="00C469F4" w:rsidTr="00CE4CAF">
        <w:tc>
          <w:tcPr>
            <w:tcW w:w="0" w:type="auto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562" w:type="dxa"/>
          </w:tcPr>
          <w:p w:rsidR="00CE4CAF" w:rsidRPr="00696E7E" w:rsidRDefault="00CE4CAF" w:rsidP="007177B6">
            <w:pPr>
              <w:pStyle w:val="Overskrift1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136. Ældre Sagen </w:t>
            </w:r>
          </w:p>
        </w:tc>
      </w:tr>
    </w:tbl>
    <w:p w:rsidR="0028510A" w:rsidRPr="00BD66A5" w:rsidRDefault="0028510A"/>
    <w:sectPr w:rsidR="0028510A" w:rsidRPr="00BD66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D8" w:rsidRDefault="00477AD8" w:rsidP="00814152">
      <w:pPr>
        <w:spacing w:line="240" w:lineRule="auto"/>
      </w:pPr>
      <w:r>
        <w:separator/>
      </w:r>
    </w:p>
  </w:endnote>
  <w:endnote w:type="continuationSeparator" w:id="0">
    <w:p w:rsidR="00477AD8" w:rsidRDefault="00477AD8" w:rsidP="00814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D8" w:rsidRDefault="00477AD8" w:rsidP="00814152">
      <w:pPr>
        <w:spacing w:line="240" w:lineRule="auto"/>
      </w:pPr>
      <w:r>
        <w:separator/>
      </w:r>
    </w:p>
  </w:footnote>
  <w:footnote w:type="continuationSeparator" w:id="0">
    <w:p w:rsidR="00477AD8" w:rsidRDefault="00477AD8" w:rsidP="00814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8C7E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AF6A35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A5"/>
    <w:rsid w:val="00041EB7"/>
    <w:rsid w:val="00047E79"/>
    <w:rsid w:val="00084C8D"/>
    <w:rsid w:val="00086787"/>
    <w:rsid w:val="000C7551"/>
    <w:rsid w:val="000E5E5B"/>
    <w:rsid w:val="00127160"/>
    <w:rsid w:val="001F026C"/>
    <w:rsid w:val="00201EE1"/>
    <w:rsid w:val="00242463"/>
    <w:rsid w:val="0028510A"/>
    <w:rsid w:val="002D151F"/>
    <w:rsid w:val="0031432C"/>
    <w:rsid w:val="003970CF"/>
    <w:rsid w:val="00416FBC"/>
    <w:rsid w:val="00477AD8"/>
    <w:rsid w:val="004E2F35"/>
    <w:rsid w:val="004E432C"/>
    <w:rsid w:val="004F2830"/>
    <w:rsid w:val="004F42C6"/>
    <w:rsid w:val="00505155"/>
    <w:rsid w:val="005C1F18"/>
    <w:rsid w:val="0062731A"/>
    <w:rsid w:val="0062740B"/>
    <w:rsid w:val="00627D3C"/>
    <w:rsid w:val="006924B3"/>
    <w:rsid w:val="00696E7E"/>
    <w:rsid w:val="00705785"/>
    <w:rsid w:val="00707C47"/>
    <w:rsid w:val="007177B6"/>
    <w:rsid w:val="0072157D"/>
    <w:rsid w:val="00775604"/>
    <w:rsid w:val="007F320F"/>
    <w:rsid w:val="00814152"/>
    <w:rsid w:val="0086694E"/>
    <w:rsid w:val="008965F9"/>
    <w:rsid w:val="008B7DA1"/>
    <w:rsid w:val="008C7E37"/>
    <w:rsid w:val="008E48E7"/>
    <w:rsid w:val="008F2B98"/>
    <w:rsid w:val="009B0903"/>
    <w:rsid w:val="00A10D57"/>
    <w:rsid w:val="00A43B64"/>
    <w:rsid w:val="00A80D9C"/>
    <w:rsid w:val="00A907CE"/>
    <w:rsid w:val="00B175E3"/>
    <w:rsid w:val="00B2002C"/>
    <w:rsid w:val="00B5197A"/>
    <w:rsid w:val="00BA06D1"/>
    <w:rsid w:val="00BA77A4"/>
    <w:rsid w:val="00BD66A5"/>
    <w:rsid w:val="00C47635"/>
    <w:rsid w:val="00CE4CAF"/>
    <w:rsid w:val="00D75676"/>
    <w:rsid w:val="00D83006"/>
    <w:rsid w:val="00DA02FA"/>
    <w:rsid w:val="00DC29C0"/>
    <w:rsid w:val="00E20657"/>
    <w:rsid w:val="00E469DA"/>
    <w:rsid w:val="00E82A7D"/>
    <w:rsid w:val="00E83CAF"/>
    <w:rsid w:val="00EF1C5E"/>
    <w:rsid w:val="00F41F35"/>
    <w:rsid w:val="00F55FC9"/>
    <w:rsid w:val="00F72F69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B8FC6"/>
  <w15:chartTrackingRefBased/>
  <w15:docId w15:val="{B81C2408-D275-437C-9E60-09980F9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A5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66A5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3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3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30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66A5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BD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814152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141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4152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8141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4152"/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83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30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30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Opstilling-talellerbogst">
    <w:name w:val="List Number"/>
    <w:basedOn w:val="Normal"/>
    <w:uiPriority w:val="99"/>
    <w:semiHidden/>
    <w:unhideWhenUsed/>
    <w:rsid w:val="00D83006"/>
    <w:pPr>
      <w:numPr>
        <w:numId w:val="2"/>
      </w:numPr>
      <w:contextualSpacing/>
    </w:pPr>
  </w:style>
  <w:style w:type="character" w:customStyle="1" w:styleId="wixui-rich-texttext">
    <w:name w:val="wixui-rich-text__text"/>
    <w:basedOn w:val="Standardskrifttypeiafsnit"/>
    <w:rsid w:val="00F5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A9EA-084D-46D5-B9CA-3557E5AB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Winther Jarl</dc:creator>
  <cp:keywords/>
  <dc:description/>
  <cp:lastModifiedBy>Nina Topp</cp:lastModifiedBy>
  <cp:revision>4</cp:revision>
  <dcterms:created xsi:type="dcterms:W3CDTF">2024-11-18T12:28:00Z</dcterms:created>
  <dcterms:modified xsi:type="dcterms:W3CDTF">2024-11-18T12:33:00Z</dcterms:modified>
</cp:coreProperties>
</file>