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9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28"/>
        <w:gridCol w:w="1911"/>
      </w:tblGrid>
      <w:tr w:rsidR="00D65E69" w:rsidRPr="00BF5647" w14:paraId="4BE64BE2" w14:textId="77777777" w:rsidTr="00857AE1">
        <w:trPr>
          <w:gridAfter w:val="1"/>
          <w:wAfter w:w="1911" w:type="dxa"/>
          <w:cantSplit/>
          <w:trHeight w:val="3159"/>
        </w:trPr>
        <w:tc>
          <w:tcPr>
            <w:tcW w:w="7144" w:type="dxa"/>
            <w:gridSpan w:val="2"/>
          </w:tcPr>
          <w:p w14:paraId="446CE358" w14:textId="77777777" w:rsidR="00D65E69" w:rsidRPr="00BF5647" w:rsidRDefault="00D65E69" w:rsidP="009479E5">
            <w:pPr>
              <w:jc w:val="both"/>
              <w:rPr>
                <w:rFonts w:cs="Arial"/>
                <w:szCs w:val="22"/>
              </w:rPr>
            </w:pPr>
            <w:r w:rsidRPr="00BF5647">
              <w:rPr>
                <w:rFonts w:cs="Arial"/>
                <w:szCs w:val="22"/>
              </w:rPr>
              <w:t xml:space="preserve">  </w:t>
            </w:r>
          </w:p>
          <w:p w14:paraId="205A7C77" w14:textId="77777777" w:rsidR="00D65E69" w:rsidRPr="00BF5647" w:rsidRDefault="00D65E69" w:rsidP="009479E5">
            <w:pPr>
              <w:jc w:val="both"/>
              <w:rPr>
                <w:rFonts w:cs="Arial"/>
                <w:szCs w:val="22"/>
              </w:rPr>
            </w:pPr>
            <w:r w:rsidRPr="00BF5647">
              <w:rPr>
                <w:rFonts w:cs="Arial"/>
                <w:szCs w:val="22"/>
              </w:rPr>
              <w:t xml:space="preserve">  </w:t>
            </w:r>
          </w:p>
          <w:p w14:paraId="4A659E5F" w14:textId="77777777" w:rsidR="001E63D8" w:rsidRPr="00BF5647" w:rsidRDefault="00D65E69" w:rsidP="009479E5">
            <w:pPr>
              <w:tabs>
                <w:tab w:val="left" w:pos="6511"/>
              </w:tabs>
              <w:jc w:val="both"/>
              <w:rPr>
                <w:rFonts w:cs="Arial"/>
                <w:szCs w:val="22"/>
              </w:rPr>
            </w:pPr>
            <w:r w:rsidRPr="00BF5647">
              <w:rPr>
                <w:rFonts w:cs="Arial"/>
                <w:szCs w:val="22"/>
              </w:rPr>
              <w:t xml:space="preserve"> </w:t>
            </w:r>
          </w:p>
          <w:p w14:paraId="377984BE" w14:textId="77777777" w:rsidR="0077532B" w:rsidRPr="00BF5647" w:rsidRDefault="0077532B" w:rsidP="009479E5">
            <w:pPr>
              <w:tabs>
                <w:tab w:val="left" w:pos="6511"/>
              </w:tabs>
              <w:jc w:val="both"/>
              <w:rPr>
                <w:rFonts w:cs="Arial"/>
                <w:szCs w:val="22"/>
              </w:rPr>
            </w:pPr>
          </w:p>
        </w:tc>
      </w:tr>
      <w:tr w:rsidR="00857AE1" w:rsidRPr="00A13723" w14:paraId="5A294380" w14:textId="77777777" w:rsidTr="00857AE1">
        <w:tblPrEx>
          <w:tblBorders>
            <w:bottom w:val="single" w:sz="4" w:space="0" w:color="auto"/>
          </w:tblBorders>
        </w:tblPrEx>
        <w:trPr>
          <w:cantSplit/>
        </w:trPr>
        <w:tc>
          <w:tcPr>
            <w:tcW w:w="7116" w:type="dxa"/>
          </w:tcPr>
          <w:p w14:paraId="5CF9F54A" w14:textId="77777777" w:rsidR="00857AE1" w:rsidRPr="00A13723" w:rsidRDefault="00857AE1" w:rsidP="009479E5">
            <w:pPr>
              <w:jc w:val="both"/>
            </w:pPr>
            <w:r w:rsidRPr="00A13723">
              <w:rPr>
                <w:rFonts w:cs="Arial"/>
                <w:b/>
                <w:bCs/>
                <w:sz w:val="22"/>
                <w:szCs w:val="32"/>
              </w:rPr>
              <w:t>Høring af ændringer i</w:t>
            </w:r>
            <w:r w:rsidR="00504DF2">
              <w:rPr>
                <w:rFonts w:cs="Arial"/>
                <w:b/>
                <w:bCs/>
                <w:sz w:val="22"/>
                <w:szCs w:val="32"/>
              </w:rPr>
              <w:t xml:space="preserve"> b</w:t>
            </w:r>
            <w:r w:rsidR="00504DF2" w:rsidRPr="00504DF2">
              <w:rPr>
                <w:rFonts w:cs="Arial"/>
                <w:b/>
                <w:bCs/>
                <w:sz w:val="22"/>
                <w:szCs w:val="32"/>
              </w:rPr>
              <w:t>ekendtgørelse om beskyttelse af vilde dyr og planter ved kontrol af handelen hermed (Washingtonkonventionen/CITES)</w:t>
            </w:r>
          </w:p>
        </w:tc>
        <w:tc>
          <w:tcPr>
            <w:tcW w:w="1939" w:type="dxa"/>
            <w:gridSpan w:val="2"/>
          </w:tcPr>
          <w:p w14:paraId="7C441010" w14:textId="77777777" w:rsidR="00857AE1" w:rsidRPr="00A13723" w:rsidRDefault="00857AE1" w:rsidP="009479E5">
            <w:pPr>
              <w:jc w:val="both"/>
            </w:pPr>
          </w:p>
        </w:tc>
      </w:tr>
    </w:tbl>
    <w:p w14:paraId="7C0F71EB" w14:textId="77777777" w:rsidR="00857AE1" w:rsidRDefault="00857AE1" w:rsidP="009479E5">
      <w:pPr>
        <w:jc w:val="both"/>
      </w:pPr>
    </w:p>
    <w:p w14:paraId="77923E34" w14:textId="516E8F53" w:rsidR="00504DF2" w:rsidRDefault="00857AE1" w:rsidP="009479E5">
      <w:pPr>
        <w:jc w:val="both"/>
      </w:pPr>
      <w:r>
        <w:t xml:space="preserve">Miljøministeriet sender hermed udkast til </w:t>
      </w:r>
      <w:r w:rsidR="00504DF2">
        <w:t>b</w:t>
      </w:r>
      <w:r w:rsidR="00504DF2" w:rsidRPr="00504DF2">
        <w:t>ekendtgørelse om beskyttelse af vilde dyr og planter ved kontrol af handelen hermed (Washingtonkonventionen/CITES)</w:t>
      </w:r>
      <w:r w:rsidR="000551D0">
        <w:t xml:space="preserve"> (herefter CITES-bekendtgørelsen)</w:t>
      </w:r>
      <w:r w:rsidR="00504DF2">
        <w:t xml:space="preserve"> </w:t>
      </w:r>
      <w:r>
        <w:t xml:space="preserve">i offentlig høring. </w:t>
      </w:r>
    </w:p>
    <w:p w14:paraId="40693838" w14:textId="77777777" w:rsidR="00504DF2" w:rsidRDefault="00504DF2" w:rsidP="009479E5">
      <w:pPr>
        <w:jc w:val="both"/>
      </w:pPr>
    </w:p>
    <w:p w14:paraId="1F9E8267" w14:textId="279F9EF3" w:rsidR="00504DF2" w:rsidRDefault="00857AE1" w:rsidP="009479E5">
      <w:pPr>
        <w:jc w:val="both"/>
      </w:pPr>
      <w:r>
        <w:t xml:space="preserve">De foreslåede ændringer </w:t>
      </w:r>
      <w:r w:rsidR="0005746B">
        <w:t>skal</w:t>
      </w:r>
      <w:r w:rsidR="009215E6">
        <w:t xml:space="preserve"> </w:t>
      </w:r>
      <w:r w:rsidR="009479E5">
        <w:t>hovedsagligt</w:t>
      </w:r>
      <w:r w:rsidR="005028B8">
        <w:t xml:space="preserve"> ses</w:t>
      </w:r>
      <w:r w:rsidR="0005746B">
        <w:t xml:space="preserve"> i sammenhæng med udkast til lovforslag om ændring af lov om naturbeskyttelse (Obligatorisk digital kommunikation m.v.), som har været i offentlig høring i perioden</w:t>
      </w:r>
      <w:r w:rsidR="004800CE">
        <w:t xml:space="preserve"> 15. januar til 12. februar 2021</w:t>
      </w:r>
      <w:r w:rsidR="0005746B">
        <w:t xml:space="preserve">, og som forventes fremsat i Folketinget </w:t>
      </w:r>
      <w:r w:rsidR="001E4A0F" w:rsidRPr="00A54129">
        <w:t xml:space="preserve">i </w:t>
      </w:r>
      <w:r w:rsidR="001E3367" w:rsidRPr="00A54129">
        <w:t>april 2021</w:t>
      </w:r>
      <w:r w:rsidR="001E3367">
        <w:t xml:space="preserve"> med henblik på ikrafttrædelse den 1. juli 2021</w:t>
      </w:r>
      <w:r w:rsidR="0053236B">
        <w:t xml:space="preserve">. </w:t>
      </w:r>
    </w:p>
    <w:p w14:paraId="1EFD7CE4" w14:textId="77777777" w:rsidR="00504DF2" w:rsidRDefault="00504DF2" w:rsidP="009479E5">
      <w:pPr>
        <w:jc w:val="both"/>
      </w:pPr>
    </w:p>
    <w:p w14:paraId="7DACF7A3" w14:textId="6D1FC116" w:rsidR="00857AE1" w:rsidRDefault="00857AE1" w:rsidP="009479E5">
      <w:pPr>
        <w:jc w:val="both"/>
        <w:rPr>
          <w:rFonts w:cs="TimesNewRomanPSMT"/>
        </w:rPr>
      </w:pPr>
      <w:r>
        <w:t>Ændringerne</w:t>
      </w:r>
      <w:r w:rsidR="00A54129">
        <w:t xml:space="preserve">, som </w:t>
      </w:r>
      <w:r w:rsidR="00A0520D">
        <w:t xml:space="preserve">forslås som </w:t>
      </w:r>
      <w:r w:rsidR="00A54129">
        <w:t>føl</w:t>
      </w:r>
      <w:r w:rsidR="00A0520D">
        <w:t>ge</w:t>
      </w:r>
      <w:r w:rsidR="00A54129">
        <w:t xml:space="preserve"> af lovforslaget,</w:t>
      </w:r>
      <w:r>
        <w:t xml:space="preserve"> angår følgende:</w:t>
      </w:r>
    </w:p>
    <w:p w14:paraId="6FA52CFC" w14:textId="77777777" w:rsidR="00857AE1" w:rsidRDefault="00857AE1" w:rsidP="009479E5">
      <w:pPr>
        <w:jc w:val="both"/>
      </w:pPr>
    </w:p>
    <w:p w14:paraId="2EBBBAA8" w14:textId="0377A8C6" w:rsidR="000551D0" w:rsidRDefault="005028B8" w:rsidP="009479E5">
      <w:pPr>
        <w:pStyle w:val="Listeafsnit"/>
        <w:numPr>
          <w:ilvl w:val="0"/>
          <w:numId w:val="15"/>
        </w:numPr>
        <w:jc w:val="both"/>
      </w:pPr>
      <w:r>
        <w:t xml:space="preserve">Krav om obligatorisk digital ansøgning om tilladelse og </w:t>
      </w:r>
      <w:r w:rsidR="00D17FD4">
        <w:t xml:space="preserve">certifikater </w:t>
      </w:r>
      <w:r w:rsidR="00D17FD4" w:rsidRPr="00D17FD4">
        <w:t>for så vidt angår enheder af dyr og ikke-levende planter og plantedele omfattet af CITES-konventionen, jf. CITES-bekendtgørelsens §</w:t>
      </w:r>
      <w:r w:rsidR="00D17FD4">
        <w:t xml:space="preserve"> 2</w:t>
      </w:r>
      <w:r w:rsidR="00D17FD4" w:rsidRPr="00D17FD4">
        <w:t xml:space="preserve"> </w:t>
      </w:r>
      <w:r w:rsidR="000551D0">
        <w:t>(§ 9).</w:t>
      </w:r>
    </w:p>
    <w:p w14:paraId="72F4834A" w14:textId="43DD39E8" w:rsidR="00857AE1" w:rsidRDefault="000551D0" w:rsidP="009479E5">
      <w:pPr>
        <w:pStyle w:val="Listeafsnit"/>
        <w:numPr>
          <w:ilvl w:val="0"/>
          <w:numId w:val="15"/>
        </w:numPr>
        <w:jc w:val="both"/>
      </w:pPr>
      <w:r>
        <w:t xml:space="preserve">Indførelse af gebyrordning for </w:t>
      </w:r>
      <w:r w:rsidR="00D17FD4">
        <w:t xml:space="preserve">udstedelse af </w:t>
      </w:r>
      <w:r>
        <w:t xml:space="preserve">tilladelse og certifikater </w:t>
      </w:r>
      <w:r w:rsidR="00D17FD4" w:rsidRPr="00D17FD4">
        <w:t>for så vidt angår enheder af dyr og ikke-levende planter og plantedele omfattet af CITES-konventionen, jf. CITES-bekendtgørelsens §</w:t>
      </w:r>
      <w:r w:rsidR="00D17FD4">
        <w:t xml:space="preserve"> 2,</w:t>
      </w:r>
      <w:r>
        <w:t xml:space="preserve"> samt krav om </w:t>
      </w:r>
      <w:r w:rsidR="00D17FD4">
        <w:t>elektronisk</w:t>
      </w:r>
      <w:r>
        <w:t xml:space="preserve"> betaling </w:t>
      </w:r>
      <w:r w:rsidR="00857AE1">
        <w:t>(</w:t>
      </w:r>
      <w:r>
        <w:t>§ 10</w:t>
      </w:r>
      <w:r w:rsidR="00857AE1">
        <w:t>)</w:t>
      </w:r>
    </w:p>
    <w:p w14:paraId="295D99EE" w14:textId="32338EE4" w:rsidR="00857AE1" w:rsidRDefault="000551D0" w:rsidP="009479E5">
      <w:pPr>
        <w:pStyle w:val="Listeafsnit"/>
        <w:numPr>
          <w:ilvl w:val="0"/>
          <w:numId w:val="15"/>
        </w:numPr>
        <w:jc w:val="both"/>
      </w:pPr>
      <w:r>
        <w:t xml:space="preserve">Relevante </w:t>
      </w:r>
      <w:r w:rsidR="00D62B8B">
        <w:t xml:space="preserve">ikrafttrædelses- og </w:t>
      </w:r>
      <w:r>
        <w:t xml:space="preserve">overgangsbestemmelser som følge af ovennævnte regelændringer (§ 13, stk. 4 og 5). </w:t>
      </w:r>
    </w:p>
    <w:p w14:paraId="06E7169B" w14:textId="77777777" w:rsidR="00857AE1" w:rsidRDefault="00857AE1" w:rsidP="009479E5">
      <w:pPr>
        <w:jc w:val="both"/>
      </w:pPr>
    </w:p>
    <w:p w14:paraId="6B605414" w14:textId="77777777" w:rsidR="009479E5" w:rsidRDefault="00A0520D" w:rsidP="009479E5">
      <w:pPr>
        <w:jc w:val="both"/>
      </w:pPr>
      <w:r>
        <w:t xml:space="preserve">Derudover foreslås det, at </w:t>
      </w:r>
      <w:r w:rsidR="009479E5">
        <w:t xml:space="preserve">der indsættes en præciserende anvendelsesbestemmelse i bekendtgørelsens § 1, stk. 1. </w:t>
      </w:r>
    </w:p>
    <w:p w14:paraId="32182C41" w14:textId="77777777" w:rsidR="009479E5" w:rsidRDefault="009479E5" w:rsidP="009479E5">
      <w:pPr>
        <w:jc w:val="both"/>
      </w:pPr>
    </w:p>
    <w:p w14:paraId="604ACBE3" w14:textId="312393CD" w:rsidR="009215E6" w:rsidRDefault="009479E5" w:rsidP="009479E5">
      <w:pPr>
        <w:jc w:val="both"/>
      </w:pPr>
      <w:r>
        <w:t xml:space="preserve">Det foreslås endvidere, at </w:t>
      </w:r>
      <w:r w:rsidR="009215E6">
        <w:t>bekendtgørelsens § 3,</w:t>
      </w:r>
      <w:r w:rsidR="00466D6E">
        <w:t xml:space="preserve"> stk. 3,</w:t>
      </w:r>
      <w:r w:rsidR="009215E6">
        <w:t xml:space="preserve"> som omhandler </w:t>
      </w:r>
      <w:r w:rsidR="009215E6" w:rsidRPr="009215E6">
        <w:t>arts- og individbestemmelse</w:t>
      </w:r>
      <w:r w:rsidR="009215E6">
        <w:t xml:space="preserve"> i tvivlstilfælde</w:t>
      </w:r>
      <w:r w:rsidR="008A1B0B">
        <w:t>,</w:t>
      </w:r>
      <w:r w:rsidR="009215E6">
        <w:t xml:space="preserve"> ændres med henblik på at præcise</w:t>
      </w:r>
      <w:r w:rsidR="00BE6D1D">
        <w:t>re, at hhv. Miljøstyrelsen og</w:t>
      </w:r>
      <w:r w:rsidR="009215E6">
        <w:t xml:space="preserve"> Landbrugsstyrelsen</w:t>
      </w:r>
      <w:r w:rsidR="0028206C">
        <w:t xml:space="preserve"> i denne situation fastlægger</w:t>
      </w:r>
      <w:r w:rsidR="0028206C" w:rsidRPr="0028206C">
        <w:t>, på hvilken måde arts- og individbestemmelse skal ske</w:t>
      </w:r>
      <w:r w:rsidR="0028206C">
        <w:t xml:space="preserve">. </w:t>
      </w:r>
    </w:p>
    <w:p w14:paraId="11BA7FC4" w14:textId="77777777" w:rsidR="009215E6" w:rsidRDefault="009215E6" w:rsidP="009479E5">
      <w:pPr>
        <w:jc w:val="both"/>
      </w:pPr>
    </w:p>
    <w:p w14:paraId="689BF49D" w14:textId="1512B79A" w:rsidR="005B7887" w:rsidRDefault="009479E5" w:rsidP="009479E5">
      <w:pPr>
        <w:jc w:val="both"/>
      </w:pPr>
      <w:r>
        <w:t xml:space="preserve">Endelig </w:t>
      </w:r>
      <w:r w:rsidR="009215E6">
        <w:t xml:space="preserve">foreslås </w:t>
      </w:r>
      <w:r>
        <w:t>det</w:t>
      </w:r>
      <w:r w:rsidR="009215E6">
        <w:t xml:space="preserve">, at </w:t>
      </w:r>
      <w:r w:rsidR="00A0520D">
        <w:t xml:space="preserve">bekendtgørelsens § 5, som angår </w:t>
      </w:r>
      <w:r w:rsidR="00A0520D" w:rsidRPr="00A0520D">
        <w:t>indførsel og udførsel af leve</w:t>
      </w:r>
      <w:r w:rsidR="00A0520D">
        <w:t>nde planter og planteprodukter k</w:t>
      </w:r>
      <w:r w:rsidR="00A0520D" w:rsidRPr="00A0520D">
        <w:t>onsekvensændr</w:t>
      </w:r>
      <w:r w:rsidR="00A0520D">
        <w:t>es</w:t>
      </w:r>
      <w:r w:rsidR="00A0520D" w:rsidRPr="00A0520D">
        <w:t xml:space="preserve"> </w:t>
      </w:r>
      <w:r w:rsidR="00A0520D">
        <w:t>m</w:t>
      </w:r>
      <w:r w:rsidR="00A0520D" w:rsidRPr="00A0520D">
        <w:t xml:space="preserve">ed henblik på at bringe procedurerne i overensstemmelse med plantesundhedsbestemmelserne i </w:t>
      </w:r>
      <w:r w:rsidR="00A0520D" w:rsidRPr="00A0520D">
        <w:lastRenderedPageBreak/>
        <w:t xml:space="preserve">bekendtgørelse om </w:t>
      </w:r>
      <w:r w:rsidR="00F74B64">
        <w:t>indførsel</w:t>
      </w:r>
      <w:r w:rsidR="00A0520D" w:rsidRPr="00A0520D">
        <w:t>, transit og omladning af sendinger af planter og planteprod</w:t>
      </w:r>
      <w:r w:rsidR="00A0520D">
        <w:t xml:space="preserve">ukter m.v. </w:t>
      </w:r>
      <w:r w:rsidR="00A0520D" w:rsidRPr="00A0520D">
        <w:tab/>
      </w:r>
    </w:p>
    <w:p w14:paraId="679F959D" w14:textId="77777777" w:rsidR="005B7887" w:rsidRDefault="005B7887" w:rsidP="009479E5">
      <w:pPr>
        <w:jc w:val="both"/>
      </w:pPr>
    </w:p>
    <w:p w14:paraId="6A5AF54C" w14:textId="1FA3BD3D" w:rsidR="00857AE1" w:rsidRDefault="00857AE1" w:rsidP="009479E5">
      <w:pPr>
        <w:jc w:val="both"/>
      </w:pPr>
      <w:r>
        <w:t>De foreslåede ændringer beskrives nærmere nedenfor. Rettelser, der har karakter af ren korrektur og lignende, omtales ikke.</w:t>
      </w:r>
    </w:p>
    <w:p w14:paraId="3E815F44" w14:textId="77777777" w:rsidR="00857AE1" w:rsidRDefault="00857AE1" w:rsidP="009479E5">
      <w:pPr>
        <w:jc w:val="both"/>
      </w:pPr>
    </w:p>
    <w:p w14:paraId="04309ACF" w14:textId="3EC9A0CA" w:rsidR="00857AE1" w:rsidRDefault="00857AE1" w:rsidP="009479E5">
      <w:pPr>
        <w:jc w:val="both"/>
      </w:pPr>
      <w:r>
        <w:t xml:space="preserve">Høringssvar bedes </w:t>
      </w:r>
      <w:r w:rsidR="00D17FD4">
        <w:t xml:space="preserve">sendt senest </w:t>
      </w:r>
      <w:r w:rsidRPr="0028206C">
        <w:t xml:space="preserve">den </w:t>
      </w:r>
      <w:r w:rsidR="0028206C" w:rsidRPr="0028206C">
        <w:t>2. maj</w:t>
      </w:r>
      <w:r w:rsidR="000551D0">
        <w:t xml:space="preserve"> 2021</w:t>
      </w:r>
      <w:r>
        <w:t xml:space="preserve"> pr. e-mail til mfvm@mfvm.dk med cc til jubra@mfvm.dk samt med angivelse af j.nr. 2020</w:t>
      </w:r>
      <w:r w:rsidR="00D17FD4">
        <w:t>-3178.</w:t>
      </w:r>
    </w:p>
    <w:p w14:paraId="57AFA847" w14:textId="77777777" w:rsidR="00857AE1" w:rsidRDefault="00857AE1" w:rsidP="009479E5">
      <w:pPr>
        <w:jc w:val="both"/>
      </w:pPr>
    </w:p>
    <w:p w14:paraId="08D784A9" w14:textId="48F5A630" w:rsidR="00857AE1" w:rsidRDefault="00857AE1" w:rsidP="009479E5">
      <w:pPr>
        <w:jc w:val="both"/>
      </w:pPr>
      <w:r>
        <w:t>Miljøministeriet gør opmærksom på, at man ved afgivelse af høringssvar giver samtykke til, at svaret, herunder afsenders navn og adresse, offentliggøres på Høringsportalen efterfølgende.</w:t>
      </w:r>
    </w:p>
    <w:p w14:paraId="25E9C505" w14:textId="77777777" w:rsidR="00831C1F" w:rsidRDefault="00831C1F" w:rsidP="009479E5">
      <w:pPr>
        <w:jc w:val="both"/>
      </w:pPr>
    </w:p>
    <w:p w14:paraId="72C38117" w14:textId="3367542A" w:rsidR="00831C1F" w:rsidRDefault="00831C1F" w:rsidP="009479E5">
      <w:pPr>
        <w:jc w:val="both"/>
      </w:pPr>
      <w:r>
        <w:t>Der kan</w:t>
      </w:r>
      <w:r w:rsidRPr="00332DF2">
        <w:t xml:space="preserve"> i forbindelse med behandlingen af de modtagne høringssvar være behov for at videresende disse til anden myndighed. I det omfang, der i høringssvarene indgår personoplysninger, vil disse således kunne blive videresendt til anden myndighed med henblik på</w:t>
      </w:r>
      <w:r>
        <w:t>,</w:t>
      </w:r>
      <w:r w:rsidRPr="00332DF2">
        <w:t xml:space="preserve"> at denne myndighed forholde</w:t>
      </w:r>
      <w:r>
        <w:t>r</w:t>
      </w:r>
      <w:r w:rsidRPr="00332DF2">
        <w:t xml:space="preserve"> sig til indholdet. Personoplysninger vil også kunne indgå i det høringsnotat, som ministeriet udarbejder på baggrund af høringen, og som offentliggøres efter høringen på høringsportalen. Behandlingen af høringssvarene forventes afsluttet senest </w:t>
      </w:r>
      <w:r>
        <w:t>den</w:t>
      </w:r>
      <w:r w:rsidR="0028206C">
        <w:t xml:space="preserve"> 1. juni 2021</w:t>
      </w:r>
      <w:r w:rsidRPr="00332DF2">
        <w:t xml:space="preserve">, hvorefter de journaliseres og overføres til Statens Arkiver efter 5 år.   </w:t>
      </w:r>
    </w:p>
    <w:p w14:paraId="513C4584" w14:textId="77777777" w:rsidR="00831C1F" w:rsidRDefault="00831C1F" w:rsidP="009479E5">
      <w:pPr>
        <w:jc w:val="both"/>
      </w:pPr>
    </w:p>
    <w:p w14:paraId="1043C407" w14:textId="00C7E95C" w:rsidR="00831C1F" w:rsidRDefault="00831C1F" w:rsidP="009479E5">
      <w:pPr>
        <w:jc w:val="both"/>
      </w:pPr>
      <w:r w:rsidRPr="00332DF2">
        <w:t xml:space="preserve">Den, der indsender personoplysninger, har ret til at gøre indsigelse, berigtige, slette, få indsigt i og begrænse behandlingen og kan trække samtykke til behandling tilbage. I så fald er det ikke sikkert, at høringssvaret kan indgå i høringsnotatet. Det er muligt at klage til Datatilsynet over </w:t>
      </w:r>
      <w:r>
        <w:t>Miljø</w:t>
      </w:r>
      <w:r w:rsidRPr="00332DF2">
        <w:t>ministeriets behandling af personoplysninger.</w:t>
      </w:r>
    </w:p>
    <w:p w14:paraId="4F090B34" w14:textId="13E831E6" w:rsidR="00857AE1" w:rsidRDefault="00857AE1" w:rsidP="009479E5">
      <w:pPr>
        <w:jc w:val="both"/>
      </w:pPr>
    </w:p>
    <w:p w14:paraId="28FFB27E" w14:textId="77777777" w:rsidR="00857AE1" w:rsidRDefault="00857AE1" w:rsidP="009479E5">
      <w:pPr>
        <w:jc w:val="both"/>
      </w:pPr>
      <w:r>
        <w:t>Den ændrede bekendtgørelse forventes at træde i kraft den 1. j</w:t>
      </w:r>
      <w:r w:rsidR="005028B8">
        <w:t>uli</w:t>
      </w:r>
      <w:r>
        <w:t xml:space="preserve"> 2021. </w:t>
      </w:r>
    </w:p>
    <w:p w14:paraId="1BF03E5A" w14:textId="70F0ACCE" w:rsidR="00857AE1" w:rsidRDefault="00857AE1" w:rsidP="009479E5">
      <w:pPr>
        <w:jc w:val="both"/>
      </w:pPr>
    </w:p>
    <w:p w14:paraId="6A94B2DF" w14:textId="78340CAC" w:rsidR="00857AE1" w:rsidRDefault="00857AE1" w:rsidP="009479E5">
      <w:pPr>
        <w:jc w:val="both"/>
      </w:pPr>
      <w:r>
        <w:t>Eventuelle spørgsmål til bekendtgørelsesudkastet kan rettes til Julia Brandt-Jensen</w:t>
      </w:r>
      <w:r w:rsidR="0011054C">
        <w:t xml:space="preserve"> på  e-mail til </w:t>
      </w:r>
      <w:hyperlink r:id="rId8" w:history="1">
        <w:r w:rsidR="0011054C" w:rsidRPr="00A43547">
          <w:rPr>
            <w:rStyle w:val="Hyperlink"/>
          </w:rPr>
          <w:t>jubra@mfvm.dk</w:t>
        </w:r>
      </w:hyperlink>
      <w:r w:rsidR="0011054C">
        <w:t xml:space="preserve"> og telefonnummer </w:t>
      </w:r>
      <w:r w:rsidR="0011054C" w:rsidRPr="0011054C">
        <w:t>38 14 21 42</w:t>
      </w:r>
      <w:r>
        <w:t>.</w:t>
      </w:r>
    </w:p>
    <w:p w14:paraId="659F0D58" w14:textId="77777777" w:rsidR="00857AE1" w:rsidRDefault="00857AE1" w:rsidP="009479E5">
      <w:pPr>
        <w:jc w:val="both"/>
      </w:pPr>
    </w:p>
    <w:p w14:paraId="21CFDE3C" w14:textId="77777777" w:rsidR="000551D0" w:rsidRDefault="000551D0" w:rsidP="009479E5">
      <w:pPr>
        <w:jc w:val="both"/>
      </w:pPr>
    </w:p>
    <w:p w14:paraId="3E8D618A" w14:textId="77777777" w:rsidR="00857AE1" w:rsidRDefault="00857AE1" w:rsidP="009479E5">
      <w:pPr>
        <w:jc w:val="both"/>
      </w:pPr>
      <w:r>
        <w:t>Med venlig hilsen</w:t>
      </w:r>
    </w:p>
    <w:p w14:paraId="50E3B862" w14:textId="77777777" w:rsidR="00857AE1" w:rsidRDefault="00857AE1" w:rsidP="009479E5">
      <w:pPr>
        <w:jc w:val="both"/>
      </w:pPr>
      <w:r>
        <w:t>Julia Brandt-Jensen</w:t>
      </w:r>
    </w:p>
    <w:p w14:paraId="4B256BDB" w14:textId="77777777" w:rsidR="00857AE1" w:rsidRDefault="00857AE1" w:rsidP="009479E5">
      <w:pPr>
        <w:jc w:val="both"/>
      </w:pPr>
      <w:r>
        <w:br w:type="page"/>
      </w:r>
    </w:p>
    <w:p w14:paraId="57DB2E1B" w14:textId="77777777" w:rsidR="003E71E4" w:rsidRDefault="003E71E4" w:rsidP="009479E5">
      <w:pPr>
        <w:pStyle w:val="Default"/>
        <w:jc w:val="both"/>
      </w:pPr>
    </w:p>
    <w:p w14:paraId="0E84B5BA" w14:textId="5A56BFF2" w:rsidR="003E71E4" w:rsidRPr="00D17FD4" w:rsidRDefault="003E71E4" w:rsidP="009479E5">
      <w:pPr>
        <w:pStyle w:val="Opstilling-talellerbogst"/>
        <w:jc w:val="both"/>
        <w:rPr>
          <w:b/>
        </w:rPr>
      </w:pPr>
      <w:r w:rsidRPr="00D17FD4">
        <w:rPr>
          <w:b/>
        </w:rPr>
        <w:t xml:space="preserve">Generelt </w:t>
      </w:r>
    </w:p>
    <w:p w14:paraId="61C9B928" w14:textId="1CC78412" w:rsidR="001A012D" w:rsidRDefault="001A012D" w:rsidP="009479E5">
      <w:pPr>
        <w:pStyle w:val="Default"/>
        <w:jc w:val="both"/>
        <w:rPr>
          <w:b/>
          <w:bCs/>
          <w:sz w:val="20"/>
          <w:szCs w:val="20"/>
        </w:rPr>
      </w:pPr>
    </w:p>
    <w:p w14:paraId="70FFA3F7" w14:textId="43348FAC" w:rsidR="00636AA1" w:rsidRDefault="00636AA1" w:rsidP="009479E5">
      <w:pPr>
        <w:pStyle w:val="Default"/>
        <w:jc w:val="both"/>
        <w:rPr>
          <w:bCs/>
          <w:sz w:val="20"/>
          <w:szCs w:val="20"/>
        </w:rPr>
      </w:pPr>
      <w:r w:rsidRPr="00636AA1">
        <w:rPr>
          <w:bCs/>
          <w:sz w:val="20"/>
          <w:szCs w:val="20"/>
        </w:rPr>
        <w:t xml:space="preserve">Udkast til ny </w:t>
      </w:r>
      <w:r>
        <w:rPr>
          <w:bCs/>
          <w:sz w:val="20"/>
          <w:szCs w:val="20"/>
        </w:rPr>
        <w:t>CITES-</w:t>
      </w:r>
      <w:r w:rsidRPr="00636AA1">
        <w:rPr>
          <w:bCs/>
          <w:sz w:val="20"/>
          <w:szCs w:val="20"/>
        </w:rPr>
        <w:t>bekendtgørelse skal med ikrafttræden den 1. j</w:t>
      </w:r>
      <w:r>
        <w:rPr>
          <w:bCs/>
          <w:sz w:val="20"/>
          <w:szCs w:val="20"/>
        </w:rPr>
        <w:t>uli</w:t>
      </w:r>
      <w:r w:rsidRPr="00636AA1">
        <w:rPr>
          <w:bCs/>
          <w:sz w:val="20"/>
          <w:szCs w:val="20"/>
        </w:rPr>
        <w:t xml:space="preserve"> 2021 erstatte den gældende </w:t>
      </w:r>
      <w:r>
        <w:rPr>
          <w:bCs/>
          <w:sz w:val="20"/>
          <w:szCs w:val="20"/>
        </w:rPr>
        <w:t>CITES-</w:t>
      </w:r>
      <w:r w:rsidRPr="00636AA1">
        <w:rPr>
          <w:bCs/>
          <w:sz w:val="20"/>
          <w:szCs w:val="20"/>
        </w:rPr>
        <w:t xml:space="preserve">bekendtgørelse. </w:t>
      </w:r>
    </w:p>
    <w:p w14:paraId="4672F6C5" w14:textId="77777777" w:rsidR="009D3CEE" w:rsidRDefault="009D3CEE" w:rsidP="009479E5">
      <w:pPr>
        <w:pStyle w:val="Default"/>
        <w:jc w:val="both"/>
        <w:rPr>
          <w:bCs/>
          <w:sz w:val="20"/>
          <w:szCs w:val="20"/>
        </w:rPr>
      </w:pPr>
    </w:p>
    <w:p w14:paraId="68F0DA55" w14:textId="77777777" w:rsidR="002B1AFA" w:rsidRDefault="009D3CEE" w:rsidP="009479E5">
      <w:pPr>
        <w:pStyle w:val="Default"/>
        <w:jc w:val="both"/>
        <w:rPr>
          <w:bCs/>
          <w:sz w:val="20"/>
          <w:szCs w:val="20"/>
        </w:rPr>
      </w:pPr>
      <w:r w:rsidRPr="009D3CEE">
        <w:rPr>
          <w:bCs/>
          <w:sz w:val="20"/>
          <w:szCs w:val="20"/>
        </w:rPr>
        <w:t>CITES er en international aftale som gennem et tilladelsessystem regulerer og kontrollerer international handel med truede dyr og planter for at sikre</w:t>
      </w:r>
      <w:r>
        <w:rPr>
          <w:bCs/>
          <w:sz w:val="20"/>
          <w:szCs w:val="20"/>
        </w:rPr>
        <w:t>,</w:t>
      </w:r>
      <w:r w:rsidRPr="009D3CEE">
        <w:rPr>
          <w:bCs/>
          <w:sz w:val="20"/>
          <w:szCs w:val="20"/>
        </w:rPr>
        <w:t xml:space="preserve"> at handlen ikke får negativ indflydelse på deres udbredelse og bestandsstørrelse. Danmark tiltrådte CITES 24. oktober 1977. I dag omfatter konventionens regler omkring 5800 dyrearter og ca. 30.000 plantearter. CITES omfatter kontrol og regulering af handel med dyr og planter. Dette sker via et tilladelsessystem, hvor al transport over internationale grænser kræver en tilladelse.</w:t>
      </w:r>
      <w:r w:rsidR="002B1AFA">
        <w:rPr>
          <w:bCs/>
          <w:sz w:val="20"/>
          <w:szCs w:val="20"/>
        </w:rPr>
        <w:t xml:space="preserve"> </w:t>
      </w:r>
    </w:p>
    <w:p w14:paraId="5EA1911D" w14:textId="77777777" w:rsidR="002B1AFA" w:rsidRDefault="002B1AFA" w:rsidP="009479E5">
      <w:pPr>
        <w:pStyle w:val="Default"/>
        <w:jc w:val="both"/>
        <w:rPr>
          <w:bCs/>
          <w:sz w:val="20"/>
          <w:szCs w:val="20"/>
        </w:rPr>
      </w:pPr>
    </w:p>
    <w:p w14:paraId="6D072D15" w14:textId="0FC12E87" w:rsidR="009B5D45" w:rsidRDefault="009D3CEE" w:rsidP="009479E5">
      <w:pPr>
        <w:pStyle w:val="Default"/>
        <w:jc w:val="both"/>
        <w:rPr>
          <w:b/>
          <w:bCs/>
          <w:sz w:val="20"/>
          <w:szCs w:val="20"/>
        </w:rPr>
      </w:pPr>
      <w:r>
        <w:rPr>
          <w:bCs/>
          <w:sz w:val="20"/>
          <w:szCs w:val="20"/>
        </w:rPr>
        <w:t>CITES-b</w:t>
      </w:r>
      <w:r w:rsidRPr="00636AA1">
        <w:rPr>
          <w:bCs/>
          <w:sz w:val="20"/>
          <w:szCs w:val="20"/>
        </w:rPr>
        <w:t xml:space="preserve">ekendtgørelsen </w:t>
      </w:r>
      <w:r>
        <w:rPr>
          <w:bCs/>
          <w:sz w:val="20"/>
          <w:szCs w:val="20"/>
        </w:rPr>
        <w:t xml:space="preserve">fastsætter regler for </w:t>
      </w:r>
      <w:r w:rsidRPr="00636AA1">
        <w:rPr>
          <w:bCs/>
          <w:sz w:val="20"/>
          <w:szCs w:val="20"/>
        </w:rPr>
        <w:t>importtilladelse</w:t>
      </w:r>
      <w:r w:rsidR="006C032B">
        <w:rPr>
          <w:bCs/>
          <w:sz w:val="20"/>
          <w:szCs w:val="20"/>
        </w:rPr>
        <w:t>r</w:t>
      </w:r>
      <w:r w:rsidRPr="00636AA1">
        <w:rPr>
          <w:bCs/>
          <w:sz w:val="20"/>
          <w:szCs w:val="20"/>
        </w:rPr>
        <w:t>, eksporttilladelse</w:t>
      </w:r>
      <w:r w:rsidR="006C032B">
        <w:rPr>
          <w:bCs/>
          <w:sz w:val="20"/>
          <w:szCs w:val="20"/>
        </w:rPr>
        <w:t>r</w:t>
      </w:r>
      <w:r w:rsidRPr="00636AA1">
        <w:rPr>
          <w:bCs/>
          <w:sz w:val="20"/>
          <w:szCs w:val="20"/>
        </w:rPr>
        <w:t>, reeksporttilladelse</w:t>
      </w:r>
      <w:r w:rsidR="006C032B">
        <w:rPr>
          <w:bCs/>
          <w:sz w:val="20"/>
          <w:szCs w:val="20"/>
        </w:rPr>
        <w:t>r</w:t>
      </w:r>
      <w:r w:rsidRPr="00636AA1">
        <w:rPr>
          <w:bCs/>
          <w:sz w:val="20"/>
          <w:szCs w:val="20"/>
        </w:rPr>
        <w:t>, certifikat</w:t>
      </w:r>
      <w:r w:rsidR="006C032B">
        <w:rPr>
          <w:bCs/>
          <w:sz w:val="20"/>
          <w:szCs w:val="20"/>
        </w:rPr>
        <w:t>er</w:t>
      </w:r>
      <w:r w:rsidRPr="00636AA1">
        <w:rPr>
          <w:bCs/>
          <w:sz w:val="20"/>
          <w:szCs w:val="20"/>
        </w:rPr>
        <w:t>, importmeddelelse</w:t>
      </w:r>
      <w:r w:rsidR="006C032B">
        <w:rPr>
          <w:bCs/>
          <w:sz w:val="20"/>
          <w:szCs w:val="20"/>
        </w:rPr>
        <w:t xml:space="preserve">r </w:t>
      </w:r>
      <w:r w:rsidRPr="00636AA1">
        <w:rPr>
          <w:bCs/>
          <w:sz w:val="20"/>
          <w:szCs w:val="20"/>
        </w:rPr>
        <w:t>og plantesundhedscertifikat</w:t>
      </w:r>
      <w:r w:rsidR="006C032B">
        <w:rPr>
          <w:bCs/>
          <w:sz w:val="20"/>
          <w:szCs w:val="20"/>
        </w:rPr>
        <w:t>er vedrørende dyr, levende planter og plantedele samt ikkelevende planter og plantedele omfattet af r</w:t>
      </w:r>
      <w:r w:rsidR="006C032B" w:rsidRPr="006C032B">
        <w:rPr>
          <w:bCs/>
          <w:sz w:val="20"/>
          <w:szCs w:val="20"/>
        </w:rPr>
        <w:t>ådets forordning 338/97/EF af 9. december 1996 om beskyttelse af vilde dyr og planter ved kontrol af handelen hermed og de hertil knyttede til enhver tid g</w:t>
      </w:r>
      <w:r w:rsidR="006C032B">
        <w:rPr>
          <w:bCs/>
          <w:sz w:val="20"/>
          <w:szCs w:val="20"/>
        </w:rPr>
        <w:t>ældende kommissionsforordninger</w:t>
      </w:r>
      <w:r>
        <w:rPr>
          <w:bCs/>
          <w:sz w:val="20"/>
          <w:szCs w:val="20"/>
        </w:rPr>
        <w:t>.</w:t>
      </w:r>
    </w:p>
    <w:p w14:paraId="540B2186" w14:textId="77777777" w:rsidR="009D3CEE" w:rsidRDefault="009D3CEE" w:rsidP="009479E5">
      <w:pPr>
        <w:pStyle w:val="Default"/>
        <w:jc w:val="both"/>
        <w:rPr>
          <w:rFonts w:cs="Times New Roman"/>
          <w:color w:val="auto"/>
          <w:sz w:val="20"/>
          <w:szCs w:val="20"/>
        </w:rPr>
      </w:pPr>
    </w:p>
    <w:p w14:paraId="4E24916D" w14:textId="77777777" w:rsidR="00392984" w:rsidRDefault="00F10D60" w:rsidP="009479E5">
      <w:pPr>
        <w:pStyle w:val="Default"/>
        <w:jc w:val="both"/>
        <w:rPr>
          <w:rFonts w:cs="Times New Roman"/>
          <w:color w:val="auto"/>
          <w:sz w:val="20"/>
          <w:szCs w:val="20"/>
        </w:rPr>
      </w:pPr>
      <w:r w:rsidRPr="00F10D60">
        <w:rPr>
          <w:rFonts w:cs="Times New Roman"/>
          <w:color w:val="auto"/>
          <w:sz w:val="20"/>
          <w:szCs w:val="20"/>
        </w:rPr>
        <w:t xml:space="preserve">Størstedelen af bekendtgørelsen er en genudstedelse. </w:t>
      </w:r>
    </w:p>
    <w:p w14:paraId="39FC480B" w14:textId="77777777" w:rsidR="00392984" w:rsidRDefault="00392984" w:rsidP="009479E5">
      <w:pPr>
        <w:pStyle w:val="Default"/>
        <w:jc w:val="both"/>
        <w:rPr>
          <w:rFonts w:cs="Times New Roman"/>
          <w:color w:val="auto"/>
          <w:sz w:val="20"/>
          <w:szCs w:val="20"/>
        </w:rPr>
      </w:pPr>
    </w:p>
    <w:p w14:paraId="62B92AE0" w14:textId="22B6E402" w:rsidR="009479E5" w:rsidRDefault="009479E5" w:rsidP="009479E5">
      <w:pPr>
        <w:jc w:val="both"/>
      </w:pPr>
      <w:r>
        <w:t xml:space="preserve">Det foreslås med bekendtgørelsesudkastet, at der indsættes en præciserende anvendelsesbestemmelse i bekendtgørelsens § 1, stk. 1. </w:t>
      </w:r>
    </w:p>
    <w:p w14:paraId="145E0E76" w14:textId="77777777" w:rsidR="009479E5" w:rsidRDefault="009479E5" w:rsidP="009479E5">
      <w:pPr>
        <w:jc w:val="both"/>
      </w:pPr>
    </w:p>
    <w:p w14:paraId="0C1AAF03" w14:textId="4E92EBBD" w:rsidR="0028206C" w:rsidRDefault="009479E5" w:rsidP="009479E5">
      <w:pPr>
        <w:jc w:val="both"/>
      </w:pPr>
      <w:r>
        <w:t>Det foreslås endvidere</w:t>
      </w:r>
      <w:r w:rsidR="00392984">
        <w:t xml:space="preserve">, at bekendtgørelsens § </w:t>
      </w:r>
      <w:r w:rsidR="00466D6E">
        <w:t xml:space="preserve">3, stk. 3, </w:t>
      </w:r>
      <w:r w:rsidR="0028206C">
        <w:t xml:space="preserve">som omhandler </w:t>
      </w:r>
      <w:r w:rsidR="0028206C" w:rsidRPr="009215E6">
        <w:t>arts- og individbestemmelse</w:t>
      </w:r>
      <w:r w:rsidR="0028206C">
        <w:t xml:space="preserve"> i tvivlstilfælde</w:t>
      </w:r>
      <w:r w:rsidR="008A1B0B">
        <w:t>,</w:t>
      </w:r>
      <w:r w:rsidR="0028206C">
        <w:t xml:space="preserve"> ændres med henblik på at præcisere, at hhv. Miljøstyrelsen eller Landbrugsstyrelsen i denne situation fastlægger</w:t>
      </w:r>
      <w:r w:rsidR="0028206C" w:rsidRPr="0028206C">
        <w:t>, på hvilken måde arts- og individbestemmelse skal ske</w:t>
      </w:r>
      <w:r w:rsidR="0028206C">
        <w:t xml:space="preserve">. </w:t>
      </w:r>
    </w:p>
    <w:p w14:paraId="56B9CE65" w14:textId="77777777" w:rsidR="0028206C" w:rsidRDefault="0028206C" w:rsidP="009479E5">
      <w:pPr>
        <w:jc w:val="both"/>
      </w:pPr>
    </w:p>
    <w:p w14:paraId="352E2E3F" w14:textId="441F124A" w:rsidR="00392984" w:rsidRDefault="0028206C" w:rsidP="009479E5">
      <w:pPr>
        <w:jc w:val="both"/>
      </w:pPr>
      <w:r>
        <w:t xml:space="preserve">Derudover foreslås det, at § </w:t>
      </w:r>
      <w:r w:rsidR="00392984">
        <w:t>5, som vedrører indførsel og udførsel af levende planter og plantedele, der er omfattet af forordningerne, ændres med henblik på at harmonisere kravene</w:t>
      </w:r>
      <w:r w:rsidR="003F04E6">
        <w:t xml:space="preserve"> i </w:t>
      </w:r>
      <w:r w:rsidR="00375311">
        <w:t>CITES-</w:t>
      </w:r>
      <w:r w:rsidR="003F04E6">
        <w:t>bekendtgørelsen med de indførsels</w:t>
      </w:r>
      <w:r w:rsidR="00392984">
        <w:t>krav, der gælder efter plantesundhedsreglerne</w:t>
      </w:r>
      <w:r w:rsidR="00BE1B5B">
        <w:t xml:space="preserve"> </w:t>
      </w:r>
      <w:r w:rsidR="00BE1B5B" w:rsidRPr="004C63C5">
        <w:t>i bekendtgørelse om import, transit og omladning af sendinger af</w:t>
      </w:r>
      <w:r w:rsidR="00BE1B5B">
        <w:t xml:space="preserve"> planter og planteprodukter m.v</w:t>
      </w:r>
      <w:r w:rsidR="00392984">
        <w:t xml:space="preserve">. </w:t>
      </w:r>
    </w:p>
    <w:p w14:paraId="4F519568" w14:textId="77777777" w:rsidR="00392984" w:rsidRDefault="00392984" w:rsidP="009479E5">
      <w:pPr>
        <w:jc w:val="both"/>
      </w:pPr>
    </w:p>
    <w:p w14:paraId="1B41DFC7" w14:textId="37611DBE" w:rsidR="009B5D45" w:rsidRDefault="009479E5" w:rsidP="009479E5">
      <w:pPr>
        <w:pStyle w:val="Default"/>
        <w:jc w:val="both"/>
        <w:rPr>
          <w:rFonts w:cs="Times New Roman"/>
          <w:color w:val="auto"/>
          <w:sz w:val="20"/>
          <w:szCs w:val="20"/>
        </w:rPr>
      </w:pPr>
      <w:r>
        <w:rPr>
          <w:rFonts w:cs="Times New Roman"/>
          <w:color w:val="auto"/>
          <w:sz w:val="20"/>
          <w:szCs w:val="20"/>
        </w:rPr>
        <w:t xml:space="preserve">Endelig </w:t>
      </w:r>
      <w:r w:rsidR="001E4A0F">
        <w:rPr>
          <w:rFonts w:cs="Times New Roman"/>
          <w:color w:val="auto"/>
          <w:sz w:val="20"/>
          <w:szCs w:val="20"/>
        </w:rPr>
        <w:t>foreslås det</w:t>
      </w:r>
      <w:r w:rsidR="00392984">
        <w:rPr>
          <w:rFonts w:cs="Times New Roman"/>
          <w:color w:val="auto"/>
          <w:sz w:val="20"/>
          <w:szCs w:val="20"/>
        </w:rPr>
        <w:t xml:space="preserve"> </w:t>
      </w:r>
      <w:r w:rsidR="001E4A0F" w:rsidRPr="001E4A0F">
        <w:rPr>
          <w:rFonts w:cs="Times New Roman"/>
          <w:color w:val="auto"/>
          <w:sz w:val="20"/>
          <w:szCs w:val="20"/>
          <w:u w:val="single"/>
        </w:rPr>
        <w:t>dels</w:t>
      </w:r>
      <w:r w:rsidR="001E4A0F">
        <w:rPr>
          <w:rFonts w:cs="Times New Roman"/>
          <w:color w:val="auto"/>
          <w:sz w:val="20"/>
          <w:szCs w:val="20"/>
        </w:rPr>
        <w:t>, at der indføres krav</w:t>
      </w:r>
      <w:r w:rsidR="00F10D60">
        <w:rPr>
          <w:rFonts w:cs="Times New Roman"/>
          <w:color w:val="auto"/>
          <w:sz w:val="20"/>
          <w:szCs w:val="20"/>
        </w:rPr>
        <w:t xml:space="preserve"> om</w:t>
      </w:r>
      <w:r w:rsidR="00736BC6">
        <w:rPr>
          <w:rFonts w:cs="Times New Roman"/>
          <w:color w:val="auto"/>
          <w:sz w:val="20"/>
          <w:szCs w:val="20"/>
        </w:rPr>
        <w:t xml:space="preserve"> </w:t>
      </w:r>
      <w:r w:rsidR="00F10D60">
        <w:rPr>
          <w:rFonts w:cs="Times New Roman"/>
          <w:color w:val="auto"/>
          <w:sz w:val="20"/>
          <w:szCs w:val="20"/>
        </w:rPr>
        <w:t xml:space="preserve">obligatorisk digital ansøgning </w:t>
      </w:r>
      <w:r w:rsidR="00A5224C" w:rsidRPr="00A5224C">
        <w:rPr>
          <w:rFonts w:cs="Times New Roman"/>
          <w:color w:val="auto"/>
          <w:sz w:val="20"/>
          <w:szCs w:val="20"/>
        </w:rPr>
        <w:t>for så vidt angår enheder af dyr og ikke-levende planter og plantedele omfattet af CITES-konventionen, jf. CITES-bekendtgørelsens § 2</w:t>
      </w:r>
      <w:r w:rsidR="001E4A0F">
        <w:rPr>
          <w:rFonts w:cs="Times New Roman"/>
          <w:color w:val="auto"/>
          <w:sz w:val="20"/>
          <w:szCs w:val="20"/>
        </w:rPr>
        <w:t xml:space="preserve">, </w:t>
      </w:r>
      <w:r w:rsidR="001E4A0F" w:rsidRPr="001E4A0F">
        <w:rPr>
          <w:rFonts w:cs="Times New Roman"/>
          <w:color w:val="auto"/>
          <w:sz w:val="20"/>
          <w:szCs w:val="20"/>
          <w:u w:val="single"/>
        </w:rPr>
        <w:t>dels</w:t>
      </w:r>
      <w:r w:rsidR="00A5224C" w:rsidRPr="00A5224C">
        <w:rPr>
          <w:rFonts w:cs="Times New Roman"/>
          <w:color w:val="auto"/>
          <w:sz w:val="20"/>
          <w:szCs w:val="20"/>
        </w:rPr>
        <w:t xml:space="preserve"> </w:t>
      </w:r>
      <w:r w:rsidR="001E4A0F">
        <w:rPr>
          <w:rFonts w:cs="Times New Roman"/>
          <w:color w:val="auto"/>
          <w:sz w:val="20"/>
          <w:szCs w:val="20"/>
        </w:rPr>
        <w:t xml:space="preserve">at der indføres </w:t>
      </w:r>
      <w:r w:rsidR="00F10D60">
        <w:rPr>
          <w:rFonts w:cs="Times New Roman"/>
          <w:color w:val="auto"/>
          <w:sz w:val="20"/>
          <w:szCs w:val="20"/>
        </w:rPr>
        <w:t xml:space="preserve">gebyrordning for behandling af </w:t>
      </w:r>
      <w:r w:rsidR="00A5224C">
        <w:rPr>
          <w:rFonts w:cs="Times New Roman"/>
          <w:color w:val="auto"/>
          <w:sz w:val="20"/>
          <w:szCs w:val="20"/>
        </w:rPr>
        <w:t xml:space="preserve">de førnævnte </w:t>
      </w:r>
      <w:r w:rsidR="00F10D60">
        <w:rPr>
          <w:rFonts w:cs="Times New Roman"/>
          <w:color w:val="auto"/>
          <w:sz w:val="20"/>
          <w:szCs w:val="20"/>
        </w:rPr>
        <w:t xml:space="preserve">ansøgninger med krav om </w:t>
      </w:r>
      <w:r w:rsidR="00A5224C">
        <w:rPr>
          <w:rFonts w:cs="Times New Roman"/>
          <w:color w:val="auto"/>
          <w:sz w:val="20"/>
          <w:szCs w:val="20"/>
        </w:rPr>
        <w:t>elektronisk</w:t>
      </w:r>
      <w:r w:rsidR="002B1AFA">
        <w:rPr>
          <w:rFonts w:cs="Times New Roman"/>
          <w:color w:val="auto"/>
          <w:sz w:val="20"/>
          <w:szCs w:val="20"/>
        </w:rPr>
        <w:t xml:space="preserve"> betaling. </w:t>
      </w:r>
      <w:r w:rsidR="00F366D5">
        <w:rPr>
          <w:rFonts w:cs="Times New Roman"/>
          <w:color w:val="auto"/>
          <w:sz w:val="20"/>
          <w:szCs w:val="20"/>
        </w:rPr>
        <w:t>Bekendtgørelsesudkastet indeholder også</w:t>
      </w:r>
      <w:r w:rsidR="008A279F">
        <w:rPr>
          <w:rFonts w:cs="Times New Roman"/>
          <w:color w:val="auto"/>
          <w:sz w:val="20"/>
          <w:szCs w:val="20"/>
        </w:rPr>
        <w:t xml:space="preserve"> særskilte overgangsbestemmelser</w:t>
      </w:r>
      <w:r w:rsidR="00F366D5">
        <w:rPr>
          <w:rFonts w:cs="Times New Roman"/>
          <w:color w:val="auto"/>
          <w:sz w:val="20"/>
          <w:szCs w:val="20"/>
        </w:rPr>
        <w:t xml:space="preserve"> som følge af de førnævnte regelændringer</w:t>
      </w:r>
      <w:r w:rsidR="008A279F">
        <w:rPr>
          <w:rFonts w:cs="Times New Roman"/>
          <w:color w:val="auto"/>
          <w:sz w:val="20"/>
          <w:szCs w:val="20"/>
        </w:rPr>
        <w:t xml:space="preserve">. </w:t>
      </w:r>
      <w:r w:rsidR="00EA69E9" w:rsidRPr="00081E9E">
        <w:rPr>
          <w:rFonts w:cs="Times New Roman"/>
          <w:color w:val="auto"/>
          <w:sz w:val="20"/>
          <w:szCs w:val="20"/>
        </w:rPr>
        <w:t xml:space="preserve">Det vurderes, at de nye krav </w:t>
      </w:r>
      <w:r w:rsidR="00EA69E9">
        <w:rPr>
          <w:rFonts w:cs="Times New Roman"/>
          <w:color w:val="auto"/>
          <w:sz w:val="20"/>
          <w:szCs w:val="20"/>
        </w:rPr>
        <w:t xml:space="preserve">om obligatorisk digital ansøgning </w:t>
      </w:r>
      <w:r w:rsidR="00EA69E9" w:rsidRPr="00081E9E">
        <w:rPr>
          <w:rFonts w:cs="Times New Roman"/>
          <w:color w:val="auto"/>
          <w:sz w:val="20"/>
          <w:szCs w:val="20"/>
        </w:rPr>
        <w:t>er i overensstemmelse med den fællesoffentlige digitaliseringsstrategi for 2016-2020 "Et stærkere og mere trygt digitalt samfund".</w:t>
      </w:r>
    </w:p>
    <w:p w14:paraId="686E2311" w14:textId="4EBD7818" w:rsidR="00F10D60" w:rsidRDefault="00F10D60" w:rsidP="009479E5">
      <w:pPr>
        <w:pStyle w:val="Default"/>
        <w:jc w:val="both"/>
        <w:rPr>
          <w:rFonts w:cs="Times New Roman"/>
          <w:color w:val="auto"/>
          <w:sz w:val="20"/>
          <w:szCs w:val="20"/>
        </w:rPr>
      </w:pPr>
    </w:p>
    <w:p w14:paraId="24B31AE3" w14:textId="74E458DA" w:rsidR="00081E9E" w:rsidRDefault="00F10D60" w:rsidP="009479E5">
      <w:pPr>
        <w:pStyle w:val="Default"/>
        <w:jc w:val="both"/>
        <w:rPr>
          <w:rFonts w:cs="Times New Roman"/>
          <w:color w:val="auto"/>
          <w:sz w:val="20"/>
          <w:szCs w:val="20"/>
        </w:rPr>
      </w:pPr>
      <w:r>
        <w:rPr>
          <w:rFonts w:cs="Times New Roman"/>
          <w:color w:val="auto"/>
          <w:sz w:val="20"/>
          <w:szCs w:val="20"/>
        </w:rPr>
        <w:t>De</w:t>
      </w:r>
      <w:r w:rsidR="00736BC6">
        <w:rPr>
          <w:rFonts w:cs="Times New Roman"/>
          <w:color w:val="auto"/>
          <w:sz w:val="20"/>
          <w:szCs w:val="20"/>
        </w:rPr>
        <w:t xml:space="preserve"> nye regler har hjemmel i</w:t>
      </w:r>
      <w:r w:rsidR="00C16AA7">
        <w:rPr>
          <w:rFonts w:cs="Times New Roman"/>
          <w:color w:val="auto"/>
          <w:sz w:val="20"/>
          <w:szCs w:val="20"/>
        </w:rPr>
        <w:t xml:space="preserve"> naturbeskyttelseslovens </w:t>
      </w:r>
      <w:r w:rsidR="0028206C">
        <w:rPr>
          <w:rFonts w:cs="Times New Roman"/>
          <w:color w:val="auto"/>
          <w:sz w:val="20"/>
          <w:szCs w:val="20"/>
        </w:rPr>
        <w:t>§</w:t>
      </w:r>
      <w:r w:rsidR="00784CD9">
        <w:rPr>
          <w:rFonts w:cs="Times New Roman"/>
          <w:color w:val="auto"/>
          <w:sz w:val="20"/>
          <w:szCs w:val="20"/>
        </w:rPr>
        <w:t xml:space="preserve"> 71, stk. 3</w:t>
      </w:r>
      <w:r w:rsidR="00EA69E9">
        <w:rPr>
          <w:rFonts w:cs="Times New Roman"/>
          <w:color w:val="auto"/>
          <w:sz w:val="20"/>
          <w:szCs w:val="20"/>
        </w:rPr>
        <w:t>,</w:t>
      </w:r>
      <w:r w:rsidR="0028206C">
        <w:rPr>
          <w:rFonts w:cs="Times New Roman"/>
          <w:color w:val="auto"/>
          <w:sz w:val="20"/>
          <w:szCs w:val="20"/>
        </w:rPr>
        <w:t xml:space="preserve"> samt </w:t>
      </w:r>
      <w:r w:rsidR="00C16AA7">
        <w:rPr>
          <w:rFonts w:cs="Times New Roman"/>
          <w:color w:val="auto"/>
          <w:sz w:val="20"/>
          <w:szCs w:val="20"/>
        </w:rPr>
        <w:t>§ 70 a</w:t>
      </w:r>
      <w:r w:rsidR="00F366D5">
        <w:rPr>
          <w:rFonts w:cs="Times New Roman"/>
          <w:color w:val="auto"/>
          <w:sz w:val="20"/>
          <w:szCs w:val="20"/>
        </w:rPr>
        <w:t xml:space="preserve"> og § 72, stk.</w:t>
      </w:r>
      <w:r w:rsidR="002F61FA">
        <w:rPr>
          <w:rFonts w:cs="Times New Roman"/>
          <w:color w:val="auto"/>
          <w:sz w:val="20"/>
          <w:szCs w:val="20"/>
        </w:rPr>
        <w:t xml:space="preserve"> 1 og</w:t>
      </w:r>
      <w:r w:rsidR="00F366D5">
        <w:rPr>
          <w:rFonts w:cs="Times New Roman"/>
          <w:color w:val="auto"/>
          <w:sz w:val="20"/>
          <w:szCs w:val="20"/>
        </w:rPr>
        <w:t xml:space="preserve"> 2</w:t>
      </w:r>
      <w:r w:rsidR="00C16AA7">
        <w:rPr>
          <w:rFonts w:cs="Times New Roman"/>
          <w:color w:val="auto"/>
          <w:sz w:val="20"/>
          <w:szCs w:val="20"/>
        </w:rPr>
        <w:t xml:space="preserve">, </w:t>
      </w:r>
      <w:r w:rsidR="00736BC6">
        <w:rPr>
          <w:rFonts w:cs="Times New Roman"/>
          <w:color w:val="auto"/>
          <w:sz w:val="20"/>
          <w:szCs w:val="20"/>
        </w:rPr>
        <w:t>således som bestemmelse</w:t>
      </w:r>
      <w:r w:rsidR="00F366D5">
        <w:rPr>
          <w:rFonts w:cs="Times New Roman"/>
          <w:color w:val="auto"/>
          <w:sz w:val="20"/>
          <w:szCs w:val="20"/>
        </w:rPr>
        <w:t>rne</w:t>
      </w:r>
      <w:r w:rsidR="00736BC6">
        <w:rPr>
          <w:rFonts w:cs="Times New Roman"/>
          <w:color w:val="auto"/>
          <w:sz w:val="20"/>
          <w:szCs w:val="20"/>
        </w:rPr>
        <w:t xml:space="preserve"> foreslås formuleret med f</w:t>
      </w:r>
      <w:r w:rsidR="00C16AA7" w:rsidRPr="00C16AA7">
        <w:rPr>
          <w:rFonts w:cs="Times New Roman"/>
          <w:color w:val="auto"/>
          <w:sz w:val="20"/>
          <w:szCs w:val="20"/>
        </w:rPr>
        <w:t>orslag</w:t>
      </w:r>
      <w:r w:rsidR="00C16AA7">
        <w:rPr>
          <w:rFonts w:cs="Times New Roman"/>
          <w:color w:val="auto"/>
          <w:sz w:val="20"/>
          <w:szCs w:val="20"/>
        </w:rPr>
        <w:t xml:space="preserve"> </w:t>
      </w:r>
      <w:r w:rsidR="00C16AA7" w:rsidRPr="00C16AA7">
        <w:rPr>
          <w:rFonts w:cs="Times New Roman"/>
          <w:color w:val="auto"/>
          <w:sz w:val="20"/>
          <w:szCs w:val="20"/>
        </w:rPr>
        <w:t>til</w:t>
      </w:r>
      <w:r w:rsidR="00C16AA7">
        <w:rPr>
          <w:rFonts w:cs="Times New Roman"/>
          <w:color w:val="auto"/>
          <w:sz w:val="20"/>
          <w:szCs w:val="20"/>
        </w:rPr>
        <w:t xml:space="preserve"> </w:t>
      </w:r>
      <w:r w:rsidR="00736BC6">
        <w:rPr>
          <w:rFonts w:cs="Times New Roman"/>
          <w:color w:val="auto"/>
          <w:sz w:val="20"/>
          <w:szCs w:val="20"/>
        </w:rPr>
        <w:t>l</w:t>
      </w:r>
      <w:r w:rsidR="00C16AA7" w:rsidRPr="00C16AA7">
        <w:rPr>
          <w:rFonts w:cs="Times New Roman"/>
          <w:color w:val="auto"/>
          <w:sz w:val="20"/>
          <w:szCs w:val="20"/>
        </w:rPr>
        <w:t>ov om ændring af lov om naturbeskyttelse</w:t>
      </w:r>
      <w:r w:rsidR="00736BC6">
        <w:rPr>
          <w:rFonts w:cs="Times New Roman"/>
          <w:color w:val="auto"/>
          <w:sz w:val="20"/>
          <w:szCs w:val="20"/>
        </w:rPr>
        <w:t xml:space="preserve"> </w:t>
      </w:r>
      <w:r w:rsidR="00C16AA7" w:rsidRPr="00C16AA7">
        <w:rPr>
          <w:rFonts w:cs="Times New Roman"/>
          <w:color w:val="auto"/>
          <w:sz w:val="20"/>
          <w:szCs w:val="20"/>
        </w:rPr>
        <w:t>(Obligatorisk digital kommunikation m.v.)</w:t>
      </w:r>
      <w:r w:rsidR="00736BC6">
        <w:rPr>
          <w:rFonts w:cs="Times New Roman"/>
          <w:color w:val="auto"/>
          <w:sz w:val="20"/>
          <w:szCs w:val="20"/>
        </w:rPr>
        <w:t xml:space="preserve">. Lovforslaget har været i offentlig høring i perioden </w:t>
      </w:r>
      <w:r w:rsidR="00001C44">
        <w:rPr>
          <w:rFonts w:cs="Times New Roman"/>
          <w:color w:val="auto"/>
          <w:sz w:val="20"/>
          <w:szCs w:val="20"/>
        </w:rPr>
        <w:t>15. januar til 12. februar 2021</w:t>
      </w:r>
      <w:r w:rsidR="00736BC6">
        <w:rPr>
          <w:rFonts w:cs="Times New Roman"/>
          <w:color w:val="auto"/>
          <w:sz w:val="20"/>
          <w:szCs w:val="20"/>
        </w:rPr>
        <w:t xml:space="preserve"> og forventes fremsat </w:t>
      </w:r>
      <w:r w:rsidR="001E4A0F" w:rsidRPr="0028206C">
        <w:rPr>
          <w:rFonts w:cs="Times New Roman"/>
          <w:color w:val="auto"/>
          <w:sz w:val="20"/>
          <w:szCs w:val="20"/>
        </w:rPr>
        <w:t>i april 2021 med henblik på ikrafttrædelse den 1. juli 2021</w:t>
      </w:r>
      <w:r w:rsidR="00736BC6" w:rsidRPr="0028206C">
        <w:rPr>
          <w:rFonts w:cs="Times New Roman"/>
          <w:color w:val="auto"/>
          <w:sz w:val="20"/>
          <w:szCs w:val="20"/>
        </w:rPr>
        <w:t>.</w:t>
      </w:r>
      <w:r w:rsidR="00736BC6">
        <w:rPr>
          <w:rFonts w:cs="Times New Roman"/>
          <w:color w:val="auto"/>
          <w:sz w:val="20"/>
          <w:szCs w:val="20"/>
        </w:rPr>
        <w:t xml:space="preserve"> </w:t>
      </w:r>
    </w:p>
    <w:p w14:paraId="2677F5E5" w14:textId="0FF43159" w:rsidR="00F10D60" w:rsidRPr="00F10D60" w:rsidRDefault="00F10D60" w:rsidP="009479E5">
      <w:pPr>
        <w:pStyle w:val="Default"/>
        <w:jc w:val="both"/>
      </w:pPr>
    </w:p>
    <w:p w14:paraId="20AC87E5" w14:textId="6E0B1549" w:rsidR="009479E5" w:rsidRDefault="009479E5" w:rsidP="009479E5">
      <w:pPr>
        <w:pStyle w:val="Opstilling-talellerbogst"/>
        <w:jc w:val="both"/>
        <w:rPr>
          <w:b/>
        </w:rPr>
      </w:pPr>
      <w:r>
        <w:rPr>
          <w:b/>
        </w:rPr>
        <w:t>Anvendelsesbestemmelse (§ 1, stk. 1)</w:t>
      </w:r>
    </w:p>
    <w:p w14:paraId="43A58B86" w14:textId="77777777" w:rsidR="009479E5" w:rsidRDefault="009479E5" w:rsidP="009479E5">
      <w:pPr>
        <w:jc w:val="both"/>
      </w:pPr>
      <w:r>
        <w:lastRenderedPageBreak/>
        <w:t xml:space="preserve">Det foreslås, at der indsættes en præciserende anvendelsesbestemmelse med henblik på at tydeliggøre, at bekendtgørelsen omhandler </w:t>
      </w:r>
      <w:r w:rsidRPr="009479E5">
        <w:t>handel med vilde dyr og pla</w:t>
      </w:r>
      <w:r>
        <w:t>nter omfattet af Rådets forordning 338/97/EF</w:t>
      </w:r>
      <w:r w:rsidRPr="009479E5">
        <w:t xml:space="preserve"> af 9. december 1996 om beskyttelse af vilde dyr og planter ved kontrol af handelen hermed og de hertil knyttede til enhver tid gældende kommissionsforordninger.</w:t>
      </w:r>
      <w:r>
        <w:t xml:space="preserve"> </w:t>
      </w:r>
    </w:p>
    <w:p w14:paraId="132DF120" w14:textId="77777777" w:rsidR="009479E5" w:rsidRDefault="009479E5" w:rsidP="009479E5">
      <w:pPr>
        <w:jc w:val="both"/>
      </w:pPr>
    </w:p>
    <w:p w14:paraId="3A3C849C" w14:textId="471D7791" w:rsidR="009479E5" w:rsidRDefault="009479E5" w:rsidP="009479E5">
      <w:pPr>
        <w:jc w:val="both"/>
      </w:pPr>
      <w:r>
        <w:t xml:space="preserve">Bekendtgørelsen indeholder </w:t>
      </w:r>
      <w:r w:rsidR="00342B82">
        <w:t xml:space="preserve">således </w:t>
      </w:r>
      <w:r>
        <w:t xml:space="preserve">alene supplerende bestemmelser, som har til formål at sikre, at de medlemsstatsforpligtelser, der følger af forordningerne, iagttages. </w:t>
      </w:r>
    </w:p>
    <w:p w14:paraId="70454ABB" w14:textId="77777777" w:rsidR="009479E5" w:rsidRDefault="009479E5" w:rsidP="009479E5">
      <w:pPr>
        <w:jc w:val="both"/>
      </w:pPr>
    </w:p>
    <w:p w14:paraId="0E7F9E14" w14:textId="2EA8E6D7" w:rsidR="0028206C" w:rsidRDefault="00EA69E9" w:rsidP="009479E5">
      <w:pPr>
        <w:pStyle w:val="Opstilling-talellerbogst"/>
        <w:jc w:val="both"/>
        <w:rPr>
          <w:b/>
        </w:rPr>
      </w:pPr>
      <w:r>
        <w:rPr>
          <w:b/>
        </w:rPr>
        <w:t>A</w:t>
      </w:r>
      <w:r w:rsidRPr="00EA69E9">
        <w:rPr>
          <w:b/>
        </w:rPr>
        <w:t>rts- og individbestemmelse i tvivlstilfælde</w:t>
      </w:r>
      <w:r>
        <w:rPr>
          <w:b/>
        </w:rPr>
        <w:t xml:space="preserve"> (§ 3</w:t>
      </w:r>
      <w:r w:rsidR="00466D6E">
        <w:rPr>
          <w:b/>
        </w:rPr>
        <w:t>, stk. 3</w:t>
      </w:r>
      <w:r>
        <w:rPr>
          <w:b/>
        </w:rPr>
        <w:t>)</w:t>
      </w:r>
    </w:p>
    <w:p w14:paraId="63FA7506" w14:textId="4DF5B037" w:rsidR="00EA69E9" w:rsidRDefault="00EA69E9" w:rsidP="009479E5">
      <w:pPr>
        <w:jc w:val="both"/>
      </w:pPr>
    </w:p>
    <w:p w14:paraId="15DA23AC" w14:textId="77777777" w:rsidR="00466D6E" w:rsidRDefault="00D25D52" w:rsidP="009479E5">
      <w:pPr>
        <w:jc w:val="both"/>
      </w:pPr>
      <w:r>
        <w:t>Det foreslås med udkastet, at bekendtgørelsens § 3,</w:t>
      </w:r>
      <w:r w:rsidR="00466D6E">
        <w:t xml:space="preserve"> stk. 3,</w:t>
      </w:r>
      <w:r>
        <w:t xml:space="preserve"> som omhandler </w:t>
      </w:r>
      <w:r w:rsidRPr="009215E6">
        <w:t>arts- og individbestemmelse</w:t>
      </w:r>
      <w:r>
        <w:t xml:space="preserve"> i tvivlstilfælde</w:t>
      </w:r>
      <w:r w:rsidR="00466D6E">
        <w:t>,</w:t>
      </w:r>
      <w:r>
        <w:t xml:space="preserve"> </w:t>
      </w:r>
      <w:r w:rsidR="00466D6E">
        <w:t xml:space="preserve">udvides til også at omfatte individbestemmelse. </w:t>
      </w:r>
    </w:p>
    <w:p w14:paraId="1E9EC511" w14:textId="77777777" w:rsidR="00466D6E" w:rsidRDefault="00466D6E" w:rsidP="009479E5">
      <w:pPr>
        <w:jc w:val="both"/>
      </w:pPr>
    </w:p>
    <w:p w14:paraId="6CD567D1" w14:textId="1E1F0956" w:rsidR="00466D6E" w:rsidRDefault="00466D6E" w:rsidP="009479E5">
      <w:pPr>
        <w:jc w:val="both"/>
      </w:pPr>
      <w:r>
        <w:t>Det specificeres endvidere, at det er Miljøstyrelsen eller Landbrugsstyrelsen, der beslutter, hvilke metode til individbestemmelse, der skal anvendes, f.eks. om det skal udtages prøver til DNA analyser.</w:t>
      </w:r>
    </w:p>
    <w:p w14:paraId="24C5CF5B" w14:textId="3EAB838D" w:rsidR="00466D6E" w:rsidRDefault="00466D6E" w:rsidP="009479E5">
      <w:pPr>
        <w:jc w:val="both"/>
      </w:pPr>
      <w:r>
        <w:t xml:space="preserve">Den foreslåede ændring er begrundet i styrelsernes behov for at kunne foretage eller lade foretage undersøgelser, der går videre end artsbestemmelse med henblik på at identificere enheden til individniveau. Det kan f.eks. være med henblik på at kunne bestemme fra, hvilket geografisk område en enhed stammer. </w:t>
      </w:r>
    </w:p>
    <w:p w14:paraId="0F261961" w14:textId="77777777" w:rsidR="00EA69E9" w:rsidRDefault="00EA69E9" w:rsidP="009479E5">
      <w:pPr>
        <w:pStyle w:val="Opstilling-talellerbogst"/>
        <w:numPr>
          <w:ilvl w:val="0"/>
          <w:numId w:val="0"/>
        </w:numPr>
        <w:ind w:left="454" w:hanging="454"/>
        <w:jc w:val="both"/>
        <w:rPr>
          <w:b/>
        </w:rPr>
      </w:pPr>
    </w:p>
    <w:p w14:paraId="56B78043" w14:textId="66315B12" w:rsidR="00992A98" w:rsidRDefault="00992A98" w:rsidP="009479E5">
      <w:pPr>
        <w:pStyle w:val="Opstilling-talellerbogst"/>
        <w:jc w:val="both"/>
        <w:rPr>
          <w:b/>
        </w:rPr>
      </w:pPr>
      <w:r>
        <w:rPr>
          <w:b/>
        </w:rPr>
        <w:t xml:space="preserve">Indførsel og udførsel af </w:t>
      </w:r>
      <w:r w:rsidRPr="00992A98">
        <w:rPr>
          <w:b/>
        </w:rPr>
        <w:t>levende planter og plantedele, der er omfattet af forordningerne</w:t>
      </w:r>
      <w:r>
        <w:rPr>
          <w:b/>
        </w:rPr>
        <w:t xml:space="preserve"> (§5)</w:t>
      </w:r>
    </w:p>
    <w:p w14:paraId="66055AA2" w14:textId="77777777" w:rsidR="00835796" w:rsidRDefault="00835796" w:rsidP="009479E5">
      <w:pPr>
        <w:pStyle w:val="Opstilling-talellerbogst"/>
        <w:numPr>
          <w:ilvl w:val="0"/>
          <w:numId w:val="0"/>
        </w:numPr>
        <w:jc w:val="both"/>
      </w:pPr>
    </w:p>
    <w:p w14:paraId="40065C67" w14:textId="1AF9074C" w:rsidR="00835796" w:rsidRDefault="00835796" w:rsidP="009479E5">
      <w:pPr>
        <w:pStyle w:val="Opstilling-talellerbogst"/>
        <w:numPr>
          <w:ilvl w:val="0"/>
          <w:numId w:val="0"/>
        </w:numPr>
        <w:jc w:val="both"/>
      </w:pPr>
      <w:r>
        <w:t>Med bekendtgørelse</w:t>
      </w:r>
      <w:r w:rsidR="008C46E2" w:rsidRPr="008C46E2">
        <w:t>s</w:t>
      </w:r>
      <w:r>
        <w:t>udkastets</w:t>
      </w:r>
      <w:r w:rsidR="008C46E2" w:rsidRPr="008C46E2">
        <w:t xml:space="preserve"> § 5, stk. 1</w:t>
      </w:r>
      <w:r w:rsidR="00EA69E9">
        <w:t>,</w:t>
      </w:r>
      <w:r>
        <w:t xml:space="preserve"> foreslås det, at reglerne om i</w:t>
      </w:r>
      <w:r w:rsidR="003F04E6">
        <w:t xml:space="preserve">ndførsel </w:t>
      </w:r>
      <w:r w:rsidRPr="00835796">
        <w:t xml:space="preserve">af levende planter og plantedele, der er omfattet af forordningerne, </w:t>
      </w:r>
      <w:r>
        <w:t>ændres</w:t>
      </w:r>
      <w:r w:rsidR="00DE154F">
        <w:t xml:space="preserve">, således at det fremadrettet følger, at indførsel </w:t>
      </w:r>
      <w:r w:rsidRPr="00835796">
        <w:t>skal ske i overensstemmelse med reglerne i bekendtgørelse om import, transit og omladning af sendinger af planter og planteprodukter m.v.</w:t>
      </w:r>
    </w:p>
    <w:p w14:paraId="5FE383F3" w14:textId="4B35CE3C" w:rsidR="00835796" w:rsidRDefault="00835796" w:rsidP="009479E5">
      <w:pPr>
        <w:pStyle w:val="Opstilling-talellerbogst"/>
        <w:numPr>
          <w:ilvl w:val="0"/>
          <w:numId w:val="0"/>
        </w:numPr>
        <w:jc w:val="both"/>
      </w:pPr>
      <w:r>
        <w:br/>
        <w:t>Ændringen</w:t>
      </w:r>
      <w:r w:rsidR="00467FC7">
        <w:t xml:space="preserve"> af stk. 1,</w:t>
      </w:r>
      <w:r>
        <w:t xml:space="preserve"> har til formål at bringe</w:t>
      </w:r>
      <w:r w:rsidR="008C46E2" w:rsidRPr="008C46E2">
        <w:t xml:space="preserve"> reglerne om importkontrolsteder og om forhåndsanmeldelse af </w:t>
      </w:r>
      <w:r w:rsidR="003F04E6">
        <w:t>indførsel</w:t>
      </w:r>
      <w:r w:rsidR="008C46E2" w:rsidRPr="008C46E2">
        <w:t xml:space="preserve"> af levende planter og plantedele i overensstemmelse med de plantesundhedskrav, der gælder ved indførsel af levende planter og levende plantedele, og som allerede er specificeret i bekendtgørelse om import, transit og omladning af sendinger af planter og planteprodukter m.v. </w:t>
      </w:r>
    </w:p>
    <w:p w14:paraId="1C3A81E1" w14:textId="739FE899" w:rsidR="00835796" w:rsidRDefault="00835796" w:rsidP="009479E5">
      <w:pPr>
        <w:pStyle w:val="Opstilling-talellerbogst"/>
        <w:numPr>
          <w:ilvl w:val="0"/>
          <w:numId w:val="0"/>
        </w:numPr>
        <w:jc w:val="both"/>
      </w:pPr>
    </w:p>
    <w:p w14:paraId="58AB17F6" w14:textId="2BCC83A6" w:rsidR="00835796" w:rsidRDefault="00835796" w:rsidP="009479E5">
      <w:pPr>
        <w:pStyle w:val="Opstilling-talellerbogst"/>
        <w:numPr>
          <w:ilvl w:val="0"/>
          <w:numId w:val="0"/>
        </w:numPr>
        <w:jc w:val="both"/>
      </w:pPr>
      <w:r>
        <w:t xml:space="preserve">De nærmere regler om indførsel er i dag reguleret i § 7, i </w:t>
      </w:r>
      <w:r w:rsidRPr="00835796">
        <w:t>bekendtgørelse om import, transit og omladning af sendinger af planter og planteprodukter m.v.</w:t>
      </w:r>
    </w:p>
    <w:p w14:paraId="5FE34FCB" w14:textId="18FA1100" w:rsidR="00467FC7" w:rsidRDefault="00467FC7" w:rsidP="009479E5">
      <w:pPr>
        <w:pStyle w:val="Opstilling-talellerbogst"/>
        <w:numPr>
          <w:ilvl w:val="0"/>
          <w:numId w:val="0"/>
        </w:numPr>
        <w:jc w:val="both"/>
      </w:pPr>
    </w:p>
    <w:p w14:paraId="4C6AF036" w14:textId="6B72BABA" w:rsidR="00467FC7" w:rsidRDefault="00467FC7" w:rsidP="009479E5">
      <w:pPr>
        <w:pStyle w:val="Opstilling-talellerbogst"/>
        <w:numPr>
          <w:ilvl w:val="0"/>
          <w:numId w:val="0"/>
        </w:numPr>
        <w:jc w:val="both"/>
      </w:pPr>
      <w:r>
        <w:t xml:space="preserve">Bestemmelsens formulering og henvisning til </w:t>
      </w:r>
      <w:r w:rsidRPr="00835796">
        <w:t>bekendtgørelse om import, transit og omladning af sendinger af planter og planteprodukter m.v.</w:t>
      </w:r>
      <w:r>
        <w:t xml:space="preserve"> har til formål at undgå dobbeltregulering. </w:t>
      </w:r>
    </w:p>
    <w:p w14:paraId="711032AB" w14:textId="77777777" w:rsidR="00EA69E9" w:rsidRDefault="00EA69E9" w:rsidP="009479E5">
      <w:pPr>
        <w:pStyle w:val="Opstilling-talellerbogst"/>
        <w:numPr>
          <w:ilvl w:val="0"/>
          <w:numId w:val="0"/>
        </w:numPr>
        <w:jc w:val="both"/>
      </w:pPr>
    </w:p>
    <w:p w14:paraId="2D997A83" w14:textId="4F101AD4" w:rsidR="00EA69E9" w:rsidRDefault="00467FC7" w:rsidP="009479E5">
      <w:pPr>
        <w:pStyle w:val="Opstilling-talellerbogst"/>
        <w:numPr>
          <w:ilvl w:val="0"/>
          <w:numId w:val="0"/>
        </w:numPr>
        <w:jc w:val="both"/>
      </w:pPr>
      <w:r>
        <w:t>Med bekendtgørelse</w:t>
      </w:r>
      <w:r w:rsidR="008C46E2" w:rsidRPr="008C46E2">
        <w:t>s</w:t>
      </w:r>
      <w:r>
        <w:t>udkastets § 5, stk. 2,</w:t>
      </w:r>
      <w:r w:rsidR="008C46E2" w:rsidRPr="008C46E2">
        <w:t xml:space="preserve"> præciseres det, at der ikke gælder særlige regler for anvendelse af grænsekontrolsteder i forbindelse med eksport af levende planter og plantedele. </w:t>
      </w:r>
    </w:p>
    <w:p w14:paraId="37E22709" w14:textId="77777777" w:rsidR="0068042A" w:rsidRDefault="0068042A" w:rsidP="009479E5">
      <w:pPr>
        <w:pStyle w:val="Opstilling-talellerbogst"/>
        <w:numPr>
          <w:ilvl w:val="0"/>
          <w:numId w:val="0"/>
        </w:numPr>
        <w:jc w:val="both"/>
      </w:pPr>
    </w:p>
    <w:p w14:paraId="29AA0551" w14:textId="0FE2648D" w:rsidR="00EA69E9" w:rsidRDefault="00120B6D" w:rsidP="009479E5">
      <w:pPr>
        <w:pStyle w:val="Opstilling-talellerbogst"/>
        <w:numPr>
          <w:ilvl w:val="0"/>
          <w:numId w:val="0"/>
        </w:numPr>
        <w:jc w:val="both"/>
      </w:pPr>
      <w:r>
        <w:lastRenderedPageBreak/>
        <w:t xml:space="preserve">De foreslåede regler i § 5, </w:t>
      </w:r>
      <w:r w:rsidR="0068042A">
        <w:t xml:space="preserve">om </w:t>
      </w:r>
      <w:r>
        <w:t xml:space="preserve">hhv. </w:t>
      </w:r>
      <w:r w:rsidR="00F74B64">
        <w:t>indførsel og udførsel</w:t>
      </w:r>
      <w:r w:rsidR="0068042A">
        <w:t xml:space="preserve"> af </w:t>
      </w:r>
      <w:r w:rsidR="0068042A" w:rsidRPr="00835796">
        <w:t>levende planter og plantedele, der er omfattet af forordningerne</w:t>
      </w:r>
      <w:r w:rsidR="0068042A">
        <w:t>, fastsættes i CITES-bekendtgørelsen med hjemmel i naturbeskyttelseslovens § 30, stk. 1.</w:t>
      </w:r>
    </w:p>
    <w:p w14:paraId="23232138" w14:textId="77777777" w:rsidR="0068042A" w:rsidRDefault="0068042A" w:rsidP="009479E5">
      <w:pPr>
        <w:pStyle w:val="Opstilling-talellerbogst"/>
        <w:numPr>
          <w:ilvl w:val="0"/>
          <w:numId w:val="0"/>
        </w:numPr>
        <w:jc w:val="both"/>
      </w:pPr>
    </w:p>
    <w:p w14:paraId="634B913A" w14:textId="09EB10D2" w:rsidR="00992A98" w:rsidRPr="00992A98" w:rsidRDefault="008C46E2" w:rsidP="009479E5">
      <w:pPr>
        <w:pStyle w:val="Opstilling-talellerbogst"/>
        <w:numPr>
          <w:ilvl w:val="0"/>
          <w:numId w:val="0"/>
        </w:numPr>
        <w:jc w:val="both"/>
      </w:pPr>
      <w:r w:rsidRPr="008C46E2">
        <w:t>Det bemærkes, at Landbrugsstyrelsen er ressortmyndighed for levende planter og plantedele, såvel i forhold til CITES</w:t>
      </w:r>
      <w:r w:rsidR="00120B6D">
        <w:t>-</w:t>
      </w:r>
      <w:r w:rsidRPr="008C46E2">
        <w:t>bestemmelserne, som i relation til plantesundhedsreglerne.</w:t>
      </w:r>
    </w:p>
    <w:p w14:paraId="53CA2551" w14:textId="77777777" w:rsidR="00992A98" w:rsidRDefault="00992A98" w:rsidP="009479E5">
      <w:pPr>
        <w:pStyle w:val="Opstilling-talellerbogst"/>
        <w:numPr>
          <w:ilvl w:val="0"/>
          <w:numId w:val="0"/>
        </w:numPr>
        <w:jc w:val="both"/>
        <w:rPr>
          <w:b/>
        </w:rPr>
      </w:pPr>
    </w:p>
    <w:p w14:paraId="373B636B" w14:textId="31D515F1" w:rsidR="001A012D" w:rsidRDefault="00D62B8B" w:rsidP="009479E5">
      <w:pPr>
        <w:pStyle w:val="Opstilling-talellerbogst"/>
        <w:jc w:val="both"/>
        <w:rPr>
          <w:b/>
        </w:rPr>
      </w:pPr>
      <w:r w:rsidRPr="00D17FD4">
        <w:rPr>
          <w:b/>
        </w:rPr>
        <w:t>Krav om obligatorisk digital ansøgning om tilladelse og certifikater (</w:t>
      </w:r>
      <w:r w:rsidR="001A012D" w:rsidRPr="00D17FD4">
        <w:rPr>
          <w:b/>
        </w:rPr>
        <w:t>§ 9</w:t>
      </w:r>
      <w:r w:rsidRPr="00D17FD4">
        <w:rPr>
          <w:b/>
        </w:rPr>
        <w:t>)</w:t>
      </w:r>
    </w:p>
    <w:p w14:paraId="23A0F2C4" w14:textId="77777777" w:rsidR="007F3596" w:rsidRDefault="007F3596" w:rsidP="009479E5">
      <w:pPr>
        <w:pStyle w:val="Opstilling-talellerbogst"/>
        <w:numPr>
          <w:ilvl w:val="0"/>
          <w:numId w:val="0"/>
        </w:numPr>
        <w:ind w:left="454"/>
        <w:jc w:val="both"/>
        <w:rPr>
          <w:b/>
        </w:rPr>
      </w:pPr>
    </w:p>
    <w:p w14:paraId="71A72015" w14:textId="1AAAE55F" w:rsidR="007F3596" w:rsidRPr="00D17FD4" w:rsidRDefault="007F3596" w:rsidP="009479E5">
      <w:pPr>
        <w:pStyle w:val="Opstilling-talellerbogst"/>
        <w:numPr>
          <w:ilvl w:val="1"/>
          <w:numId w:val="6"/>
        </w:numPr>
        <w:jc w:val="both"/>
        <w:rPr>
          <w:b/>
        </w:rPr>
      </w:pPr>
      <w:r>
        <w:rPr>
          <w:b/>
        </w:rPr>
        <w:t>Hovedregel om obligatorisk digital ansøgning</w:t>
      </w:r>
    </w:p>
    <w:p w14:paraId="31470A4E" w14:textId="17920372" w:rsidR="008A279F" w:rsidRDefault="008A279F" w:rsidP="009479E5">
      <w:pPr>
        <w:pStyle w:val="Default"/>
        <w:jc w:val="both"/>
        <w:rPr>
          <w:b/>
          <w:bCs/>
          <w:sz w:val="20"/>
          <w:szCs w:val="20"/>
        </w:rPr>
      </w:pPr>
    </w:p>
    <w:p w14:paraId="78FDFE24" w14:textId="22690687" w:rsidR="00A56CE8" w:rsidRDefault="008A279F" w:rsidP="009479E5">
      <w:pPr>
        <w:pStyle w:val="Default"/>
        <w:jc w:val="both"/>
        <w:rPr>
          <w:bCs/>
          <w:sz w:val="20"/>
          <w:szCs w:val="20"/>
        </w:rPr>
      </w:pPr>
      <w:r>
        <w:rPr>
          <w:bCs/>
          <w:sz w:val="20"/>
          <w:szCs w:val="20"/>
        </w:rPr>
        <w:t>Med § 9</w:t>
      </w:r>
      <w:r w:rsidR="003203F6">
        <w:rPr>
          <w:bCs/>
          <w:sz w:val="20"/>
          <w:szCs w:val="20"/>
        </w:rPr>
        <w:t>, stk. 1,</w:t>
      </w:r>
      <w:r>
        <w:rPr>
          <w:bCs/>
          <w:sz w:val="20"/>
          <w:szCs w:val="20"/>
        </w:rPr>
        <w:t xml:space="preserve"> i bekendtgørelsesudkastet </w:t>
      </w:r>
      <w:r w:rsidR="00A56CE8">
        <w:rPr>
          <w:bCs/>
          <w:sz w:val="20"/>
          <w:szCs w:val="20"/>
        </w:rPr>
        <w:t>foreslås det, at a</w:t>
      </w:r>
      <w:r w:rsidR="00A56CE8" w:rsidRPr="00A56CE8">
        <w:rPr>
          <w:bCs/>
          <w:sz w:val="20"/>
          <w:szCs w:val="20"/>
        </w:rPr>
        <w:t>nsøgning om tilladelser og certifikater for så vidt angår enheder af dyr og ikke-levende planter og plantedele, jf. § 2, skal ske digitalt ved anvendelse af Miljøstyrelsens ansøgningsmodul p</w:t>
      </w:r>
      <w:r w:rsidR="00697E16">
        <w:rPr>
          <w:bCs/>
          <w:sz w:val="20"/>
          <w:szCs w:val="20"/>
        </w:rPr>
        <w:t xml:space="preserve">å </w:t>
      </w:r>
      <w:r w:rsidR="001E4A0F">
        <w:rPr>
          <w:bCs/>
          <w:sz w:val="20"/>
          <w:szCs w:val="20"/>
        </w:rPr>
        <w:t xml:space="preserve">styrelsens </w:t>
      </w:r>
      <w:r w:rsidR="00697E16">
        <w:rPr>
          <w:bCs/>
          <w:sz w:val="20"/>
          <w:szCs w:val="20"/>
        </w:rPr>
        <w:t>hjemmesi</w:t>
      </w:r>
      <w:r w:rsidR="00BE6D1D">
        <w:rPr>
          <w:bCs/>
          <w:sz w:val="20"/>
          <w:szCs w:val="20"/>
        </w:rPr>
        <w:t>den</w:t>
      </w:r>
      <w:bookmarkStart w:id="0" w:name="_GoBack"/>
      <w:bookmarkEnd w:id="0"/>
      <w:r w:rsidR="00697E16" w:rsidRPr="00835796">
        <w:rPr>
          <w:bCs/>
          <w:sz w:val="20"/>
          <w:szCs w:val="20"/>
        </w:rPr>
        <w:t>.</w:t>
      </w:r>
    </w:p>
    <w:p w14:paraId="2ADB2E90" w14:textId="617192A8" w:rsidR="00697E16" w:rsidRDefault="00697E16" w:rsidP="009479E5">
      <w:pPr>
        <w:pStyle w:val="Default"/>
        <w:jc w:val="both"/>
        <w:rPr>
          <w:bCs/>
          <w:sz w:val="20"/>
          <w:szCs w:val="20"/>
        </w:rPr>
      </w:pPr>
    </w:p>
    <w:p w14:paraId="0FC6F141" w14:textId="391313FF" w:rsidR="00697E16" w:rsidRDefault="00697E16" w:rsidP="009479E5">
      <w:pPr>
        <w:pStyle w:val="Default"/>
        <w:jc w:val="both"/>
        <w:rPr>
          <w:bCs/>
          <w:sz w:val="20"/>
          <w:szCs w:val="20"/>
        </w:rPr>
      </w:pPr>
      <w:r w:rsidRPr="00697E16">
        <w:rPr>
          <w:bCs/>
          <w:sz w:val="20"/>
          <w:szCs w:val="20"/>
        </w:rPr>
        <w:t xml:space="preserve">Digital ansøgning skal </w:t>
      </w:r>
      <w:r>
        <w:rPr>
          <w:bCs/>
          <w:sz w:val="20"/>
          <w:szCs w:val="20"/>
        </w:rPr>
        <w:t xml:space="preserve">herefter </w:t>
      </w:r>
      <w:r w:rsidRPr="00697E16">
        <w:rPr>
          <w:bCs/>
          <w:sz w:val="20"/>
          <w:szCs w:val="20"/>
        </w:rPr>
        <w:t xml:space="preserve">ske ved </w:t>
      </w:r>
      <w:r>
        <w:rPr>
          <w:bCs/>
          <w:sz w:val="20"/>
          <w:szCs w:val="20"/>
        </w:rPr>
        <w:t xml:space="preserve">at </w:t>
      </w:r>
      <w:r w:rsidRPr="00697E16">
        <w:rPr>
          <w:bCs/>
          <w:sz w:val="20"/>
          <w:szCs w:val="20"/>
        </w:rPr>
        <w:t xml:space="preserve">anvende </w:t>
      </w:r>
      <w:r>
        <w:rPr>
          <w:bCs/>
          <w:sz w:val="20"/>
          <w:szCs w:val="20"/>
        </w:rPr>
        <w:t>det eksisterende digitale</w:t>
      </w:r>
      <w:r w:rsidRPr="00697E16">
        <w:rPr>
          <w:bCs/>
          <w:sz w:val="20"/>
          <w:szCs w:val="20"/>
        </w:rPr>
        <w:t xml:space="preserve"> ansøgningsmodul, som Miljøstyrelsen har idriftsat i august 2019, og som i dag kan anvende</w:t>
      </w:r>
      <w:r w:rsidR="002B1AFA">
        <w:rPr>
          <w:bCs/>
          <w:sz w:val="20"/>
          <w:szCs w:val="20"/>
        </w:rPr>
        <w:t>s frivilligt af ansøgerne</w:t>
      </w:r>
      <w:r w:rsidRPr="00697E16">
        <w:rPr>
          <w:bCs/>
          <w:sz w:val="20"/>
          <w:szCs w:val="20"/>
        </w:rPr>
        <w:t>.</w:t>
      </w:r>
    </w:p>
    <w:p w14:paraId="220FBC9E" w14:textId="77777777" w:rsidR="00697E16" w:rsidRPr="00697E16" w:rsidRDefault="00697E16" w:rsidP="009479E5">
      <w:pPr>
        <w:pStyle w:val="Default"/>
        <w:jc w:val="both"/>
        <w:rPr>
          <w:bCs/>
          <w:sz w:val="20"/>
          <w:szCs w:val="20"/>
        </w:rPr>
      </w:pPr>
    </w:p>
    <w:p w14:paraId="38EDB8A3" w14:textId="5EB0140B" w:rsidR="002B1AFA" w:rsidRDefault="005649A4" w:rsidP="009479E5">
      <w:pPr>
        <w:pStyle w:val="Default"/>
        <w:jc w:val="both"/>
        <w:rPr>
          <w:bCs/>
          <w:sz w:val="20"/>
          <w:szCs w:val="20"/>
        </w:rPr>
      </w:pPr>
      <w:r>
        <w:rPr>
          <w:bCs/>
          <w:sz w:val="20"/>
          <w:szCs w:val="20"/>
        </w:rPr>
        <w:t>Ansøgerne</w:t>
      </w:r>
      <w:r w:rsidR="00331015">
        <w:rPr>
          <w:bCs/>
          <w:sz w:val="20"/>
          <w:szCs w:val="20"/>
        </w:rPr>
        <w:t xml:space="preserve"> logger på </w:t>
      </w:r>
      <w:r w:rsidR="00697E16" w:rsidRPr="00697E16">
        <w:rPr>
          <w:bCs/>
          <w:sz w:val="20"/>
          <w:szCs w:val="20"/>
        </w:rPr>
        <w:t xml:space="preserve">ansøgningsmodulet med </w:t>
      </w:r>
      <w:proofErr w:type="spellStart"/>
      <w:r w:rsidR="00697E16" w:rsidRPr="00697E16">
        <w:rPr>
          <w:bCs/>
          <w:sz w:val="20"/>
          <w:szCs w:val="20"/>
        </w:rPr>
        <w:t>NemID</w:t>
      </w:r>
      <w:proofErr w:type="spellEnd"/>
      <w:r w:rsidR="00697E16" w:rsidRPr="00697E16">
        <w:rPr>
          <w:bCs/>
          <w:sz w:val="20"/>
          <w:szCs w:val="20"/>
        </w:rPr>
        <w:t xml:space="preserve">, hvorefter ansøgningen udfyldes og indsendes digitalt. Systemet benytter den eksisterende offentlige digitale infrastruktur, herunder f.eks. opslag i CPR- og CVR-registret. </w:t>
      </w:r>
    </w:p>
    <w:p w14:paraId="0F2EB39E" w14:textId="77777777" w:rsidR="002B1AFA" w:rsidRDefault="002B1AFA" w:rsidP="009479E5">
      <w:pPr>
        <w:pStyle w:val="Default"/>
        <w:jc w:val="both"/>
        <w:rPr>
          <w:bCs/>
          <w:sz w:val="20"/>
          <w:szCs w:val="20"/>
        </w:rPr>
      </w:pPr>
    </w:p>
    <w:p w14:paraId="5E220EDF" w14:textId="44764D30" w:rsidR="00697E16" w:rsidRDefault="002B1AFA" w:rsidP="009479E5">
      <w:pPr>
        <w:pStyle w:val="Default"/>
        <w:jc w:val="both"/>
        <w:rPr>
          <w:bCs/>
          <w:sz w:val="20"/>
          <w:szCs w:val="20"/>
        </w:rPr>
      </w:pPr>
      <w:r>
        <w:rPr>
          <w:bCs/>
          <w:sz w:val="20"/>
          <w:szCs w:val="20"/>
        </w:rPr>
        <w:t>A</w:t>
      </w:r>
      <w:r w:rsidR="00697E16" w:rsidRPr="00697E16">
        <w:rPr>
          <w:bCs/>
          <w:sz w:val="20"/>
          <w:szCs w:val="20"/>
        </w:rPr>
        <w:t>nsøgningsmodulet hjælper ansøger til at sikre, at de relevante oplysninger medsendes og er dermed med til at forenkle og højne kval</w:t>
      </w:r>
      <w:r>
        <w:rPr>
          <w:bCs/>
          <w:sz w:val="20"/>
          <w:szCs w:val="20"/>
        </w:rPr>
        <w:t xml:space="preserve">iteten af sagsbehandlingen. </w:t>
      </w:r>
      <w:r w:rsidR="004F2F70">
        <w:rPr>
          <w:bCs/>
          <w:sz w:val="20"/>
          <w:szCs w:val="20"/>
        </w:rPr>
        <w:t xml:space="preserve">Når en ansøgning er indleveret via ansøgningsmodulet, </w:t>
      </w:r>
      <w:r w:rsidR="00697E16" w:rsidRPr="00697E16">
        <w:rPr>
          <w:bCs/>
          <w:sz w:val="20"/>
          <w:szCs w:val="20"/>
        </w:rPr>
        <w:t xml:space="preserve">oprettes automatisk en sag i </w:t>
      </w:r>
      <w:r w:rsidR="004F2F70">
        <w:rPr>
          <w:bCs/>
          <w:sz w:val="20"/>
          <w:szCs w:val="20"/>
        </w:rPr>
        <w:t>Miljø</w:t>
      </w:r>
      <w:r w:rsidR="00697E16" w:rsidRPr="00697E16">
        <w:rPr>
          <w:bCs/>
          <w:sz w:val="20"/>
          <w:szCs w:val="20"/>
        </w:rPr>
        <w:t xml:space="preserve">styrelsens journaliseringssystem, og kommunikation med ansøger foregår som udgangspunkt via systemet. </w:t>
      </w:r>
    </w:p>
    <w:p w14:paraId="7DF25567" w14:textId="77777777" w:rsidR="00697E16" w:rsidRPr="00697E16" w:rsidRDefault="00697E16" w:rsidP="009479E5">
      <w:pPr>
        <w:pStyle w:val="Default"/>
        <w:jc w:val="both"/>
        <w:rPr>
          <w:bCs/>
          <w:sz w:val="20"/>
          <w:szCs w:val="20"/>
        </w:rPr>
      </w:pPr>
    </w:p>
    <w:p w14:paraId="0403AEEA" w14:textId="5CC5BC78" w:rsidR="00B2140F" w:rsidRDefault="00697E16" w:rsidP="009479E5">
      <w:pPr>
        <w:pStyle w:val="Default"/>
        <w:jc w:val="both"/>
        <w:rPr>
          <w:bCs/>
          <w:sz w:val="20"/>
          <w:szCs w:val="20"/>
        </w:rPr>
      </w:pPr>
      <w:r w:rsidRPr="00697E16">
        <w:rPr>
          <w:bCs/>
          <w:sz w:val="20"/>
          <w:szCs w:val="20"/>
        </w:rPr>
        <w:t>Den foreslåede ændring vil indebære, at de</w:t>
      </w:r>
      <w:r w:rsidR="007328B3">
        <w:rPr>
          <w:bCs/>
          <w:sz w:val="20"/>
          <w:szCs w:val="20"/>
        </w:rPr>
        <w:t>r</w:t>
      </w:r>
      <w:r w:rsidR="004F2F70">
        <w:rPr>
          <w:bCs/>
          <w:sz w:val="20"/>
          <w:szCs w:val="20"/>
        </w:rPr>
        <w:t xml:space="preserve"> som udgangspunkt</w:t>
      </w:r>
      <w:r w:rsidRPr="00697E16">
        <w:rPr>
          <w:bCs/>
          <w:sz w:val="20"/>
          <w:szCs w:val="20"/>
        </w:rPr>
        <w:t xml:space="preserve"> ikke længere </w:t>
      </w:r>
      <w:r w:rsidR="007328B3">
        <w:rPr>
          <w:bCs/>
          <w:sz w:val="20"/>
          <w:szCs w:val="20"/>
        </w:rPr>
        <w:t>kan</w:t>
      </w:r>
      <w:r w:rsidRPr="00697E16">
        <w:rPr>
          <w:bCs/>
          <w:sz w:val="20"/>
          <w:szCs w:val="20"/>
        </w:rPr>
        <w:t xml:space="preserve"> indsende</w:t>
      </w:r>
      <w:r w:rsidR="007328B3">
        <w:rPr>
          <w:bCs/>
          <w:sz w:val="20"/>
          <w:szCs w:val="20"/>
        </w:rPr>
        <w:t>s</w:t>
      </w:r>
      <w:r w:rsidR="00B2140F">
        <w:rPr>
          <w:bCs/>
          <w:sz w:val="20"/>
          <w:szCs w:val="20"/>
        </w:rPr>
        <w:t xml:space="preserve"> ansøgninger om CITES-</w:t>
      </w:r>
      <w:r w:rsidRPr="00697E16">
        <w:rPr>
          <w:bCs/>
          <w:sz w:val="20"/>
          <w:szCs w:val="20"/>
        </w:rPr>
        <w:t xml:space="preserve">certifikater og </w:t>
      </w:r>
      <w:r w:rsidR="00B2140F">
        <w:rPr>
          <w:bCs/>
          <w:sz w:val="20"/>
          <w:szCs w:val="20"/>
        </w:rPr>
        <w:t>-</w:t>
      </w:r>
      <w:r w:rsidRPr="00697E16">
        <w:rPr>
          <w:bCs/>
          <w:sz w:val="20"/>
          <w:szCs w:val="20"/>
        </w:rPr>
        <w:t xml:space="preserve">tilladelser til Miljøstyrelsen med almindelig post eller via e-mail. </w:t>
      </w:r>
    </w:p>
    <w:p w14:paraId="68A14B32" w14:textId="77777777" w:rsidR="006113A8" w:rsidRDefault="006113A8" w:rsidP="009479E5">
      <w:pPr>
        <w:pStyle w:val="Default"/>
        <w:jc w:val="both"/>
        <w:rPr>
          <w:bCs/>
          <w:sz w:val="20"/>
          <w:szCs w:val="20"/>
        </w:rPr>
      </w:pPr>
    </w:p>
    <w:p w14:paraId="32B1867F" w14:textId="1F111579" w:rsidR="007328B3" w:rsidRDefault="00B2140F" w:rsidP="009479E5">
      <w:pPr>
        <w:pStyle w:val="Default"/>
        <w:jc w:val="both"/>
        <w:rPr>
          <w:bCs/>
          <w:sz w:val="20"/>
          <w:szCs w:val="20"/>
        </w:rPr>
      </w:pPr>
      <w:r>
        <w:rPr>
          <w:bCs/>
          <w:sz w:val="20"/>
          <w:szCs w:val="20"/>
        </w:rPr>
        <w:t xml:space="preserve">Øvrig kommunikation til og fra Miljøstyrelsen om forhold omfattet af CITES-bekendtgørelsen ændres ikke </w:t>
      </w:r>
      <w:r w:rsidR="004F2F70">
        <w:rPr>
          <w:bCs/>
          <w:sz w:val="20"/>
          <w:szCs w:val="20"/>
        </w:rPr>
        <w:t xml:space="preserve">med udkastet til bekendtgørelse. Kommunikation vedrørende CITES </w:t>
      </w:r>
      <w:r>
        <w:rPr>
          <w:bCs/>
          <w:sz w:val="20"/>
          <w:szCs w:val="20"/>
        </w:rPr>
        <w:t xml:space="preserve">vil derfor fortsat kunne ske via almindelig post, e-mail, telefonopkald mv. </w:t>
      </w:r>
    </w:p>
    <w:p w14:paraId="562A3829" w14:textId="77777777" w:rsidR="007328B3" w:rsidRDefault="007328B3" w:rsidP="009479E5">
      <w:pPr>
        <w:pStyle w:val="Default"/>
        <w:jc w:val="both"/>
        <w:rPr>
          <w:bCs/>
          <w:sz w:val="20"/>
          <w:szCs w:val="20"/>
        </w:rPr>
      </w:pPr>
    </w:p>
    <w:p w14:paraId="1E73DFDC" w14:textId="3E771166" w:rsidR="007F3596" w:rsidRDefault="007F3596" w:rsidP="009479E5">
      <w:pPr>
        <w:pStyle w:val="Default"/>
        <w:jc w:val="both"/>
        <w:rPr>
          <w:bCs/>
          <w:sz w:val="20"/>
          <w:szCs w:val="20"/>
        </w:rPr>
      </w:pPr>
      <w:r>
        <w:rPr>
          <w:bCs/>
          <w:sz w:val="20"/>
          <w:szCs w:val="20"/>
        </w:rPr>
        <w:t xml:space="preserve">Formålet med at indføre krav om digital ansøgning er bl.a., at det erfaringsmæssigt har været </w:t>
      </w:r>
      <w:r w:rsidRPr="00DC63BB">
        <w:rPr>
          <w:bCs/>
          <w:sz w:val="20"/>
          <w:szCs w:val="20"/>
        </w:rPr>
        <w:t>vanskeligt at få en volumenmæssigt tilfredsstillende andel af ansøgningerne over i det digitale</w:t>
      </w:r>
      <w:r>
        <w:rPr>
          <w:bCs/>
          <w:sz w:val="20"/>
          <w:szCs w:val="20"/>
        </w:rPr>
        <w:t xml:space="preserve"> modul på frivillig basis. Derudover vurderes det, at kravet om digital ansøgning </w:t>
      </w:r>
      <w:r>
        <w:rPr>
          <w:rFonts w:cs="Times New Roman"/>
          <w:color w:val="auto"/>
          <w:sz w:val="20"/>
          <w:szCs w:val="20"/>
        </w:rPr>
        <w:t>understøtter</w:t>
      </w:r>
      <w:r w:rsidRPr="00081E9E">
        <w:rPr>
          <w:rFonts w:cs="Times New Roman"/>
          <w:color w:val="auto"/>
          <w:sz w:val="20"/>
          <w:szCs w:val="20"/>
        </w:rPr>
        <w:t xml:space="preserve"> den fællesoffentlige digitaliseringsstrategi for 2016-2020 "Et stærkere </w:t>
      </w:r>
      <w:r>
        <w:rPr>
          <w:rFonts w:cs="Times New Roman"/>
          <w:color w:val="auto"/>
          <w:sz w:val="20"/>
          <w:szCs w:val="20"/>
        </w:rPr>
        <w:t xml:space="preserve">og mere trygt digitalt samfund", herunder </w:t>
      </w:r>
      <w:r w:rsidRPr="006F1E9D">
        <w:rPr>
          <w:rFonts w:cs="Times New Roman"/>
          <w:color w:val="auto"/>
          <w:sz w:val="20"/>
          <w:szCs w:val="20"/>
        </w:rPr>
        <w:t>målsætning</w:t>
      </w:r>
      <w:r>
        <w:rPr>
          <w:rFonts w:cs="Times New Roman"/>
          <w:color w:val="auto"/>
          <w:sz w:val="20"/>
          <w:szCs w:val="20"/>
        </w:rPr>
        <w:t xml:space="preserve"> </w:t>
      </w:r>
      <w:r w:rsidRPr="006F1E9D">
        <w:rPr>
          <w:rFonts w:cs="Times New Roman"/>
          <w:color w:val="auto"/>
          <w:sz w:val="20"/>
          <w:szCs w:val="20"/>
        </w:rPr>
        <w:t>om, at skriftlig kommunikation mellem virksomheder, borgere og myndigheder skal foregå digitalt</w:t>
      </w:r>
      <w:r>
        <w:rPr>
          <w:rFonts w:cs="Times New Roman"/>
          <w:color w:val="auto"/>
          <w:sz w:val="20"/>
          <w:szCs w:val="20"/>
        </w:rPr>
        <w:t>.</w:t>
      </w:r>
      <w:r w:rsidRPr="000C19E9">
        <w:rPr>
          <w:bCs/>
          <w:sz w:val="20"/>
          <w:szCs w:val="20"/>
        </w:rPr>
        <w:t xml:space="preserve"> </w:t>
      </w:r>
    </w:p>
    <w:p w14:paraId="78E35D9A" w14:textId="0E3F5934" w:rsidR="007F3596" w:rsidRDefault="007F3596" w:rsidP="009479E5">
      <w:pPr>
        <w:pStyle w:val="Default"/>
        <w:jc w:val="both"/>
        <w:rPr>
          <w:bCs/>
          <w:sz w:val="20"/>
          <w:szCs w:val="20"/>
        </w:rPr>
      </w:pPr>
    </w:p>
    <w:p w14:paraId="2F4DD8B0" w14:textId="06E22B8B" w:rsidR="007F3596" w:rsidRPr="007F3596" w:rsidRDefault="007F3596" w:rsidP="009479E5">
      <w:pPr>
        <w:pStyle w:val="Opstilling-talellerbogst"/>
        <w:numPr>
          <w:ilvl w:val="1"/>
          <w:numId w:val="6"/>
        </w:numPr>
        <w:jc w:val="both"/>
        <w:rPr>
          <w:b/>
        </w:rPr>
      </w:pPr>
      <w:r w:rsidRPr="007F3596">
        <w:rPr>
          <w:b/>
        </w:rPr>
        <w:t>Dispensation fra kravet om digital ansøgning</w:t>
      </w:r>
    </w:p>
    <w:p w14:paraId="5E5FAE19" w14:textId="77777777" w:rsidR="007F3596" w:rsidRDefault="007F3596" w:rsidP="009479E5">
      <w:pPr>
        <w:pStyle w:val="Default"/>
        <w:jc w:val="both"/>
        <w:rPr>
          <w:bCs/>
          <w:sz w:val="20"/>
          <w:szCs w:val="20"/>
        </w:rPr>
      </w:pPr>
    </w:p>
    <w:p w14:paraId="34E594F2" w14:textId="11B7683C" w:rsidR="00A67400" w:rsidRDefault="007328B3" w:rsidP="009479E5">
      <w:pPr>
        <w:pStyle w:val="Default"/>
        <w:jc w:val="both"/>
        <w:rPr>
          <w:bCs/>
          <w:sz w:val="20"/>
          <w:szCs w:val="20"/>
        </w:rPr>
      </w:pPr>
      <w:r>
        <w:rPr>
          <w:bCs/>
          <w:sz w:val="20"/>
          <w:szCs w:val="20"/>
        </w:rPr>
        <w:t>Det foreslås, at Miljøstyrelsen under helt særlige omstændigheder kan dispensere fra kravet om digital ansøgning</w:t>
      </w:r>
      <w:r w:rsidR="003203F6">
        <w:rPr>
          <w:bCs/>
          <w:sz w:val="20"/>
          <w:szCs w:val="20"/>
        </w:rPr>
        <w:t>, jf. § 9, stk. 2, i bekendtgørelsesudkastet</w:t>
      </w:r>
      <w:r>
        <w:rPr>
          <w:bCs/>
          <w:sz w:val="20"/>
          <w:szCs w:val="20"/>
        </w:rPr>
        <w:t xml:space="preserve">. </w:t>
      </w:r>
      <w:r w:rsidR="00E927A4">
        <w:rPr>
          <w:bCs/>
          <w:sz w:val="20"/>
          <w:szCs w:val="20"/>
        </w:rPr>
        <w:t>Dispensations</w:t>
      </w:r>
      <w:r>
        <w:rPr>
          <w:bCs/>
          <w:sz w:val="20"/>
          <w:szCs w:val="20"/>
        </w:rPr>
        <w:t xml:space="preserve">bestemmelsen </w:t>
      </w:r>
      <w:r w:rsidR="00F950DD">
        <w:rPr>
          <w:bCs/>
          <w:sz w:val="20"/>
          <w:szCs w:val="20"/>
        </w:rPr>
        <w:t>kan</w:t>
      </w:r>
      <w:r w:rsidRPr="007328B3">
        <w:rPr>
          <w:bCs/>
          <w:sz w:val="20"/>
          <w:szCs w:val="20"/>
        </w:rPr>
        <w:t xml:space="preserve"> </w:t>
      </w:r>
      <w:r>
        <w:rPr>
          <w:bCs/>
          <w:sz w:val="20"/>
          <w:szCs w:val="20"/>
        </w:rPr>
        <w:t xml:space="preserve">f.eks. finde anvendelse ift. </w:t>
      </w:r>
      <w:r w:rsidRPr="007328B3">
        <w:rPr>
          <w:bCs/>
          <w:sz w:val="20"/>
          <w:szCs w:val="20"/>
        </w:rPr>
        <w:t xml:space="preserve">handicappede eller stærkt ordblinde, der ikke kan betjene en computer, eller personer, som bor i dele </w:t>
      </w:r>
      <w:r w:rsidRPr="007328B3">
        <w:rPr>
          <w:bCs/>
          <w:sz w:val="20"/>
          <w:szCs w:val="20"/>
        </w:rPr>
        <w:lastRenderedPageBreak/>
        <w:t>af Danmark, hvor det ikke er teknisk muligt at koble sig på internettet</w:t>
      </w:r>
      <w:r>
        <w:rPr>
          <w:bCs/>
          <w:sz w:val="20"/>
          <w:szCs w:val="20"/>
        </w:rPr>
        <w:t>.</w:t>
      </w:r>
      <w:r w:rsidR="001E3367">
        <w:rPr>
          <w:bCs/>
          <w:sz w:val="20"/>
          <w:szCs w:val="20"/>
        </w:rPr>
        <w:t xml:space="preserve"> </w:t>
      </w:r>
      <w:r>
        <w:rPr>
          <w:bCs/>
          <w:sz w:val="20"/>
          <w:szCs w:val="20"/>
        </w:rPr>
        <w:t xml:space="preserve"> </w:t>
      </w:r>
      <w:r w:rsidR="00A5128C">
        <w:rPr>
          <w:bCs/>
          <w:sz w:val="20"/>
          <w:szCs w:val="20"/>
        </w:rPr>
        <w:t xml:space="preserve">Personer og virksomheder, som er fritaget for kravet om digital post vil også </w:t>
      </w:r>
      <w:r w:rsidR="00A67400">
        <w:rPr>
          <w:bCs/>
          <w:sz w:val="20"/>
          <w:szCs w:val="20"/>
        </w:rPr>
        <w:t>kunne opnå dispensation</w:t>
      </w:r>
      <w:r w:rsidR="00A67400">
        <w:rPr>
          <w:rStyle w:val="Fodnotehenvisning"/>
          <w:bCs/>
          <w:szCs w:val="20"/>
        </w:rPr>
        <w:footnoteReference w:id="1"/>
      </w:r>
      <w:r w:rsidR="00A67400">
        <w:rPr>
          <w:bCs/>
          <w:sz w:val="20"/>
          <w:szCs w:val="20"/>
        </w:rPr>
        <w:t xml:space="preserve">. </w:t>
      </w:r>
    </w:p>
    <w:p w14:paraId="54B44EB7" w14:textId="77777777" w:rsidR="00A67400" w:rsidRDefault="00A67400" w:rsidP="009479E5">
      <w:pPr>
        <w:pStyle w:val="Default"/>
        <w:jc w:val="both"/>
        <w:rPr>
          <w:bCs/>
          <w:sz w:val="20"/>
          <w:szCs w:val="20"/>
        </w:rPr>
      </w:pPr>
    </w:p>
    <w:p w14:paraId="6AD7BDFF" w14:textId="77777777" w:rsidR="00EA69E9" w:rsidRDefault="00E927A4" w:rsidP="009479E5">
      <w:pPr>
        <w:pStyle w:val="Default"/>
        <w:jc w:val="both"/>
        <w:rPr>
          <w:bCs/>
          <w:sz w:val="20"/>
          <w:szCs w:val="20"/>
        </w:rPr>
      </w:pPr>
      <w:r>
        <w:rPr>
          <w:bCs/>
          <w:sz w:val="20"/>
          <w:szCs w:val="20"/>
        </w:rPr>
        <w:t>Dispensations</w:t>
      </w:r>
      <w:r w:rsidR="00F30217">
        <w:rPr>
          <w:bCs/>
          <w:sz w:val="20"/>
          <w:szCs w:val="20"/>
        </w:rPr>
        <w:t xml:space="preserve">bestemmelsen </w:t>
      </w:r>
      <w:r w:rsidR="002F493A">
        <w:rPr>
          <w:bCs/>
          <w:sz w:val="20"/>
          <w:szCs w:val="20"/>
        </w:rPr>
        <w:t>kan</w:t>
      </w:r>
      <w:r w:rsidR="00F30217">
        <w:rPr>
          <w:bCs/>
          <w:sz w:val="20"/>
          <w:szCs w:val="20"/>
        </w:rPr>
        <w:t xml:space="preserve"> </w:t>
      </w:r>
      <w:r w:rsidR="00A67400">
        <w:rPr>
          <w:bCs/>
          <w:sz w:val="20"/>
          <w:szCs w:val="20"/>
        </w:rPr>
        <w:t xml:space="preserve">derimod </w:t>
      </w:r>
      <w:r w:rsidR="002F493A">
        <w:rPr>
          <w:bCs/>
          <w:sz w:val="20"/>
          <w:szCs w:val="20"/>
        </w:rPr>
        <w:t>som</w:t>
      </w:r>
      <w:r w:rsidR="00F30217">
        <w:rPr>
          <w:bCs/>
          <w:sz w:val="20"/>
          <w:szCs w:val="20"/>
        </w:rPr>
        <w:t xml:space="preserve"> udgangspunktet </w:t>
      </w:r>
      <w:r w:rsidR="002F493A">
        <w:rPr>
          <w:bCs/>
          <w:sz w:val="20"/>
          <w:szCs w:val="20"/>
        </w:rPr>
        <w:t xml:space="preserve">ikke </w:t>
      </w:r>
      <w:r w:rsidR="00F30217">
        <w:rPr>
          <w:bCs/>
          <w:sz w:val="20"/>
          <w:szCs w:val="20"/>
        </w:rPr>
        <w:t>anvende</w:t>
      </w:r>
      <w:r w:rsidR="002F493A">
        <w:rPr>
          <w:bCs/>
          <w:sz w:val="20"/>
          <w:szCs w:val="20"/>
        </w:rPr>
        <w:t>s</w:t>
      </w:r>
      <w:r w:rsidR="00F30217">
        <w:rPr>
          <w:bCs/>
          <w:sz w:val="20"/>
          <w:szCs w:val="20"/>
        </w:rPr>
        <w:t xml:space="preserve"> </w:t>
      </w:r>
      <w:r w:rsidR="002F493A">
        <w:rPr>
          <w:bCs/>
          <w:sz w:val="20"/>
          <w:szCs w:val="20"/>
        </w:rPr>
        <w:t>ift.</w:t>
      </w:r>
      <w:r w:rsidR="00F30217">
        <w:rPr>
          <w:bCs/>
          <w:sz w:val="20"/>
          <w:szCs w:val="20"/>
        </w:rPr>
        <w:t xml:space="preserve"> </w:t>
      </w:r>
      <w:r w:rsidR="002F493A" w:rsidRPr="00F30217">
        <w:rPr>
          <w:bCs/>
          <w:sz w:val="20"/>
          <w:szCs w:val="20"/>
        </w:rPr>
        <w:t>virksomhed eller borger</w:t>
      </w:r>
      <w:r w:rsidR="002F493A">
        <w:rPr>
          <w:bCs/>
          <w:sz w:val="20"/>
          <w:szCs w:val="20"/>
        </w:rPr>
        <w:t>, som</w:t>
      </w:r>
      <w:r w:rsidR="002F493A" w:rsidRPr="00F30217">
        <w:rPr>
          <w:bCs/>
          <w:sz w:val="20"/>
          <w:szCs w:val="20"/>
        </w:rPr>
        <w:t xml:space="preserve"> oplever, at computer</w:t>
      </w:r>
      <w:r w:rsidR="002F493A">
        <w:rPr>
          <w:bCs/>
          <w:sz w:val="20"/>
          <w:szCs w:val="20"/>
        </w:rPr>
        <w:t xml:space="preserve">en </w:t>
      </w:r>
      <w:r w:rsidR="002F493A" w:rsidRPr="00F30217">
        <w:rPr>
          <w:bCs/>
          <w:sz w:val="20"/>
          <w:szCs w:val="20"/>
        </w:rPr>
        <w:t xml:space="preserve">ikke fungerer, at </w:t>
      </w:r>
      <w:r w:rsidR="002F493A">
        <w:rPr>
          <w:bCs/>
          <w:sz w:val="20"/>
          <w:szCs w:val="20"/>
        </w:rPr>
        <w:t xml:space="preserve">koden til digital </w:t>
      </w:r>
      <w:r w:rsidR="002F493A" w:rsidRPr="00F30217">
        <w:rPr>
          <w:bCs/>
          <w:sz w:val="20"/>
          <w:szCs w:val="20"/>
        </w:rPr>
        <w:t xml:space="preserve">signatur </w:t>
      </w:r>
      <w:r w:rsidR="002F493A">
        <w:rPr>
          <w:bCs/>
          <w:sz w:val="20"/>
          <w:szCs w:val="20"/>
        </w:rPr>
        <w:t>er bortkommet samt</w:t>
      </w:r>
      <w:r w:rsidR="002F493A" w:rsidRPr="00F30217">
        <w:rPr>
          <w:bCs/>
          <w:sz w:val="20"/>
          <w:szCs w:val="20"/>
        </w:rPr>
        <w:t xml:space="preserve"> lignende hindringer, som det er op til den</w:t>
      </w:r>
      <w:r w:rsidR="002F493A">
        <w:rPr>
          <w:bCs/>
          <w:sz w:val="20"/>
          <w:szCs w:val="20"/>
        </w:rPr>
        <w:t xml:space="preserve"> </w:t>
      </w:r>
      <w:r w:rsidR="002F493A" w:rsidRPr="00F30217">
        <w:rPr>
          <w:bCs/>
          <w:sz w:val="20"/>
          <w:szCs w:val="20"/>
        </w:rPr>
        <w:t>pågældende selv at overvinde</w:t>
      </w:r>
      <w:r w:rsidR="002F493A">
        <w:rPr>
          <w:bCs/>
          <w:sz w:val="20"/>
          <w:szCs w:val="20"/>
        </w:rPr>
        <w:t xml:space="preserve">. </w:t>
      </w:r>
      <w:r w:rsidR="002F493A" w:rsidRPr="00F30217">
        <w:rPr>
          <w:bCs/>
          <w:sz w:val="20"/>
          <w:szCs w:val="20"/>
        </w:rPr>
        <w:t>I så fald må den</w:t>
      </w:r>
      <w:r w:rsidR="002F493A">
        <w:rPr>
          <w:bCs/>
          <w:sz w:val="20"/>
          <w:szCs w:val="20"/>
        </w:rPr>
        <w:t xml:space="preserve"> </w:t>
      </w:r>
      <w:r w:rsidR="002F493A" w:rsidRPr="00F30217">
        <w:rPr>
          <w:bCs/>
          <w:sz w:val="20"/>
          <w:szCs w:val="20"/>
        </w:rPr>
        <w:t>pågældende eksempelvis anmode en rådgiver om at varetage</w:t>
      </w:r>
      <w:r w:rsidR="002F493A">
        <w:rPr>
          <w:bCs/>
          <w:sz w:val="20"/>
          <w:szCs w:val="20"/>
        </w:rPr>
        <w:t xml:space="preserve"> </w:t>
      </w:r>
      <w:r w:rsidR="002F493A" w:rsidRPr="00F30217">
        <w:rPr>
          <w:bCs/>
          <w:sz w:val="20"/>
          <w:szCs w:val="20"/>
        </w:rPr>
        <w:t>kommunikationen på den pågældendes vegne</w:t>
      </w:r>
      <w:r w:rsidR="001E4A0F">
        <w:rPr>
          <w:bCs/>
          <w:sz w:val="20"/>
          <w:szCs w:val="20"/>
        </w:rPr>
        <w:t>, jf. dog nedenfor om Miljøstyrelsens vejledningsforpligtelse</w:t>
      </w:r>
      <w:r w:rsidR="002F493A">
        <w:rPr>
          <w:bCs/>
          <w:sz w:val="20"/>
          <w:szCs w:val="20"/>
        </w:rPr>
        <w:t xml:space="preserve">. </w:t>
      </w:r>
    </w:p>
    <w:p w14:paraId="668AA6DB" w14:textId="77777777" w:rsidR="00EA69E9" w:rsidRDefault="00EA69E9" w:rsidP="009479E5">
      <w:pPr>
        <w:pStyle w:val="Default"/>
        <w:jc w:val="both"/>
        <w:rPr>
          <w:bCs/>
          <w:sz w:val="20"/>
          <w:szCs w:val="20"/>
        </w:rPr>
      </w:pPr>
    </w:p>
    <w:p w14:paraId="58F5AA10" w14:textId="15369B2D" w:rsidR="002F493A" w:rsidRDefault="00E927A4" w:rsidP="009479E5">
      <w:pPr>
        <w:pStyle w:val="Default"/>
        <w:jc w:val="both"/>
        <w:rPr>
          <w:bCs/>
          <w:sz w:val="20"/>
          <w:szCs w:val="20"/>
        </w:rPr>
      </w:pPr>
      <w:r>
        <w:rPr>
          <w:bCs/>
          <w:sz w:val="20"/>
          <w:szCs w:val="20"/>
        </w:rPr>
        <w:t>Dispensations</w:t>
      </w:r>
      <w:r w:rsidR="001E4A0F">
        <w:rPr>
          <w:bCs/>
          <w:sz w:val="20"/>
          <w:szCs w:val="20"/>
        </w:rPr>
        <w:t xml:space="preserve">bestemmelsen er også beskrevet i </w:t>
      </w:r>
      <w:r w:rsidR="007328B3">
        <w:rPr>
          <w:bCs/>
          <w:sz w:val="20"/>
          <w:szCs w:val="20"/>
        </w:rPr>
        <w:t>de almindelige</w:t>
      </w:r>
      <w:r w:rsidR="002F493A">
        <w:rPr>
          <w:bCs/>
          <w:sz w:val="20"/>
          <w:szCs w:val="20"/>
        </w:rPr>
        <w:t xml:space="preserve"> og specielle</w:t>
      </w:r>
      <w:r w:rsidR="007328B3">
        <w:rPr>
          <w:bCs/>
          <w:sz w:val="20"/>
          <w:szCs w:val="20"/>
        </w:rPr>
        <w:t xml:space="preserve"> bemærkninger i </w:t>
      </w:r>
      <w:r w:rsidR="007328B3" w:rsidRPr="007328B3">
        <w:rPr>
          <w:bCs/>
          <w:sz w:val="20"/>
          <w:szCs w:val="20"/>
        </w:rPr>
        <w:t>udkast til lovforslag om ændring af lov om naturbeskyttelse (Obligatorisk digital kommunikation m.v.)</w:t>
      </w:r>
      <w:r w:rsidR="001E4A0F">
        <w:rPr>
          <w:bCs/>
          <w:sz w:val="20"/>
          <w:szCs w:val="20"/>
        </w:rPr>
        <w:t>, hvortil der henvises</w:t>
      </w:r>
      <w:r w:rsidR="00C2058D">
        <w:rPr>
          <w:bCs/>
          <w:sz w:val="20"/>
          <w:szCs w:val="20"/>
        </w:rPr>
        <w:t>. Der henvises også til afsnit 7</w:t>
      </w:r>
      <w:r w:rsidR="007328B3">
        <w:rPr>
          <w:bCs/>
          <w:sz w:val="20"/>
          <w:szCs w:val="20"/>
        </w:rPr>
        <w:t xml:space="preserve"> nedenfor om overgangsregler. </w:t>
      </w:r>
    </w:p>
    <w:p w14:paraId="1670B562" w14:textId="77777777" w:rsidR="002F493A" w:rsidRDefault="002F493A" w:rsidP="009479E5">
      <w:pPr>
        <w:pStyle w:val="Default"/>
        <w:jc w:val="both"/>
        <w:rPr>
          <w:bCs/>
          <w:sz w:val="20"/>
          <w:szCs w:val="20"/>
        </w:rPr>
      </w:pPr>
    </w:p>
    <w:p w14:paraId="4A0B46BA" w14:textId="7E2B1BFB" w:rsidR="00EA69E9" w:rsidRDefault="00F30217" w:rsidP="009479E5">
      <w:pPr>
        <w:pStyle w:val="Default"/>
        <w:jc w:val="both"/>
        <w:rPr>
          <w:bCs/>
          <w:sz w:val="20"/>
          <w:szCs w:val="20"/>
        </w:rPr>
      </w:pPr>
      <w:r w:rsidRPr="00F30217">
        <w:rPr>
          <w:bCs/>
          <w:sz w:val="20"/>
          <w:szCs w:val="20"/>
        </w:rPr>
        <w:t xml:space="preserve">Miljøstyrelsen </w:t>
      </w:r>
      <w:r w:rsidR="0011054C">
        <w:rPr>
          <w:bCs/>
          <w:sz w:val="20"/>
          <w:szCs w:val="20"/>
        </w:rPr>
        <w:t>vil</w:t>
      </w:r>
      <w:r w:rsidRPr="00F30217">
        <w:rPr>
          <w:bCs/>
          <w:sz w:val="20"/>
          <w:szCs w:val="20"/>
        </w:rPr>
        <w:t xml:space="preserve"> </w:t>
      </w:r>
      <w:r w:rsidR="002F493A">
        <w:rPr>
          <w:bCs/>
          <w:sz w:val="20"/>
          <w:szCs w:val="20"/>
        </w:rPr>
        <w:t xml:space="preserve">i tilknytning til dispensationsreglerne </w:t>
      </w:r>
      <w:r w:rsidRPr="00F30217">
        <w:rPr>
          <w:bCs/>
          <w:sz w:val="20"/>
          <w:szCs w:val="20"/>
        </w:rPr>
        <w:t xml:space="preserve">overveje, om det er relevant at kommunikere og informere nærmere </w:t>
      </w:r>
      <w:r w:rsidR="002F493A">
        <w:rPr>
          <w:bCs/>
          <w:sz w:val="20"/>
          <w:szCs w:val="20"/>
        </w:rPr>
        <w:t xml:space="preserve">herom </w:t>
      </w:r>
      <w:r w:rsidRPr="00F30217">
        <w:rPr>
          <w:bCs/>
          <w:sz w:val="20"/>
          <w:szCs w:val="20"/>
        </w:rPr>
        <w:t>på styrelsens hjemmeside eller på anden relevant vis.</w:t>
      </w:r>
      <w:r>
        <w:rPr>
          <w:bCs/>
          <w:sz w:val="20"/>
          <w:szCs w:val="20"/>
        </w:rPr>
        <w:t xml:space="preserve"> Miljøstyrelsen bør i denne overvejelse lægge vægt på den sædvanlige brugerskare og deres eventuelle behov</w:t>
      </w:r>
      <w:r w:rsidR="002F493A">
        <w:rPr>
          <w:bCs/>
          <w:sz w:val="20"/>
          <w:szCs w:val="20"/>
        </w:rPr>
        <w:t xml:space="preserve"> i denne henseende</w:t>
      </w:r>
      <w:r>
        <w:rPr>
          <w:bCs/>
          <w:sz w:val="20"/>
          <w:szCs w:val="20"/>
        </w:rPr>
        <w:t xml:space="preserve">. </w:t>
      </w:r>
    </w:p>
    <w:p w14:paraId="0AFEE01F" w14:textId="77777777" w:rsidR="00EA69E9" w:rsidRDefault="00EA69E9" w:rsidP="009479E5">
      <w:pPr>
        <w:pStyle w:val="Default"/>
        <w:jc w:val="both"/>
        <w:rPr>
          <w:bCs/>
          <w:sz w:val="20"/>
          <w:szCs w:val="20"/>
        </w:rPr>
      </w:pPr>
    </w:p>
    <w:p w14:paraId="74CD90E6" w14:textId="7152A7DE" w:rsidR="007328B3" w:rsidRDefault="001E4A0F" w:rsidP="009479E5">
      <w:pPr>
        <w:pStyle w:val="Default"/>
        <w:jc w:val="both"/>
        <w:rPr>
          <w:bCs/>
          <w:sz w:val="20"/>
          <w:szCs w:val="20"/>
        </w:rPr>
      </w:pPr>
      <w:r>
        <w:rPr>
          <w:bCs/>
          <w:sz w:val="20"/>
          <w:szCs w:val="20"/>
        </w:rPr>
        <w:t xml:space="preserve">Formålet med særskilt kommunikation om dispensationsreglerne er at sikre, at de borgere og virksomheder, som måtte have behov for at opnå dispensation fra kravet om digital ansøgning, gøres bekendt med denne mulighed. Den valgte kommunikationsform skal derfor også understøtte dette formål. </w:t>
      </w:r>
    </w:p>
    <w:p w14:paraId="50679FCC" w14:textId="7A34E184" w:rsidR="00DC63BB" w:rsidRDefault="00DC63BB" w:rsidP="009479E5">
      <w:pPr>
        <w:pStyle w:val="Default"/>
        <w:jc w:val="both"/>
        <w:rPr>
          <w:bCs/>
          <w:sz w:val="20"/>
          <w:szCs w:val="20"/>
        </w:rPr>
      </w:pPr>
    </w:p>
    <w:p w14:paraId="59BC88C0" w14:textId="7CA24185" w:rsidR="007F3596" w:rsidRDefault="007F3596" w:rsidP="009479E5">
      <w:pPr>
        <w:pStyle w:val="Opstilling-talellerbogst"/>
        <w:numPr>
          <w:ilvl w:val="1"/>
          <w:numId w:val="6"/>
        </w:numPr>
        <w:jc w:val="both"/>
        <w:rPr>
          <w:b/>
        </w:rPr>
      </w:pPr>
      <w:r w:rsidRPr="007F3596">
        <w:rPr>
          <w:b/>
        </w:rPr>
        <w:t>Databeskyttelse</w:t>
      </w:r>
    </w:p>
    <w:p w14:paraId="77B89628" w14:textId="77777777" w:rsidR="00EA69E9" w:rsidRPr="007F3596" w:rsidRDefault="00EA69E9" w:rsidP="009479E5">
      <w:pPr>
        <w:pStyle w:val="Opstilling-talellerbogst"/>
        <w:numPr>
          <w:ilvl w:val="0"/>
          <w:numId w:val="0"/>
        </w:numPr>
        <w:ind w:left="680"/>
        <w:jc w:val="both"/>
        <w:rPr>
          <w:b/>
        </w:rPr>
      </w:pPr>
    </w:p>
    <w:p w14:paraId="59D135E0" w14:textId="77777777" w:rsidR="00EA69E9" w:rsidRDefault="009D3CEE" w:rsidP="009479E5">
      <w:pPr>
        <w:pStyle w:val="Default"/>
        <w:jc w:val="both"/>
        <w:rPr>
          <w:bCs/>
          <w:sz w:val="20"/>
          <w:szCs w:val="20"/>
        </w:rPr>
      </w:pPr>
      <w:r>
        <w:rPr>
          <w:bCs/>
          <w:sz w:val="20"/>
          <w:szCs w:val="20"/>
        </w:rPr>
        <w:t xml:space="preserve">Miljøstyrelsen </w:t>
      </w:r>
      <w:r w:rsidR="007F3596">
        <w:rPr>
          <w:bCs/>
          <w:sz w:val="20"/>
          <w:szCs w:val="20"/>
        </w:rPr>
        <w:t xml:space="preserve">er </w:t>
      </w:r>
      <w:r>
        <w:rPr>
          <w:bCs/>
          <w:sz w:val="20"/>
          <w:szCs w:val="20"/>
        </w:rPr>
        <w:t xml:space="preserve">ved anvendelsen og den løbende indretning af ansøgningsmodulet forpligtet til at sikre, at </w:t>
      </w:r>
      <w:r w:rsidR="00E04ED1">
        <w:rPr>
          <w:bCs/>
          <w:sz w:val="20"/>
          <w:szCs w:val="20"/>
        </w:rPr>
        <w:t>dette sker inden for rammerne af de til enhver tid gældende databeskyttelsesregler</w:t>
      </w:r>
      <w:r w:rsidR="00E04ED1" w:rsidRPr="00E04ED1">
        <w:rPr>
          <w:bCs/>
          <w:sz w:val="20"/>
          <w:szCs w:val="20"/>
        </w:rPr>
        <w:t>.</w:t>
      </w:r>
      <w:r w:rsidR="00E04ED1">
        <w:rPr>
          <w:bCs/>
          <w:sz w:val="20"/>
          <w:szCs w:val="20"/>
        </w:rPr>
        <w:t xml:space="preserve"> </w:t>
      </w:r>
    </w:p>
    <w:p w14:paraId="425AB4F6" w14:textId="77777777" w:rsidR="00EA69E9" w:rsidRDefault="00EA69E9" w:rsidP="009479E5">
      <w:pPr>
        <w:pStyle w:val="Default"/>
        <w:jc w:val="both"/>
        <w:rPr>
          <w:bCs/>
          <w:sz w:val="20"/>
          <w:szCs w:val="20"/>
        </w:rPr>
      </w:pPr>
    </w:p>
    <w:p w14:paraId="222DB366" w14:textId="77777777" w:rsidR="00EA69E9" w:rsidRDefault="00E04ED1" w:rsidP="009479E5">
      <w:pPr>
        <w:pStyle w:val="Default"/>
        <w:jc w:val="both"/>
        <w:rPr>
          <w:bCs/>
          <w:sz w:val="20"/>
          <w:szCs w:val="20"/>
        </w:rPr>
      </w:pPr>
      <w:r>
        <w:rPr>
          <w:bCs/>
          <w:sz w:val="20"/>
          <w:szCs w:val="20"/>
        </w:rPr>
        <w:t xml:space="preserve">Miljøstyrelsen skal i den forbindelse sikre, at der </w:t>
      </w:r>
      <w:r w:rsidRPr="00E04ED1">
        <w:rPr>
          <w:bCs/>
          <w:sz w:val="20"/>
          <w:szCs w:val="20"/>
        </w:rPr>
        <w:t>gennemføres passende tekniske og organisatoriske foranstaltninger for at sikre et sikkerhedsniveau,</w:t>
      </w:r>
      <w:r>
        <w:rPr>
          <w:bCs/>
          <w:sz w:val="20"/>
          <w:szCs w:val="20"/>
        </w:rPr>
        <w:t xml:space="preserve"> </w:t>
      </w:r>
      <w:r w:rsidRPr="00E04ED1">
        <w:rPr>
          <w:bCs/>
          <w:sz w:val="20"/>
          <w:szCs w:val="20"/>
        </w:rPr>
        <w:t xml:space="preserve">der passer til disse </w:t>
      </w:r>
      <w:r>
        <w:rPr>
          <w:bCs/>
          <w:sz w:val="20"/>
          <w:szCs w:val="20"/>
        </w:rPr>
        <w:t xml:space="preserve">pågældende relevant risici, herunder ift. at transmittere </w:t>
      </w:r>
      <w:r w:rsidRPr="00E04ED1">
        <w:rPr>
          <w:bCs/>
          <w:sz w:val="20"/>
          <w:szCs w:val="20"/>
        </w:rPr>
        <w:t>personoplysninger</w:t>
      </w:r>
      <w:r>
        <w:rPr>
          <w:bCs/>
          <w:sz w:val="20"/>
          <w:szCs w:val="20"/>
        </w:rPr>
        <w:t>.</w:t>
      </w:r>
      <w:r w:rsidR="004E303E">
        <w:rPr>
          <w:bCs/>
          <w:sz w:val="20"/>
          <w:szCs w:val="20"/>
        </w:rPr>
        <w:t xml:space="preserve"> </w:t>
      </w:r>
    </w:p>
    <w:p w14:paraId="22444A0F" w14:textId="77777777" w:rsidR="00EA69E9" w:rsidRDefault="00EA69E9" w:rsidP="009479E5">
      <w:pPr>
        <w:pStyle w:val="Default"/>
        <w:jc w:val="both"/>
        <w:rPr>
          <w:bCs/>
          <w:sz w:val="20"/>
          <w:szCs w:val="20"/>
        </w:rPr>
      </w:pPr>
    </w:p>
    <w:p w14:paraId="6EEB0A36" w14:textId="520844CD" w:rsidR="00E04ED1" w:rsidRDefault="004E303E" w:rsidP="009479E5">
      <w:pPr>
        <w:pStyle w:val="Default"/>
        <w:jc w:val="both"/>
        <w:rPr>
          <w:bCs/>
          <w:sz w:val="20"/>
          <w:szCs w:val="20"/>
        </w:rPr>
      </w:pPr>
      <w:r>
        <w:rPr>
          <w:bCs/>
          <w:sz w:val="20"/>
          <w:szCs w:val="20"/>
        </w:rPr>
        <w:t>Miljøstyrelsen skal også sikre, at ansøgningsmodulet overholder l</w:t>
      </w:r>
      <w:r w:rsidRPr="004E303E">
        <w:rPr>
          <w:bCs/>
          <w:sz w:val="20"/>
          <w:szCs w:val="20"/>
        </w:rPr>
        <w:t xml:space="preserve">ov </w:t>
      </w:r>
      <w:r>
        <w:rPr>
          <w:bCs/>
          <w:sz w:val="20"/>
          <w:szCs w:val="20"/>
        </w:rPr>
        <w:t xml:space="preserve">nr. 692 af </w:t>
      </w:r>
      <w:r w:rsidRPr="004E303E">
        <w:rPr>
          <w:bCs/>
          <w:sz w:val="20"/>
          <w:szCs w:val="20"/>
        </w:rPr>
        <w:t>8</w:t>
      </w:r>
      <w:r>
        <w:rPr>
          <w:bCs/>
          <w:sz w:val="20"/>
          <w:szCs w:val="20"/>
        </w:rPr>
        <w:t xml:space="preserve">. juni </w:t>
      </w:r>
      <w:r w:rsidRPr="004E303E">
        <w:rPr>
          <w:bCs/>
          <w:sz w:val="20"/>
          <w:szCs w:val="20"/>
        </w:rPr>
        <w:t>2018 om tilgængelighed af offentlige organers w</w:t>
      </w:r>
      <w:r>
        <w:rPr>
          <w:bCs/>
          <w:sz w:val="20"/>
          <w:szCs w:val="20"/>
        </w:rPr>
        <w:t xml:space="preserve">ebsteder og mobilapplikationer, som bl.a. foreskriver, at modulet skal være </w:t>
      </w:r>
      <w:r w:rsidRPr="004E303E">
        <w:rPr>
          <w:bCs/>
          <w:sz w:val="20"/>
          <w:szCs w:val="20"/>
        </w:rPr>
        <w:t>tilgængelige for borgere med handicap</w:t>
      </w:r>
      <w:r>
        <w:rPr>
          <w:bCs/>
          <w:sz w:val="20"/>
          <w:szCs w:val="20"/>
        </w:rPr>
        <w:t xml:space="preserve">. </w:t>
      </w:r>
    </w:p>
    <w:p w14:paraId="0C6C7E89" w14:textId="6EE195E7" w:rsidR="007F3596" w:rsidRDefault="007F3596" w:rsidP="009479E5">
      <w:pPr>
        <w:pStyle w:val="Default"/>
        <w:jc w:val="both"/>
        <w:rPr>
          <w:bCs/>
          <w:sz w:val="20"/>
          <w:szCs w:val="20"/>
        </w:rPr>
      </w:pPr>
    </w:p>
    <w:p w14:paraId="5F40C497" w14:textId="325A3CE9" w:rsidR="007F3596" w:rsidRPr="007F3596" w:rsidRDefault="007F3596" w:rsidP="009479E5">
      <w:pPr>
        <w:pStyle w:val="Opstilling-talellerbogst"/>
        <w:numPr>
          <w:ilvl w:val="1"/>
          <w:numId w:val="6"/>
        </w:numPr>
        <w:jc w:val="both"/>
        <w:rPr>
          <w:b/>
        </w:rPr>
      </w:pPr>
      <w:r w:rsidRPr="007F3596">
        <w:rPr>
          <w:b/>
        </w:rPr>
        <w:t>Forvaltningsretlige regler og principper</w:t>
      </w:r>
    </w:p>
    <w:p w14:paraId="2BE1BF0C" w14:textId="5B25929D" w:rsidR="00E04ED1" w:rsidRDefault="00E04ED1" w:rsidP="009479E5">
      <w:pPr>
        <w:pStyle w:val="Default"/>
        <w:jc w:val="both"/>
        <w:rPr>
          <w:bCs/>
          <w:sz w:val="20"/>
          <w:szCs w:val="20"/>
        </w:rPr>
      </w:pPr>
    </w:p>
    <w:p w14:paraId="02CEF4CE" w14:textId="77777777" w:rsidR="00EA69E9" w:rsidRDefault="00E04ED1" w:rsidP="009479E5">
      <w:pPr>
        <w:pStyle w:val="Default"/>
        <w:jc w:val="both"/>
        <w:rPr>
          <w:bCs/>
          <w:sz w:val="20"/>
          <w:szCs w:val="20"/>
        </w:rPr>
      </w:pPr>
      <w:r>
        <w:rPr>
          <w:bCs/>
          <w:sz w:val="20"/>
          <w:szCs w:val="20"/>
        </w:rPr>
        <w:t xml:space="preserve">Miljøstyrelsen skal sikre, at den digitale ansøgningsordning anvendes og administreres i overensstemmelse </w:t>
      </w:r>
      <w:r w:rsidR="00C424CF">
        <w:rPr>
          <w:bCs/>
          <w:sz w:val="20"/>
          <w:szCs w:val="20"/>
        </w:rPr>
        <w:t xml:space="preserve">med </w:t>
      </w:r>
      <w:r>
        <w:rPr>
          <w:bCs/>
          <w:sz w:val="20"/>
          <w:szCs w:val="20"/>
        </w:rPr>
        <w:t xml:space="preserve">de </w:t>
      </w:r>
      <w:r w:rsidRPr="00E04ED1">
        <w:rPr>
          <w:bCs/>
          <w:sz w:val="20"/>
          <w:szCs w:val="20"/>
        </w:rPr>
        <w:t>relevante forvaltningsretlige</w:t>
      </w:r>
      <w:r>
        <w:rPr>
          <w:bCs/>
          <w:sz w:val="20"/>
          <w:szCs w:val="20"/>
        </w:rPr>
        <w:t xml:space="preserve"> regler og principper, som </w:t>
      </w:r>
      <w:r w:rsidRPr="00E04ED1">
        <w:rPr>
          <w:bCs/>
          <w:sz w:val="20"/>
          <w:szCs w:val="20"/>
        </w:rPr>
        <w:t xml:space="preserve">gælder </w:t>
      </w:r>
      <w:r>
        <w:rPr>
          <w:bCs/>
          <w:sz w:val="20"/>
          <w:szCs w:val="20"/>
        </w:rPr>
        <w:t xml:space="preserve">uanset, at </w:t>
      </w:r>
      <w:r w:rsidR="00C424CF">
        <w:rPr>
          <w:bCs/>
          <w:sz w:val="20"/>
          <w:szCs w:val="20"/>
        </w:rPr>
        <w:t xml:space="preserve">der fremadrettet gælder krav om digital </w:t>
      </w:r>
      <w:r>
        <w:rPr>
          <w:bCs/>
          <w:sz w:val="20"/>
          <w:szCs w:val="20"/>
        </w:rPr>
        <w:t>ansøg</w:t>
      </w:r>
      <w:r w:rsidR="00081E9E">
        <w:rPr>
          <w:bCs/>
          <w:sz w:val="20"/>
          <w:szCs w:val="20"/>
        </w:rPr>
        <w:t>n</w:t>
      </w:r>
      <w:r>
        <w:rPr>
          <w:bCs/>
          <w:sz w:val="20"/>
          <w:szCs w:val="20"/>
        </w:rPr>
        <w:t>ing.</w:t>
      </w:r>
      <w:r w:rsidR="005A468A">
        <w:rPr>
          <w:bCs/>
          <w:sz w:val="20"/>
          <w:szCs w:val="20"/>
        </w:rPr>
        <w:t xml:space="preserve"> </w:t>
      </w:r>
    </w:p>
    <w:p w14:paraId="03474016" w14:textId="77777777" w:rsidR="00EA69E9" w:rsidRDefault="00EA69E9" w:rsidP="009479E5">
      <w:pPr>
        <w:pStyle w:val="Default"/>
        <w:jc w:val="both"/>
        <w:rPr>
          <w:bCs/>
          <w:sz w:val="20"/>
          <w:szCs w:val="20"/>
        </w:rPr>
      </w:pPr>
    </w:p>
    <w:p w14:paraId="3F78CEF5" w14:textId="77777777" w:rsidR="00EA69E9" w:rsidRDefault="005A468A" w:rsidP="009479E5">
      <w:pPr>
        <w:pStyle w:val="Default"/>
        <w:jc w:val="both"/>
        <w:rPr>
          <w:bCs/>
          <w:sz w:val="20"/>
          <w:szCs w:val="20"/>
        </w:rPr>
      </w:pPr>
      <w:r>
        <w:rPr>
          <w:bCs/>
          <w:sz w:val="20"/>
          <w:szCs w:val="20"/>
        </w:rPr>
        <w:t>Det indebærer bl.a., at vejledningspligten skal tilrettelægges således, at der tages højde for krav om digital ansøgning</w:t>
      </w:r>
      <w:r w:rsidR="00C424CF">
        <w:rPr>
          <w:bCs/>
          <w:sz w:val="20"/>
          <w:szCs w:val="20"/>
        </w:rPr>
        <w:t>,</w:t>
      </w:r>
      <w:r>
        <w:rPr>
          <w:bCs/>
          <w:sz w:val="20"/>
          <w:szCs w:val="20"/>
        </w:rPr>
        <w:t xml:space="preserve"> og de udfordringer det giver anledning til, herunder ift. f.eks. </w:t>
      </w:r>
      <w:r w:rsidRPr="005A468A">
        <w:rPr>
          <w:bCs/>
          <w:sz w:val="20"/>
          <w:szCs w:val="20"/>
        </w:rPr>
        <w:t xml:space="preserve">eksempelvis ældre personer med ringere kendskab til og </w:t>
      </w:r>
      <w:r w:rsidRPr="005A468A">
        <w:rPr>
          <w:bCs/>
          <w:sz w:val="20"/>
          <w:szCs w:val="20"/>
        </w:rPr>
        <w:lastRenderedPageBreak/>
        <w:t>fortrolighed med IT</w:t>
      </w:r>
      <w:r>
        <w:rPr>
          <w:bCs/>
          <w:sz w:val="20"/>
          <w:szCs w:val="20"/>
        </w:rPr>
        <w:t xml:space="preserve">. </w:t>
      </w:r>
      <w:r w:rsidR="00C424CF">
        <w:rPr>
          <w:bCs/>
          <w:sz w:val="20"/>
          <w:szCs w:val="20"/>
        </w:rPr>
        <w:t xml:space="preserve">Det betyder bl.a., at Miljøstyrelsen skal vejlede om de gældende regler, herunder kravet om digital ansøgning, dispensationsmuligheder og praktisk anvendelse af ansøgningsmodulet, hvis Miljøstyrelsen modtager en ansøgning ved brev eller e-mail. </w:t>
      </w:r>
    </w:p>
    <w:p w14:paraId="3B3C6851" w14:textId="77777777" w:rsidR="00EA69E9" w:rsidRDefault="00EA69E9" w:rsidP="009479E5">
      <w:pPr>
        <w:pStyle w:val="Default"/>
        <w:jc w:val="both"/>
        <w:rPr>
          <w:bCs/>
          <w:sz w:val="20"/>
          <w:szCs w:val="20"/>
        </w:rPr>
      </w:pPr>
    </w:p>
    <w:p w14:paraId="7E174DE9" w14:textId="3D7E8EE3" w:rsidR="009D3CEE" w:rsidRDefault="0089049E" w:rsidP="009479E5">
      <w:pPr>
        <w:pStyle w:val="Default"/>
        <w:jc w:val="both"/>
        <w:rPr>
          <w:bCs/>
          <w:sz w:val="20"/>
          <w:szCs w:val="20"/>
        </w:rPr>
      </w:pPr>
      <w:r>
        <w:rPr>
          <w:bCs/>
          <w:sz w:val="20"/>
          <w:szCs w:val="20"/>
        </w:rPr>
        <w:t xml:space="preserve">Miljøstyrelsen skal efter omstændighederne også vejlede om muligheden for </w:t>
      </w:r>
      <w:r w:rsidRPr="00F30217">
        <w:rPr>
          <w:bCs/>
          <w:sz w:val="20"/>
          <w:szCs w:val="20"/>
        </w:rPr>
        <w:t>at lad</w:t>
      </w:r>
      <w:r>
        <w:rPr>
          <w:bCs/>
          <w:sz w:val="20"/>
          <w:szCs w:val="20"/>
        </w:rPr>
        <w:t xml:space="preserve">e sig repræsentere ved fuldmagt, hvor der er relevant, f.eks. i tilfælde hvor der er tale om </w:t>
      </w:r>
      <w:r w:rsidRPr="005A468A">
        <w:rPr>
          <w:bCs/>
          <w:sz w:val="20"/>
          <w:szCs w:val="20"/>
        </w:rPr>
        <w:t>ældre personer med ringere kendskab til og fortrolighed med IT</w:t>
      </w:r>
      <w:r>
        <w:rPr>
          <w:bCs/>
          <w:sz w:val="20"/>
          <w:szCs w:val="20"/>
        </w:rPr>
        <w:t xml:space="preserve">, hvor det oplyses, at </w:t>
      </w:r>
      <w:r w:rsidRPr="00F30217">
        <w:rPr>
          <w:bCs/>
          <w:sz w:val="20"/>
          <w:szCs w:val="20"/>
        </w:rPr>
        <w:t>computer</w:t>
      </w:r>
      <w:r>
        <w:rPr>
          <w:bCs/>
          <w:sz w:val="20"/>
          <w:szCs w:val="20"/>
        </w:rPr>
        <w:t xml:space="preserve">en </w:t>
      </w:r>
      <w:r w:rsidRPr="00F30217">
        <w:rPr>
          <w:bCs/>
          <w:sz w:val="20"/>
          <w:szCs w:val="20"/>
        </w:rPr>
        <w:t xml:space="preserve">ikke fungerer, at </w:t>
      </w:r>
      <w:r>
        <w:rPr>
          <w:bCs/>
          <w:sz w:val="20"/>
          <w:szCs w:val="20"/>
        </w:rPr>
        <w:t xml:space="preserve">koden til digital </w:t>
      </w:r>
      <w:r w:rsidRPr="00F30217">
        <w:rPr>
          <w:bCs/>
          <w:sz w:val="20"/>
          <w:szCs w:val="20"/>
        </w:rPr>
        <w:t xml:space="preserve">signatur </w:t>
      </w:r>
      <w:r>
        <w:rPr>
          <w:bCs/>
          <w:sz w:val="20"/>
          <w:szCs w:val="20"/>
        </w:rPr>
        <w:t xml:space="preserve">er bortkommet mv. </w:t>
      </w:r>
    </w:p>
    <w:p w14:paraId="35D36481" w14:textId="07328027" w:rsidR="00D62B8B" w:rsidRDefault="00D62B8B" w:rsidP="009479E5">
      <w:pPr>
        <w:pStyle w:val="Default"/>
        <w:jc w:val="both"/>
        <w:rPr>
          <w:b/>
          <w:bCs/>
          <w:sz w:val="20"/>
          <w:szCs w:val="20"/>
        </w:rPr>
      </w:pPr>
    </w:p>
    <w:p w14:paraId="376B1443" w14:textId="12FFF7D9" w:rsidR="00D62B8B" w:rsidRDefault="00D62B8B" w:rsidP="009479E5">
      <w:pPr>
        <w:pStyle w:val="Opstilling-talellerbogst"/>
        <w:jc w:val="both"/>
        <w:rPr>
          <w:b/>
        </w:rPr>
      </w:pPr>
      <w:r w:rsidRPr="007328B3">
        <w:rPr>
          <w:b/>
        </w:rPr>
        <w:t>Gebyrordning for behandling af ansøgninger om tilladelse og certifikater omfattet af bekendtgørelsen samt krav om digital betaling (§ 10)</w:t>
      </w:r>
    </w:p>
    <w:p w14:paraId="00D3EE97" w14:textId="77777777" w:rsidR="008F0E9A" w:rsidRDefault="008F0E9A" w:rsidP="009479E5">
      <w:pPr>
        <w:pStyle w:val="Opstilling-talellerbogst"/>
        <w:numPr>
          <w:ilvl w:val="0"/>
          <w:numId w:val="0"/>
        </w:numPr>
        <w:ind w:left="454"/>
        <w:jc w:val="both"/>
        <w:rPr>
          <w:b/>
        </w:rPr>
      </w:pPr>
    </w:p>
    <w:p w14:paraId="41418DCC" w14:textId="2DDA9F85" w:rsidR="007328B3" w:rsidRPr="008F0E9A" w:rsidRDefault="008F0E9A" w:rsidP="009479E5">
      <w:pPr>
        <w:pStyle w:val="Opstilling-talellerbogst"/>
        <w:numPr>
          <w:ilvl w:val="1"/>
          <w:numId w:val="6"/>
        </w:numPr>
        <w:jc w:val="both"/>
        <w:rPr>
          <w:b/>
        </w:rPr>
      </w:pPr>
      <w:r w:rsidRPr="008F0E9A">
        <w:rPr>
          <w:b/>
        </w:rPr>
        <w:t>Indførelse af gebyrordning</w:t>
      </w:r>
    </w:p>
    <w:p w14:paraId="1D245F72" w14:textId="77777777" w:rsidR="008F0E9A" w:rsidRDefault="008F0E9A" w:rsidP="009479E5">
      <w:pPr>
        <w:pStyle w:val="Opstilling-talellerbogst"/>
        <w:numPr>
          <w:ilvl w:val="0"/>
          <w:numId w:val="0"/>
        </w:numPr>
        <w:jc w:val="both"/>
        <w:rPr>
          <w:b/>
        </w:rPr>
      </w:pPr>
    </w:p>
    <w:p w14:paraId="58773C40" w14:textId="258502DC" w:rsidR="003203F6" w:rsidRDefault="003203F6" w:rsidP="009479E5">
      <w:pPr>
        <w:jc w:val="both"/>
        <w:rPr>
          <w:szCs w:val="22"/>
        </w:rPr>
      </w:pPr>
      <w:r>
        <w:rPr>
          <w:szCs w:val="22"/>
        </w:rPr>
        <w:t>Med § 10, stk. 1, i bekendtgørelsesudkastet foreslås det, at der indføres en gebyrordning</w:t>
      </w:r>
      <w:r w:rsidRPr="003203F6">
        <w:rPr>
          <w:szCs w:val="22"/>
        </w:rPr>
        <w:t>, hvorefter der</w:t>
      </w:r>
      <w:r w:rsidR="00380781">
        <w:rPr>
          <w:szCs w:val="22"/>
        </w:rPr>
        <w:t xml:space="preserve"> skal betales gebyr pr. udstedt</w:t>
      </w:r>
      <w:r w:rsidRPr="003203F6">
        <w:rPr>
          <w:szCs w:val="22"/>
        </w:rPr>
        <w:t xml:space="preserve"> tilladelse og certifikat for så vidt angår enheder af dyr og ikke-levende planter og plantedele omfattet af CITES-konventionen, jf. CITES-bekendtgørelsens § 2.</w:t>
      </w:r>
    </w:p>
    <w:p w14:paraId="79A76FBA" w14:textId="3BB2D150" w:rsidR="003203F6" w:rsidRDefault="003203F6" w:rsidP="009479E5">
      <w:pPr>
        <w:jc w:val="both"/>
        <w:rPr>
          <w:szCs w:val="22"/>
        </w:rPr>
      </w:pPr>
    </w:p>
    <w:p w14:paraId="47E24508" w14:textId="6E5E6CF3" w:rsidR="003203F6" w:rsidRDefault="003203F6" w:rsidP="009479E5">
      <w:pPr>
        <w:jc w:val="both"/>
        <w:rPr>
          <w:szCs w:val="22"/>
        </w:rPr>
      </w:pPr>
      <w:r w:rsidRPr="003203F6">
        <w:rPr>
          <w:szCs w:val="22"/>
        </w:rPr>
        <w:t>Sagsbehandlingen i CITES-ordningen for så vidt angår enheder af dyr og ikke-levende planter og plantedele finansieres i dag af Miljøstyrelsen. Omfanget af sager og den øg</w:t>
      </w:r>
      <w:r>
        <w:rPr>
          <w:szCs w:val="22"/>
        </w:rPr>
        <w:t>ede mængde af sagsbehandling gør imidlertid</w:t>
      </w:r>
      <w:r w:rsidRPr="003203F6">
        <w:rPr>
          <w:szCs w:val="22"/>
        </w:rPr>
        <w:t>, at</w:t>
      </w:r>
      <w:r>
        <w:rPr>
          <w:szCs w:val="22"/>
        </w:rPr>
        <w:t xml:space="preserve"> ordningen bør gebyrfinansieres</w:t>
      </w:r>
      <w:r w:rsidRPr="003203F6">
        <w:rPr>
          <w:szCs w:val="22"/>
        </w:rPr>
        <w:t xml:space="preserve"> som andre lignende ordninger. Dette gælder særligt fordi, at BREXIT forventes at indebære et øget antal ansøgninger og dermed et øget udgiftsniveau for Miljøstyrelsen. </w:t>
      </w:r>
    </w:p>
    <w:p w14:paraId="37869EFD" w14:textId="77777777" w:rsidR="003203F6" w:rsidRPr="003203F6" w:rsidRDefault="003203F6" w:rsidP="009479E5">
      <w:pPr>
        <w:jc w:val="both"/>
        <w:rPr>
          <w:szCs w:val="22"/>
        </w:rPr>
      </w:pPr>
    </w:p>
    <w:p w14:paraId="1F6C6644" w14:textId="77777777" w:rsidR="00BC4612" w:rsidRDefault="003203F6" w:rsidP="009479E5">
      <w:pPr>
        <w:jc w:val="both"/>
        <w:rPr>
          <w:szCs w:val="22"/>
        </w:rPr>
      </w:pPr>
      <w:r w:rsidRPr="003203F6">
        <w:rPr>
          <w:szCs w:val="22"/>
        </w:rPr>
        <w:t>Det</w:t>
      </w:r>
      <w:r w:rsidR="006113A8">
        <w:rPr>
          <w:szCs w:val="22"/>
        </w:rPr>
        <w:t xml:space="preserve"> foreslås, at </w:t>
      </w:r>
      <w:r w:rsidRPr="003203F6">
        <w:rPr>
          <w:szCs w:val="22"/>
        </w:rPr>
        <w:t>CITES-gebyr</w:t>
      </w:r>
      <w:r w:rsidR="006113A8">
        <w:rPr>
          <w:szCs w:val="22"/>
        </w:rPr>
        <w:t>et</w:t>
      </w:r>
      <w:r w:rsidRPr="003203F6">
        <w:rPr>
          <w:szCs w:val="22"/>
        </w:rPr>
        <w:t xml:space="preserve"> består af </w:t>
      </w:r>
      <w:r w:rsidR="00BC4612">
        <w:rPr>
          <w:szCs w:val="22"/>
        </w:rPr>
        <w:t>5</w:t>
      </w:r>
      <w:r w:rsidRPr="003203F6">
        <w:rPr>
          <w:szCs w:val="22"/>
        </w:rPr>
        <w:t xml:space="preserve"> takster for hhv. tilladelser, tilladelser med bilag og certifikater</w:t>
      </w:r>
      <w:r w:rsidR="00BC4612">
        <w:rPr>
          <w:szCs w:val="22"/>
        </w:rPr>
        <w:t xml:space="preserve"> (hhv. </w:t>
      </w:r>
      <w:r w:rsidR="00BC4612" w:rsidRPr="00BC4612">
        <w:rPr>
          <w:szCs w:val="22"/>
        </w:rPr>
        <w:t>Certifikat for personlig ejendom ("kæledyrspas")</w:t>
      </w:r>
      <w:r w:rsidR="00BC4612">
        <w:rPr>
          <w:szCs w:val="22"/>
        </w:rPr>
        <w:t xml:space="preserve">, </w:t>
      </w:r>
      <w:r w:rsidR="00BC4612" w:rsidRPr="00BC4612">
        <w:rPr>
          <w:szCs w:val="22"/>
        </w:rPr>
        <w:t>Certifikat for musikinstrumenter ("musikinstrumentpas")</w:t>
      </w:r>
      <w:r w:rsidR="00BC4612">
        <w:rPr>
          <w:szCs w:val="22"/>
        </w:rPr>
        <w:t xml:space="preserve"> og </w:t>
      </w:r>
      <w:r w:rsidR="00BC4612" w:rsidRPr="00BC4612">
        <w:rPr>
          <w:szCs w:val="22"/>
        </w:rPr>
        <w:t>Certifikat til brug inden for EU</w:t>
      </w:r>
      <w:r w:rsidR="00BC4612">
        <w:rPr>
          <w:szCs w:val="22"/>
        </w:rPr>
        <w:t>)</w:t>
      </w:r>
      <w:r w:rsidRPr="003203F6">
        <w:rPr>
          <w:szCs w:val="22"/>
        </w:rPr>
        <w:t xml:space="preserve">. </w:t>
      </w:r>
    </w:p>
    <w:p w14:paraId="17FE3747" w14:textId="77777777" w:rsidR="00BC4612" w:rsidRDefault="00BC4612" w:rsidP="009479E5">
      <w:pPr>
        <w:jc w:val="both"/>
        <w:rPr>
          <w:szCs w:val="22"/>
        </w:rPr>
      </w:pPr>
    </w:p>
    <w:p w14:paraId="7FAAF4F5" w14:textId="55577A5D" w:rsidR="009E114D" w:rsidRDefault="003203F6" w:rsidP="009479E5">
      <w:pPr>
        <w:jc w:val="both"/>
        <w:rPr>
          <w:szCs w:val="22"/>
        </w:rPr>
      </w:pPr>
      <w:r w:rsidRPr="003203F6">
        <w:rPr>
          <w:szCs w:val="22"/>
        </w:rPr>
        <w:t>Gebyrtaksterne er fastsat, så de afspejler ressourceforbruget ved de forskellige services.</w:t>
      </w:r>
      <w:r w:rsidR="006113A8">
        <w:rPr>
          <w:szCs w:val="22"/>
        </w:rPr>
        <w:t xml:space="preserve"> </w:t>
      </w:r>
      <w:r w:rsidR="009E114D">
        <w:rPr>
          <w:szCs w:val="22"/>
        </w:rPr>
        <w:t xml:space="preserve">Gebyret er fastsat i overensstemmelse med de gældende principper for </w:t>
      </w:r>
      <w:r w:rsidR="009E114D">
        <w:t>fastsættelse af offentlige gebyrer</w:t>
      </w:r>
      <w:r w:rsidR="009E114D" w:rsidRPr="005304A9">
        <w:rPr>
          <w:rStyle w:val="Fodnotehenvisning"/>
          <w:rFonts w:asciiTheme="minorHAnsi" w:hAnsiTheme="minorHAnsi"/>
          <w:sz w:val="20"/>
        </w:rPr>
        <w:footnoteReference w:id="2"/>
      </w:r>
      <w:r w:rsidR="009E114D">
        <w:t xml:space="preserve">. </w:t>
      </w:r>
      <w:r w:rsidR="009E114D">
        <w:rPr>
          <w:szCs w:val="22"/>
        </w:rPr>
        <w:t xml:space="preserve"> </w:t>
      </w:r>
      <w:r w:rsidR="005304A9">
        <w:rPr>
          <w:szCs w:val="22"/>
        </w:rPr>
        <w:t>G</w:t>
      </w:r>
      <w:r w:rsidR="009E114D">
        <w:rPr>
          <w:szCs w:val="22"/>
        </w:rPr>
        <w:t>ebyret</w:t>
      </w:r>
      <w:r w:rsidR="005304A9">
        <w:rPr>
          <w:szCs w:val="22"/>
        </w:rPr>
        <w:t xml:space="preserve"> er således</w:t>
      </w:r>
      <w:r w:rsidR="009E114D">
        <w:rPr>
          <w:szCs w:val="22"/>
        </w:rPr>
        <w:t xml:space="preserve"> fastsat med </w:t>
      </w:r>
      <w:r w:rsidR="005304A9">
        <w:rPr>
          <w:szCs w:val="22"/>
        </w:rPr>
        <w:t xml:space="preserve">udgangspunkt i Miljøstyrelsens udgifter set </w:t>
      </w:r>
      <w:r w:rsidR="009E114D" w:rsidRPr="005138D7">
        <w:t>over en 4-årig periode</w:t>
      </w:r>
      <w:r w:rsidR="005304A9">
        <w:t xml:space="preserve"> og med henblik på</w:t>
      </w:r>
      <w:r w:rsidR="009E114D">
        <w:t xml:space="preserve">, at der </w:t>
      </w:r>
      <w:r w:rsidR="009E114D" w:rsidRPr="005138D7">
        <w:t xml:space="preserve">opnås fuld dækning for </w:t>
      </w:r>
      <w:r w:rsidR="009E114D">
        <w:t xml:space="preserve">Miljøstyrelsens </w:t>
      </w:r>
      <w:r w:rsidR="009E114D" w:rsidRPr="005138D7">
        <w:t>omkostninger</w:t>
      </w:r>
      <w:r w:rsidR="005304A9">
        <w:t>.</w:t>
      </w:r>
      <w:r w:rsidR="009E114D">
        <w:t xml:space="preserve"> Det vil en gang årligt blive </w:t>
      </w:r>
      <w:r w:rsidR="009E114D" w:rsidRPr="005138D7">
        <w:t>vurdere</w:t>
      </w:r>
      <w:r w:rsidR="009E114D">
        <w:t>t</w:t>
      </w:r>
      <w:r w:rsidR="009E114D" w:rsidRPr="005138D7">
        <w:t xml:space="preserve">, om </w:t>
      </w:r>
      <w:r w:rsidR="009E114D">
        <w:t>gebyret skal</w:t>
      </w:r>
      <w:r w:rsidR="009E114D" w:rsidRPr="005138D7">
        <w:t xml:space="preserve"> justeres for at sikre balance.</w:t>
      </w:r>
    </w:p>
    <w:p w14:paraId="02EF6AEC" w14:textId="77777777" w:rsidR="009E114D" w:rsidRDefault="009E114D" w:rsidP="009479E5">
      <w:pPr>
        <w:jc w:val="both"/>
        <w:rPr>
          <w:szCs w:val="22"/>
        </w:rPr>
      </w:pPr>
    </w:p>
    <w:p w14:paraId="568C1D96" w14:textId="0035EA3E" w:rsidR="00D050AF" w:rsidRDefault="006113A8" w:rsidP="009479E5">
      <w:pPr>
        <w:jc w:val="both"/>
      </w:pPr>
      <w:r>
        <w:rPr>
          <w:szCs w:val="22"/>
        </w:rPr>
        <w:t>CITES-gebyret opkræve</w:t>
      </w:r>
      <w:r w:rsidR="002F61FA">
        <w:rPr>
          <w:szCs w:val="22"/>
        </w:rPr>
        <w:t>s</w:t>
      </w:r>
      <w:r w:rsidR="00380781">
        <w:rPr>
          <w:szCs w:val="22"/>
        </w:rPr>
        <w:t xml:space="preserve"> pr. udstedt</w:t>
      </w:r>
      <w:r>
        <w:rPr>
          <w:szCs w:val="22"/>
        </w:rPr>
        <w:t xml:space="preserve"> tilladelse</w:t>
      </w:r>
      <w:r w:rsidR="00BC4612">
        <w:rPr>
          <w:szCs w:val="22"/>
        </w:rPr>
        <w:t xml:space="preserve"> eller certifikat</w:t>
      </w:r>
      <w:r>
        <w:rPr>
          <w:szCs w:val="22"/>
        </w:rPr>
        <w:t>. Det vil sige, at der skal b</w:t>
      </w:r>
      <w:r w:rsidR="00380781">
        <w:rPr>
          <w:szCs w:val="22"/>
        </w:rPr>
        <w:t>etales for hver enkelte udstedt</w:t>
      </w:r>
      <w:r>
        <w:rPr>
          <w:szCs w:val="22"/>
        </w:rPr>
        <w:t xml:space="preserve"> tilladelse eller certifikat uanset, at der er ansøgt om flere tilladelser eller certifikater på samme tid og af samme ansøger. Forslaget indebærer også, at </w:t>
      </w:r>
      <w:r w:rsidR="00F04545">
        <w:rPr>
          <w:szCs w:val="22"/>
        </w:rPr>
        <w:t xml:space="preserve">kravet på </w:t>
      </w:r>
      <w:r>
        <w:rPr>
          <w:szCs w:val="22"/>
        </w:rPr>
        <w:t>gebyr</w:t>
      </w:r>
      <w:r w:rsidR="00F04545">
        <w:rPr>
          <w:szCs w:val="22"/>
        </w:rPr>
        <w:t xml:space="preserve"> ikke kan opretholdes</w:t>
      </w:r>
      <w:r>
        <w:rPr>
          <w:szCs w:val="22"/>
        </w:rPr>
        <w:t>, hvis en ansøgning ikke fører til udstedelse af en tilladelse eller certifikat</w:t>
      </w:r>
      <w:r w:rsidR="005B7887">
        <w:rPr>
          <w:szCs w:val="22"/>
        </w:rPr>
        <w:t xml:space="preserve">, jf. </w:t>
      </w:r>
      <w:r w:rsidR="00F04545">
        <w:rPr>
          <w:szCs w:val="22"/>
        </w:rPr>
        <w:t xml:space="preserve">også </w:t>
      </w:r>
      <w:r w:rsidR="005B7887">
        <w:rPr>
          <w:szCs w:val="22"/>
        </w:rPr>
        <w:t xml:space="preserve">forslagets § 10, stk. </w:t>
      </w:r>
      <w:r w:rsidR="00BC4612">
        <w:rPr>
          <w:szCs w:val="22"/>
        </w:rPr>
        <w:t>7</w:t>
      </w:r>
      <w:r w:rsidR="005B7887">
        <w:rPr>
          <w:szCs w:val="22"/>
        </w:rPr>
        <w:t xml:space="preserve">, og afsnit </w:t>
      </w:r>
      <w:r w:rsidR="00C2058D">
        <w:rPr>
          <w:szCs w:val="22"/>
        </w:rPr>
        <w:t>6</w:t>
      </w:r>
      <w:r w:rsidR="005B7887">
        <w:rPr>
          <w:szCs w:val="22"/>
        </w:rPr>
        <w:t>.4. nedenfor</w:t>
      </w:r>
      <w:r>
        <w:rPr>
          <w:szCs w:val="22"/>
        </w:rPr>
        <w:t>.</w:t>
      </w:r>
      <w:r w:rsidR="00D050AF" w:rsidRPr="00D050AF">
        <w:t xml:space="preserve"> </w:t>
      </w:r>
    </w:p>
    <w:p w14:paraId="51AD3CE2" w14:textId="77777777" w:rsidR="00D050AF" w:rsidRDefault="00D050AF" w:rsidP="009479E5">
      <w:pPr>
        <w:jc w:val="both"/>
      </w:pPr>
    </w:p>
    <w:p w14:paraId="0524ED59" w14:textId="77777777" w:rsidR="003C62CB" w:rsidRDefault="00D050AF" w:rsidP="009479E5">
      <w:pPr>
        <w:jc w:val="both"/>
        <w:rPr>
          <w:szCs w:val="22"/>
        </w:rPr>
      </w:pPr>
      <w:r>
        <w:rPr>
          <w:szCs w:val="22"/>
        </w:rPr>
        <w:lastRenderedPageBreak/>
        <w:t>Gebyre</w:t>
      </w:r>
      <w:r w:rsidR="00285851">
        <w:rPr>
          <w:szCs w:val="22"/>
        </w:rPr>
        <w:t>r</w:t>
      </w:r>
      <w:r>
        <w:rPr>
          <w:szCs w:val="22"/>
        </w:rPr>
        <w:t>ne</w:t>
      </w:r>
      <w:r w:rsidRPr="00D050AF">
        <w:rPr>
          <w:szCs w:val="22"/>
        </w:rPr>
        <w:t xml:space="preserve"> reguleres årligt pr. 1. januar </w:t>
      </w:r>
      <w:r w:rsidRPr="00FE0BDF">
        <w:rPr>
          <w:szCs w:val="22"/>
        </w:rPr>
        <w:t>på grundlag af det seneste offentliggjorte pris- og lønindeks i Økonomisk-Administrativ Vejledning fra Finansministeriet.</w:t>
      </w:r>
      <w:r>
        <w:rPr>
          <w:szCs w:val="22"/>
        </w:rPr>
        <w:t xml:space="preserve"> </w:t>
      </w:r>
    </w:p>
    <w:p w14:paraId="537F07A9" w14:textId="77777777" w:rsidR="003C62CB" w:rsidRDefault="003C62CB" w:rsidP="009479E5">
      <w:pPr>
        <w:jc w:val="both"/>
        <w:rPr>
          <w:szCs w:val="22"/>
        </w:rPr>
      </w:pPr>
    </w:p>
    <w:p w14:paraId="7BA27134" w14:textId="1BB5AEF5" w:rsidR="003203F6" w:rsidRDefault="003C62CB" w:rsidP="009479E5">
      <w:pPr>
        <w:jc w:val="both"/>
      </w:pPr>
      <w:r>
        <w:rPr>
          <w:szCs w:val="22"/>
        </w:rPr>
        <w:t>Gebyret skal betales i forbindelse med indgivelse af ansøgningen. Hvis gebyret ikke betales</w:t>
      </w:r>
      <w:r w:rsidR="0085458D">
        <w:rPr>
          <w:szCs w:val="22"/>
        </w:rPr>
        <w:t xml:space="preserve">, afvises ansøgningen, medmindre </w:t>
      </w:r>
      <w:r w:rsidRPr="003C62CB">
        <w:rPr>
          <w:szCs w:val="22"/>
        </w:rPr>
        <w:t xml:space="preserve">gebyret </w:t>
      </w:r>
      <w:r w:rsidR="0085458D">
        <w:rPr>
          <w:szCs w:val="22"/>
        </w:rPr>
        <w:t>betales</w:t>
      </w:r>
      <w:r w:rsidRPr="003C62CB">
        <w:rPr>
          <w:szCs w:val="22"/>
        </w:rPr>
        <w:t xml:space="preserve"> </w:t>
      </w:r>
      <w:r w:rsidR="0085458D">
        <w:rPr>
          <w:szCs w:val="22"/>
        </w:rPr>
        <w:t>inden for en af Miljøstyrelsen</w:t>
      </w:r>
      <w:r w:rsidRPr="003C62CB">
        <w:rPr>
          <w:szCs w:val="22"/>
        </w:rPr>
        <w:t xml:space="preserve"> fastsat frist,</w:t>
      </w:r>
      <w:r w:rsidR="0085458D">
        <w:rPr>
          <w:szCs w:val="22"/>
        </w:rPr>
        <w:t xml:space="preserve"> som styrelsen meddeler ansøger.</w:t>
      </w:r>
    </w:p>
    <w:p w14:paraId="5E9BBF46" w14:textId="6CAADAD7" w:rsidR="00C34A8C" w:rsidRDefault="00C34A8C" w:rsidP="009479E5">
      <w:pPr>
        <w:jc w:val="both"/>
      </w:pPr>
    </w:p>
    <w:p w14:paraId="719A65E2" w14:textId="30EC8CBC" w:rsidR="00C34A8C" w:rsidRPr="00C34A8C" w:rsidRDefault="00C34A8C" w:rsidP="009479E5">
      <w:pPr>
        <w:pStyle w:val="Opstilling-talellerbogst"/>
        <w:numPr>
          <w:ilvl w:val="1"/>
          <w:numId w:val="6"/>
        </w:numPr>
        <w:jc w:val="both"/>
        <w:rPr>
          <w:b/>
        </w:rPr>
      </w:pPr>
      <w:r w:rsidRPr="00C34A8C">
        <w:rPr>
          <w:b/>
        </w:rPr>
        <w:t>Krav om elektronisk betaling</w:t>
      </w:r>
    </w:p>
    <w:p w14:paraId="4F56F57E" w14:textId="77777777" w:rsidR="006113A8" w:rsidRPr="003203F6" w:rsidRDefault="006113A8" w:rsidP="009479E5">
      <w:pPr>
        <w:jc w:val="both"/>
        <w:rPr>
          <w:szCs w:val="22"/>
        </w:rPr>
      </w:pPr>
    </w:p>
    <w:p w14:paraId="657F01B7" w14:textId="77777777" w:rsidR="00BC4612" w:rsidRDefault="00B202BF" w:rsidP="009479E5">
      <w:pPr>
        <w:jc w:val="both"/>
        <w:rPr>
          <w:szCs w:val="22"/>
        </w:rPr>
      </w:pPr>
      <w:r>
        <w:rPr>
          <w:szCs w:val="22"/>
        </w:rPr>
        <w:t>Det foreslås, at der</w:t>
      </w:r>
      <w:r w:rsidR="003203F6" w:rsidRPr="003203F6">
        <w:rPr>
          <w:szCs w:val="22"/>
        </w:rPr>
        <w:t xml:space="preserve"> </w:t>
      </w:r>
      <w:r w:rsidR="002F61FA" w:rsidRPr="003203F6">
        <w:rPr>
          <w:szCs w:val="22"/>
        </w:rPr>
        <w:t xml:space="preserve">indføres </w:t>
      </w:r>
      <w:r w:rsidR="003203F6" w:rsidRPr="003203F6">
        <w:rPr>
          <w:szCs w:val="22"/>
        </w:rPr>
        <w:t>krav om</w:t>
      </w:r>
      <w:r w:rsidR="00BC4612">
        <w:rPr>
          <w:szCs w:val="22"/>
        </w:rPr>
        <w:t xml:space="preserve"> elektronisk betaling af gebyrer i stk. 1</w:t>
      </w:r>
      <w:r>
        <w:rPr>
          <w:szCs w:val="22"/>
        </w:rPr>
        <w:t xml:space="preserve">, jf. </w:t>
      </w:r>
      <w:r w:rsidRPr="003203F6">
        <w:rPr>
          <w:szCs w:val="22"/>
        </w:rPr>
        <w:t>bekendtgørelsesudkastet</w:t>
      </w:r>
      <w:r>
        <w:rPr>
          <w:szCs w:val="22"/>
        </w:rPr>
        <w:t xml:space="preserve"> § 10, stk. 5</w:t>
      </w:r>
      <w:r w:rsidR="003203F6" w:rsidRPr="003203F6">
        <w:rPr>
          <w:szCs w:val="22"/>
        </w:rPr>
        <w:t xml:space="preserve">. </w:t>
      </w:r>
      <w:r>
        <w:rPr>
          <w:szCs w:val="22"/>
        </w:rPr>
        <w:t>Formålet med bestemmelsen er at sikre</w:t>
      </w:r>
      <w:r w:rsidRPr="00857AE1">
        <w:rPr>
          <w:szCs w:val="22"/>
        </w:rPr>
        <w:t xml:space="preserve"> </w:t>
      </w:r>
      <w:r>
        <w:t>effektiv og sikker betaling af gebyrerne.</w:t>
      </w:r>
      <w:r w:rsidRPr="003203F6">
        <w:rPr>
          <w:szCs w:val="22"/>
        </w:rPr>
        <w:t xml:space="preserve"> </w:t>
      </w:r>
    </w:p>
    <w:p w14:paraId="34D3F1F9" w14:textId="77777777" w:rsidR="00BC4612" w:rsidRDefault="00BC4612" w:rsidP="009479E5">
      <w:pPr>
        <w:jc w:val="both"/>
        <w:rPr>
          <w:szCs w:val="22"/>
        </w:rPr>
      </w:pPr>
    </w:p>
    <w:p w14:paraId="684DAA5B" w14:textId="3AC864E8" w:rsidR="007F0C03" w:rsidRDefault="007F0C03" w:rsidP="009479E5">
      <w:pPr>
        <w:jc w:val="both"/>
        <w:rPr>
          <w:szCs w:val="22"/>
        </w:rPr>
      </w:pPr>
      <w:r>
        <w:rPr>
          <w:szCs w:val="22"/>
        </w:rPr>
        <w:t>Med elektronisk betaling forstås</w:t>
      </w:r>
      <w:r w:rsidR="00C34A8C">
        <w:rPr>
          <w:szCs w:val="22"/>
        </w:rPr>
        <w:t xml:space="preserve"> betaling med betalingskort, </w:t>
      </w:r>
      <w:proofErr w:type="spellStart"/>
      <w:r w:rsidR="00C34A8C">
        <w:rPr>
          <w:szCs w:val="22"/>
        </w:rPr>
        <w:t>mobilepay</w:t>
      </w:r>
      <w:proofErr w:type="spellEnd"/>
      <w:r w:rsidR="00C34A8C">
        <w:rPr>
          <w:szCs w:val="22"/>
        </w:rPr>
        <w:t xml:space="preserve">, bankoverførsel mv. Det overlades til Miljøstyrelsen at fastsætte, hvilke elektroniske betalingsmuligheder som kan anvendes. </w:t>
      </w:r>
    </w:p>
    <w:p w14:paraId="5E73E274" w14:textId="30F69A08" w:rsidR="00C34A8C" w:rsidRDefault="00C34A8C" w:rsidP="009479E5">
      <w:pPr>
        <w:jc w:val="both"/>
        <w:rPr>
          <w:szCs w:val="22"/>
        </w:rPr>
      </w:pPr>
    </w:p>
    <w:p w14:paraId="7F7FF826" w14:textId="2B510A7B" w:rsidR="00C34A8C" w:rsidRPr="00C34A8C" w:rsidRDefault="00C34A8C" w:rsidP="009479E5">
      <w:pPr>
        <w:pStyle w:val="Opstilling-talellerbogst"/>
        <w:numPr>
          <w:ilvl w:val="1"/>
          <w:numId w:val="6"/>
        </w:numPr>
        <w:jc w:val="both"/>
        <w:rPr>
          <w:b/>
        </w:rPr>
      </w:pPr>
      <w:r w:rsidRPr="00C34A8C">
        <w:rPr>
          <w:b/>
        </w:rPr>
        <w:t>Dispensation fra kravet om elektronisk betaling</w:t>
      </w:r>
    </w:p>
    <w:p w14:paraId="776678F1" w14:textId="77777777" w:rsidR="007F0C03" w:rsidRDefault="007F0C03" w:rsidP="009479E5">
      <w:pPr>
        <w:jc w:val="both"/>
        <w:rPr>
          <w:szCs w:val="22"/>
        </w:rPr>
      </w:pPr>
    </w:p>
    <w:p w14:paraId="3E993A2B" w14:textId="2658A72F" w:rsidR="00C34A8C" w:rsidRDefault="003203F6" w:rsidP="009479E5">
      <w:pPr>
        <w:jc w:val="both"/>
        <w:rPr>
          <w:szCs w:val="22"/>
        </w:rPr>
      </w:pPr>
      <w:r w:rsidRPr="003203F6">
        <w:rPr>
          <w:szCs w:val="22"/>
        </w:rPr>
        <w:t xml:space="preserve">Det </w:t>
      </w:r>
      <w:r w:rsidR="00C34A8C">
        <w:rPr>
          <w:szCs w:val="22"/>
        </w:rPr>
        <w:t>foreslås</w:t>
      </w:r>
      <w:r w:rsidR="00927B6D">
        <w:rPr>
          <w:szCs w:val="22"/>
        </w:rPr>
        <w:t xml:space="preserve">, at </w:t>
      </w:r>
      <w:r w:rsidRPr="003203F6">
        <w:rPr>
          <w:szCs w:val="22"/>
        </w:rPr>
        <w:t>Miljøstyrelsen</w:t>
      </w:r>
      <w:r w:rsidR="00C34A8C">
        <w:rPr>
          <w:szCs w:val="22"/>
        </w:rPr>
        <w:t xml:space="preserve"> i helt særlige tilfælde kan dispensere fra kravet om elektronisk betaling</w:t>
      </w:r>
      <w:r w:rsidR="00AC6BFD">
        <w:rPr>
          <w:szCs w:val="22"/>
        </w:rPr>
        <w:t>, jf. bekendtgørelsesudkastets § 10, stk. 6</w:t>
      </w:r>
      <w:r w:rsidR="00B202BF">
        <w:rPr>
          <w:szCs w:val="22"/>
        </w:rPr>
        <w:t xml:space="preserve">. </w:t>
      </w:r>
      <w:r w:rsidR="00E927A4">
        <w:rPr>
          <w:szCs w:val="22"/>
        </w:rPr>
        <w:t>Dispensations</w:t>
      </w:r>
      <w:r w:rsidR="00B202BF">
        <w:rPr>
          <w:szCs w:val="22"/>
        </w:rPr>
        <w:t>bestemmelsen vil gælde i</w:t>
      </w:r>
      <w:r w:rsidRPr="003203F6">
        <w:rPr>
          <w:szCs w:val="22"/>
        </w:rPr>
        <w:t xml:space="preserve"> samme omfang, som gælder for kravet om digital ansøgning. Der henvises derfor til beskrivelsen af dispensationsreglerne ovenfor</w:t>
      </w:r>
      <w:r w:rsidR="00C34A8C">
        <w:rPr>
          <w:szCs w:val="22"/>
        </w:rPr>
        <w:t xml:space="preserve"> i afsnit </w:t>
      </w:r>
      <w:r w:rsidR="00C2058D">
        <w:rPr>
          <w:szCs w:val="22"/>
        </w:rPr>
        <w:t>5</w:t>
      </w:r>
      <w:r w:rsidR="00C34A8C">
        <w:rPr>
          <w:szCs w:val="22"/>
        </w:rPr>
        <w:t>.2</w:t>
      </w:r>
      <w:r w:rsidRPr="003203F6">
        <w:rPr>
          <w:szCs w:val="22"/>
        </w:rPr>
        <w:t>.</w:t>
      </w:r>
      <w:r w:rsidR="001E3367">
        <w:rPr>
          <w:szCs w:val="22"/>
        </w:rPr>
        <w:t xml:space="preserve"> </w:t>
      </w:r>
    </w:p>
    <w:p w14:paraId="590EE3BA" w14:textId="77777777" w:rsidR="00C34A8C" w:rsidRDefault="00C34A8C" w:rsidP="009479E5">
      <w:pPr>
        <w:jc w:val="both"/>
        <w:rPr>
          <w:szCs w:val="22"/>
        </w:rPr>
      </w:pPr>
    </w:p>
    <w:p w14:paraId="6CFAC3B2" w14:textId="0734F00D" w:rsidR="007328B3" w:rsidRDefault="001E3367" w:rsidP="009479E5">
      <w:pPr>
        <w:jc w:val="both"/>
        <w:rPr>
          <w:szCs w:val="22"/>
        </w:rPr>
      </w:pPr>
      <w:r>
        <w:rPr>
          <w:szCs w:val="22"/>
        </w:rPr>
        <w:t xml:space="preserve">Ved </w:t>
      </w:r>
      <w:r w:rsidR="00C34A8C">
        <w:rPr>
          <w:szCs w:val="22"/>
        </w:rPr>
        <w:t>dispensation</w:t>
      </w:r>
      <w:r>
        <w:rPr>
          <w:szCs w:val="22"/>
        </w:rPr>
        <w:t xml:space="preserve"> kan Miljøstyrelsen f.eks. oplyse en </w:t>
      </w:r>
      <w:r w:rsidRPr="001E3367">
        <w:rPr>
          <w:szCs w:val="22"/>
        </w:rPr>
        <w:t>OCR-linje</w:t>
      </w:r>
      <w:r>
        <w:rPr>
          <w:szCs w:val="22"/>
        </w:rPr>
        <w:t xml:space="preserve"> indeholdende </w:t>
      </w:r>
      <w:r w:rsidRPr="001E3367">
        <w:rPr>
          <w:szCs w:val="22"/>
        </w:rPr>
        <w:t xml:space="preserve">information, som identificerer betalingen og de oplysninger, </w:t>
      </w:r>
      <w:r>
        <w:rPr>
          <w:szCs w:val="22"/>
        </w:rPr>
        <w:t>der skal anvendes</w:t>
      </w:r>
      <w:r w:rsidR="005A5E0C">
        <w:rPr>
          <w:szCs w:val="22"/>
        </w:rPr>
        <w:t xml:space="preserve"> ved indbetaling i et pengeinstitut</w:t>
      </w:r>
      <w:r w:rsidR="005A5E0C" w:rsidRPr="005A5E0C">
        <w:rPr>
          <w:szCs w:val="22"/>
        </w:rPr>
        <w:t xml:space="preserve"> eller på posthuset</w:t>
      </w:r>
      <w:r w:rsidR="005A5E0C">
        <w:rPr>
          <w:szCs w:val="22"/>
        </w:rPr>
        <w:t>.</w:t>
      </w:r>
    </w:p>
    <w:p w14:paraId="14E9DCDF" w14:textId="71CB602B" w:rsidR="005B7887" w:rsidRDefault="005B7887" w:rsidP="009479E5">
      <w:pPr>
        <w:jc w:val="both"/>
        <w:rPr>
          <w:szCs w:val="22"/>
        </w:rPr>
      </w:pPr>
    </w:p>
    <w:p w14:paraId="22355379" w14:textId="4BFCD634" w:rsidR="005B7887" w:rsidRPr="005B7887" w:rsidRDefault="005B7887" w:rsidP="009479E5">
      <w:pPr>
        <w:pStyle w:val="Opstilling-talellerbogst"/>
        <w:numPr>
          <w:ilvl w:val="1"/>
          <w:numId w:val="6"/>
        </w:numPr>
        <w:jc w:val="both"/>
        <w:rPr>
          <w:b/>
        </w:rPr>
      </w:pPr>
      <w:r w:rsidRPr="005B7887">
        <w:rPr>
          <w:b/>
        </w:rPr>
        <w:t>Tilbagebetaling af gebyr ved afslag</w:t>
      </w:r>
    </w:p>
    <w:p w14:paraId="1C2D12AD" w14:textId="77777777" w:rsidR="0011054C" w:rsidRDefault="0011054C" w:rsidP="009479E5">
      <w:pPr>
        <w:pStyle w:val="Opstilling-talellerbogst"/>
        <w:numPr>
          <w:ilvl w:val="0"/>
          <w:numId w:val="0"/>
        </w:numPr>
        <w:jc w:val="both"/>
      </w:pPr>
    </w:p>
    <w:p w14:paraId="306877E3" w14:textId="43745A06" w:rsidR="00F04545" w:rsidRDefault="005B7887" w:rsidP="009479E5">
      <w:pPr>
        <w:pStyle w:val="Opstilling-talellerbogst"/>
        <w:numPr>
          <w:ilvl w:val="0"/>
          <w:numId w:val="0"/>
        </w:numPr>
        <w:jc w:val="both"/>
      </w:pPr>
      <w:r>
        <w:t>Som nævnt i afsnit</w:t>
      </w:r>
      <w:r w:rsidR="00F04545">
        <w:t xml:space="preserve"> </w:t>
      </w:r>
      <w:r w:rsidR="00C2058D">
        <w:t>6</w:t>
      </w:r>
      <w:r w:rsidR="00F04545">
        <w:t xml:space="preserve">.1. kan </w:t>
      </w:r>
      <w:r w:rsidR="00F04545">
        <w:rPr>
          <w:szCs w:val="22"/>
        </w:rPr>
        <w:t>kravet på gebyr ikke kan opretholdes, hvis en ansøgning ikke fører til udstedelse af en tilladelse eller certifikat.</w:t>
      </w:r>
      <w:r w:rsidR="00F04545">
        <w:t xml:space="preserve"> </w:t>
      </w:r>
    </w:p>
    <w:p w14:paraId="408BD8CF" w14:textId="4DCCA162" w:rsidR="00013B50" w:rsidRDefault="00013B50" w:rsidP="009479E5">
      <w:pPr>
        <w:pStyle w:val="Opstilling-talellerbogst"/>
        <w:numPr>
          <w:ilvl w:val="0"/>
          <w:numId w:val="0"/>
        </w:numPr>
        <w:jc w:val="both"/>
      </w:pPr>
    </w:p>
    <w:p w14:paraId="0D8D9409" w14:textId="77777777" w:rsidR="00013B50" w:rsidRDefault="00013B50" w:rsidP="009479E5">
      <w:pPr>
        <w:pStyle w:val="Opstilling-talellerbogst"/>
        <w:numPr>
          <w:ilvl w:val="0"/>
          <w:numId w:val="0"/>
        </w:numPr>
        <w:jc w:val="both"/>
      </w:pPr>
      <w:r>
        <w:t xml:space="preserve">Når ansøger betaler gebyret i forbindelse med ansøgningen, reserverer Miljøstyrelsen et beløb svarende til det pågældende gebyr på ansøgers konto.   </w:t>
      </w:r>
    </w:p>
    <w:p w14:paraId="788348BA" w14:textId="77777777" w:rsidR="00013B50" w:rsidRDefault="00013B50" w:rsidP="009479E5">
      <w:pPr>
        <w:pStyle w:val="Opstilling-talellerbogst"/>
        <w:numPr>
          <w:ilvl w:val="0"/>
          <w:numId w:val="0"/>
        </w:numPr>
        <w:jc w:val="both"/>
      </w:pPr>
    </w:p>
    <w:p w14:paraId="3E580145" w14:textId="267D9F68" w:rsidR="00013B50" w:rsidRDefault="00013B50" w:rsidP="009479E5">
      <w:pPr>
        <w:pStyle w:val="Opstilling-talellerbogst"/>
        <w:numPr>
          <w:ilvl w:val="0"/>
          <w:numId w:val="0"/>
        </w:numPr>
        <w:jc w:val="both"/>
      </w:pPr>
      <w:r>
        <w:t xml:space="preserve">Kan en ansøgning ikke imødekommes eller afvises ansøgningen, opkræver Miljøstyrelsen ikke det reserverede beløb på ansøgers konto, jf. § 10, stk. 7, i bekendtgørelsesudkastet. </w:t>
      </w:r>
    </w:p>
    <w:p w14:paraId="3C591938" w14:textId="2D680A37" w:rsidR="00013B50" w:rsidRDefault="00013B50" w:rsidP="009479E5">
      <w:pPr>
        <w:pStyle w:val="Opstilling-talellerbogst"/>
        <w:numPr>
          <w:ilvl w:val="0"/>
          <w:numId w:val="0"/>
        </w:numPr>
        <w:jc w:val="both"/>
      </w:pPr>
    </w:p>
    <w:p w14:paraId="3C18133E" w14:textId="23716B27" w:rsidR="005B7887" w:rsidRPr="007254D5" w:rsidRDefault="00013B50" w:rsidP="009479E5">
      <w:pPr>
        <w:pStyle w:val="Opstilling-talellerbogst"/>
        <w:numPr>
          <w:ilvl w:val="0"/>
          <w:numId w:val="0"/>
        </w:numPr>
        <w:jc w:val="both"/>
      </w:pPr>
      <w:r>
        <w:t>Det præciseres med bekendtgørelsesudkastets § 10, stk. 8, at g</w:t>
      </w:r>
      <w:r w:rsidRPr="00013B50">
        <w:t>ebyrer</w:t>
      </w:r>
      <w:r>
        <w:t xml:space="preserve"> ikke tilbagebetales</w:t>
      </w:r>
      <w:r w:rsidRPr="00013B50">
        <w:t xml:space="preserve"> efter</w:t>
      </w:r>
      <w:r>
        <w:t>,</w:t>
      </w:r>
      <w:r w:rsidRPr="00013B50">
        <w:t xml:space="preserve"> at der er givet tilsagn om tilladelse eller certifikat. Gebyr tilbagebetales</w:t>
      </w:r>
      <w:r>
        <w:t xml:space="preserve"> heller ikke selvom,</w:t>
      </w:r>
      <w:r w:rsidRPr="00013B50">
        <w:t xml:space="preserve"> at der ikke gøres brug af tilladelsen eller certifikatet i hele gyldighedsperioden. </w:t>
      </w:r>
    </w:p>
    <w:p w14:paraId="4361C30F" w14:textId="77777777" w:rsidR="007328B3" w:rsidRPr="00D17FD4" w:rsidRDefault="007328B3" w:rsidP="009479E5">
      <w:pPr>
        <w:pStyle w:val="Opstilling-talellerbogst"/>
        <w:numPr>
          <w:ilvl w:val="0"/>
          <w:numId w:val="0"/>
        </w:numPr>
        <w:ind w:left="454"/>
        <w:jc w:val="both"/>
      </w:pPr>
    </w:p>
    <w:p w14:paraId="0B39F80F" w14:textId="757EF44B" w:rsidR="007328B3" w:rsidRPr="007328B3" w:rsidRDefault="007328B3" w:rsidP="009479E5">
      <w:pPr>
        <w:pStyle w:val="Opstilling-talellerbogst"/>
        <w:jc w:val="both"/>
        <w:rPr>
          <w:b/>
        </w:rPr>
      </w:pPr>
      <w:r w:rsidRPr="007328B3">
        <w:rPr>
          <w:b/>
        </w:rPr>
        <w:t>Ikrafttrædelses- og overgangsbestemmelser (§ 13, stk. 4 og 5).</w:t>
      </w:r>
    </w:p>
    <w:p w14:paraId="1F7ABE89" w14:textId="77777777" w:rsidR="0011054C" w:rsidRDefault="0011054C" w:rsidP="009479E5">
      <w:pPr>
        <w:jc w:val="both"/>
      </w:pPr>
    </w:p>
    <w:p w14:paraId="633EDC88" w14:textId="2C42F341" w:rsidR="00797DF7" w:rsidRDefault="00797DF7" w:rsidP="009479E5">
      <w:pPr>
        <w:jc w:val="both"/>
      </w:pPr>
      <w:r w:rsidRPr="00797DF7">
        <w:t>Bekendtgørelsen</w:t>
      </w:r>
      <w:r>
        <w:t xml:space="preserve"> vil finde anvendelse ift. </w:t>
      </w:r>
      <w:r w:rsidRPr="00797DF7">
        <w:t xml:space="preserve">ansøgninger om tilladelser og certifikater, jf. § 2, for så vidt angår enheder af dyr og ikke-levende planter og plantedele, jf. § 2, </w:t>
      </w:r>
      <w:r w:rsidRPr="00797DF7">
        <w:lastRenderedPageBreak/>
        <w:t xml:space="preserve">som er indgivet </w:t>
      </w:r>
      <w:r>
        <w:t>efter den 30. juni 2021, jf. § 13, stk. 4, i bekendtgørelsesudkastet</w:t>
      </w:r>
      <w:r w:rsidRPr="00797DF7">
        <w:t>.</w:t>
      </w:r>
      <w:r>
        <w:t xml:space="preserve"> Krav om obligatorisk digital anvendelse og gebyr finder omvendt ikke anvendelse på ansøgninger, som er indgivet før denne dato. </w:t>
      </w:r>
      <w:r w:rsidRPr="00797DF7">
        <w:t xml:space="preserve"> For </w:t>
      </w:r>
      <w:r>
        <w:t xml:space="preserve">disse </w:t>
      </w:r>
      <w:r w:rsidRPr="00797DF7">
        <w:t>ansøgninger finder de hidtil gældende regler i bekendtgørelse nr. 266 af 21. marts 2019 om beskyttelse af vilde dyr og planter ved kontrol af handelen hermed (Washingtonkonventionen/CITES) anvendelse.</w:t>
      </w:r>
    </w:p>
    <w:p w14:paraId="265CDA0E" w14:textId="632136E8" w:rsidR="00797DF7" w:rsidRDefault="00797DF7" w:rsidP="009479E5">
      <w:pPr>
        <w:jc w:val="both"/>
      </w:pPr>
    </w:p>
    <w:p w14:paraId="49E056BD" w14:textId="53191962" w:rsidR="00F538DD" w:rsidRDefault="00797DF7" w:rsidP="009479E5">
      <w:pPr>
        <w:jc w:val="both"/>
      </w:pPr>
      <w:r>
        <w:t xml:space="preserve">Det foreslås endvidere, at </w:t>
      </w:r>
      <w:r w:rsidR="007328B3">
        <w:t xml:space="preserve">Miljøstyrelsen </w:t>
      </w:r>
      <w:r w:rsidR="0017456A">
        <w:t>i en overgangsperiode fra den 1. juli 2021 til den 1. juli 2022 kan</w:t>
      </w:r>
      <w:r w:rsidR="007328B3">
        <w:t xml:space="preserve"> </w:t>
      </w:r>
      <w:r w:rsidR="0017456A">
        <w:t>dispensere</w:t>
      </w:r>
      <w:r w:rsidR="007328B3">
        <w:t xml:space="preserve"> f</w:t>
      </w:r>
      <w:r w:rsidR="00D454E3">
        <w:t>ra</w:t>
      </w:r>
      <w:r w:rsidR="007328B3">
        <w:t xml:space="preserve"> kravet</w:t>
      </w:r>
      <w:r w:rsidR="0017456A">
        <w:t xml:space="preserve"> om obligatorisk digital ansøgning i § 9, stk. 1, og for kravet om elektronisk betaling, jf. § 10, stk. 5</w:t>
      </w:r>
      <w:r w:rsidR="007328B3">
        <w:t>.</w:t>
      </w:r>
      <w:r w:rsidR="00F538DD">
        <w:t xml:space="preserve"> Denne dispensationsadgang gælder i videre omfang end den foreslåede § 9, stk. 2 og § 10, stk.</w:t>
      </w:r>
      <w:r w:rsidR="00AC6BFD">
        <w:t xml:space="preserve"> 6</w:t>
      </w:r>
      <w:r w:rsidR="00F538DD">
        <w:t xml:space="preserve">. </w:t>
      </w:r>
    </w:p>
    <w:p w14:paraId="5437FFAA" w14:textId="77777777" w:rsidR="00F538DD" w:rsidRDefault="00F538DD" w:rsidP="009479E5">
      <w:pPr>
        <w:jc w:val="both"/>
      </w:pPr>
    </w:p>
    <w:p w14:paraId="445C1DEB" w14:textId="593F2F48" w:rsidR="00F538DD" w:rsidRDefault="008D12C4" w:rsidP="009479E5">
      <w:pPr>
        <w:jc w:val="both"/>
      </w:pPr>
      <w:r>
        <w:t xml:space="preserve">Dispensationsreglen vil kunne anvendes ift. </w:t>
      </w:r>
      <w:r w:rsidR="007328B3">
        <w:t>mindre grupper af virksomheder og borgere, som ikke er i besiddelse af digitale kompetencer eller ikke tidligere har anvendt it, hverken i virksomheden eller privat, og som ikke har mulighed for at lade andre varetage den digitale kommunikation, jf. § 13, stk. 5, i bekendtgørelsesudkastet</w:t>
      </w:r>
      <w:r w:rsidR="00F538DD">
        <w:t xml:space="preserve">. Situationen kan f.eks. være, at </w:t>
      </w:r>
      <w:r w:rsidR="00F538DD" w:rsidRPr="00C34A8C">
        <w:t>borgeren eller virksomheden ikke tidligere har anvendt it og ikke</w:t>
      </w:r>
      <w:r w:rsidR="00F538DD">
        <w:t xml:space="preserve"> for nuværende</w:t>
      </w:r>
      <w:r w:rsidR="00F538DD" w:rsidRPr="00C34A8C">
        <w:t xml:space="preserve"> har mulighed for at lade andre varetage den digitale kommunikation</w:t>
      </w:r>
      <w:r w:rsidR="00F538DD">
        <w:t>.</w:t>
      </w:r>
    </w:p>
    <w:p w14:paraId="1DA45719" w14:textId="32F865CB" w:rsidR="00F538DD" w:rsidRDefault="00F538DD" w:rsidP="009479E5">
      <w:pPr>
        <w:jc w:val="both"/>
      </w:pPr>
    </w:p>
    <w:p w14:paraId="7E65D876" w14:textId="730BD616" w:rsidR="00F538DD" w:rsidRDefault="00F538DD" w:rsidP="009479E5">
      <w:pPr>
        <w:jc w:val="both"/>
      </w:pPr>
      <w:r>
        <w:t xml:space="preserve">Sådanne borgere kan med overgangsbestemmelsen – og under henvisning til særegne omstændigheder – undtagelsesvis få mulighed for at tilegne sig fornøden viden, indgå fuldmagtsaftale, ansætte eller indgå aftale med relevante IT-kyndige og dermed udskyde kravet om obligatorisk digital kommunikation og elektronisk betaling. </w:t>
      </w:r>
    </w:p>
    <w:p w14:paraId="6F642A1B" w14:textId="77777777" w:rsidR="00F538DD" w:rsidRDefault="00F538DD" w:rsidP="009479E5">
      <w:pPr>
        <w:jc w:val="both"/>
      </w:pPr>
    </w:p>
    <w:p w14:paraId="49EDFB7D" w14:textId="14EB99E9" w:rsidR="007328B3" w:rsidRDefault="008D12C4" w:rsidP="009479E5">
      <w:pPr>
        <w:jc w:val="both"/>
      </w:pPr>
      <w:r w:rsidRPr="008D12C4">
        <w:t xml:space="preserve">Der henvises i øvrigt til de almindelige bemærkninger i udkast til lovforslag om ændring af lov om naturbeskyttelse (Obligatorisk digital kommunikation m.v.). </w:t>
      </w:r>
    </w:p>
    <w:p w14:paraId="2D7C4E65" w14:textId="5792ED55" w:rsidR="003E5613" w:rsidRDefault="003E5613" w:rsidP="009479E5">
      <w:pPr>
        <w:jc w:val="both"/>
      </w:pPr>
    </w:p>
    <w:p w14:paraId="3AA7C213" w14:textId="0B73D456" w:rsidR="003E5613" w:rsidRDefault="003E5613" w:rsidP="009479E5">
      <w:pPr>
        <w:jc w:val="both"/>
      </w:pPr>
      <w:r>
        <w:t>Der henvises også til det ovenfor anførte om kommunikation og forvaltningsretlige regler</w:t>
      </w:r>
      <w:r w:rsidR="00992A98">
        <w:t xml:space="preserve">, jf. afsnit </w:t>
      </w:r>
      <w:r w:rsidR="00C2058D">
        <w:t>5.2. og 5</w:t>
      </w:r>
      <w:r>
        <w:t xml:space="preserve">.4. </w:t>
      </w:r>
    </w:p>
    <w:p w14:paraId="338978B5" w14:textId="4A026B94" w:rsidR="00EC1285" w:rsidRDefault="00EC1285" w:rsidP="009479E5">
      <w:pPr>
        <w:jc w:val="both"/>
        <w:rPr>
          <w:szCs w:val="22"/>
        </w:rPr>
      </w:pPr>
    </w:p>
    <w:p w14:paraId="527A7CA7" w14:textId="77777777" w:rsidR="00F366D5" w:rsidRDefault="00F366D5" w:rsidP="009479E5">
      <w:pPr>
        <w:pStyle w:val="Opstilling-talellerbogst"/>
        <w:jc w:val="both"/>
        <w:rPr>
          <w:b/>
        </w:rPr>
      </w:pPr>
      <w:r>
        <w:rPr>
          <w:b/>
        </w:rPr>
        <w:t xml:space="preserve">Miljøvurdering (SMV) af de planlagte ændringer  </w:t>
      </w:r>
    </w:p>
    <w:p w14:paraId="400CE683" w14:textId="77777777" w:rsidR="00F366D5" w:rsidRDefault="00F366D5" w:rsidP="009479E5">
      <w:pPr>
        <w:jc w:val="both"/>
      </w:pPr>
    </w:p>
    <w:p w14:paraId="49F4133F" w14:textId="2AB97C19" w:rsidR="00F366D5" w:rsidRDefault="00F366D5" w:rsidP="009479E5">
      <w:pPr>
        <w:jc w:val="both"/>
      </w:pPr>
      <w:r>
        <w:t xml:space="preserve">Miljøministeriet </w:t>
      </w:r>
      <w:r w:rsidR="00133BA7">
        <w:t>vurderer, at de foreslåede ændringer ikke er omfattet af miljøvurderingslovens § 8, og at der derfor ikke er pl</w:t>
      </w:r>
      <w:r w:rsidR="0003136D">
        <w:t xml:space="preserve">igt til at iagttage reglerne om </w:t>
      </w:r>
      <w:r w:rsidR="00133BA7">
        <w:t xml:space="preserve">miljøvurdering (SMV). </w:t>
      </w:r>
    </w:p>
    <w:p w14:paraId="339321B1" w14:textId="77777777" w:rsidR="00F366D5" w:rsidRDefault="00F366D5" w:rsidP="009479E5">
      <w:pPr>
        <w:jc w:val="both"/>
      </w:pPr>
    </w:p>
    <w:p w14:paraId="0D066550" w14:textId="5ADD9672" w:rsidR="00F366D5" w:rsidRPr="003203F6" w:rsidRDefault="00F366D5" w:rsidP="009479E5">
      <w:pPr>
        <w:pStyle w:val="Opstilling-talellerbogst"/>
        <w:jc w:val="both"/>
        <w:rPr>
          <w:b/>
        </w:rPr>
      </w:pPr>
      <w:r>
        <w:rPr>
          <w:b/>
        </w:rPr>
        <w:t>Administrative og erhvervsøkonomiske konsekvenser</w:t>
      </w:r>
    </w:p>
    <w:p w14:paraId="0F2EB769" w14:textId="77777777" w:rsidR="0011054C" w:rsidRDefault="0011054C" w:rsidP="009479E5">
      <w:pPr>
        <w:jc w:val="both"/>
        <w:rPr>
          <w:szCs w:val="22"/>
        </w:rPr>
      </w:pPr>
    </w:p>
    <w:p w14:paraId="26185026" w14:textId="621D0AA8" w:rsidR="00927B6D" w:rsidRDefault="00927B6D" w:rsidP="009479E5">
      <w:pPr>
        <w:jc w:val="both"/>
        <w:rPr>
          <w:szCs w:val="22"/>
        </w:rPr>
      </w:pPr>
      <w:r w:rsidRPr="00927B6D">
        <w:rPr>
          <w:szCs w:val="22"/>
        </w:rPr>
        <w:t xml:space="preserve">Udkastet til ændring af CITES-bekendtgørelsen indebærer ikke, at virksomhederne </w:t>
      </w:r>
      <w:r>
        <w:rPr>
          <w:szCs w:val="22"/>
        </w:rPr>
        <w:t xml:space="preserve">og borgerne </w:t>
      </w:r>
      <w:r w:rsidRPr="00927B6D">
        <w:rPr>
          <w:szCs w:val="22"/>
        </w:rPr>
        <w:t>skal stille nye eller flere oplysninger til rådighed.</w:t>
      </w:r>
    </w:p>
    <w:p w14:paraId="397BCEFF" w14:textId="655A6A6F" w:rsidR="00927B6D" w:rsidRDefault="00927B6D" w:rsidP="009479E5">
      <w:pPr>
        <w:jc w:val="both"/>
        <w:rPr>
          <w:szCs w:val="22"/>
        </w:rPr>
      </w:pPr>
    </w:p>
    <w:p w14:paraId="58B20CC6" w14:textId="20E3B7D4" w:rsidR="00927B6D" w:rsidRDefault="00927B6D" w:rsidP="009479E5">
      <w:pPr>
        <w:jc w:val="both"/>
        <w:rPr>
          <w:szCs w:val="22"/>
        </w:rPr>
      </w:pPr>
      <w:r>
        <w:rPr>
          <w:szCs w:val="22"/>
        </w:rPr>
        <w:t xml:space="preserve">Virksomhederne og borgerne vil dog være forpligtede til at anvende Miljøstyrelsens digitale ansøgningsmodul, som </w:t>
      </w:r>
      <w:r w:rsidRPr="00927B6D">
        <w:rPr>
          <w:szCs w:val="22"/>
        </w:rPr>
        <w:t>kan tilgås og anvendes med en almindelig computer</w:t>
      </w:r>
      <w:r>
        <w:rPr>
          <w:szCs w:val="22"/>
        </w:rPr>
        <w:t xml:space="preserve"> med anvendelse af NEM-ID. Systemet er indrettet</w:t>
      </w:r>
      <w:r w:rsidRPr="00927B6D">
        <w:rPr>
          <w:szCs w:val="22"/>
        </w:rPr>
        <w:t xml:space="preserve"> således</w:t>
      </w:r>
      <w:r>
        <w:rPr>
          <w:szCs w:val="22"/>
        </w:rPr>
        <w:t>,</w:t>
      </w:r>
      <w:r w:rsidRPr="00927B6D">
        <w:rPr>
          <w:szCs w:val="22"/>
        </w:rPr>
        <w:t xml:space="preserve"> at </w:t>
      </w:r>
      <w:r w:rsidR="004A247F">
        <w:rPr>
          <w:szCs w:val="22"/>
        </w:rPr>
        <w:t>ansøger</w:t>
      </w:r>
      <w:r w:rsidR="004A247F" w:rsidRPr="00927B6D">
        <w:rPr>
          <w:szCs w:val="22"/>
        </w:rPr>
        <w:t xml:space="preserve">en </w:t>
      </w:r>
      <w:r w:rsidRPr="00927B6D">
        <w:rPr>
          <w:szCs w:val="22"/>
        </w:rPr>
        <w:t>guides igennem processen med hjælpetekster mv.</w:t>
      </w:r>
    </w:p>
    <w:p w14:paraId="5B101296" w14:textId="41BE8AB6" w:rsidR="004A247F" w:rsidRDefault="004A247F" w:rsidP="009479E5">
      <w:pPr>
        <w:jc w:val="both"/>
        <w:rPr>
          <w:szCs w:val="22"/>
        </w:rPr>
      </w:pPr>
    </w:p>
    <w:p w14:paraId="45DC3FA2" w14:textId="6C6942A9" w:rsidR="004A247F" w:rsidRDefault="004A247F" w:rsidP="009479E5">
      <w:pPr>
        <w:jc w:val="both"/>
        <w:rPr>
          <w:szCs w:val="22"/>
        </w:rPr>
      </w:pPr>
      <w:r>
        <w:rPr>
          <w:szCs w:val="22"/>
        </w:rPr>
        <w:lastRenderedPageBreak/>
        <w:t xml:space="preserve">Med gebyrfinansieringen påføres virksomheder og borgere omkostninger svarende til Miljøstyrelsens ressourceforbrug. </w:t>
      </w:r>
    </w:p>
    <w:p w14:paraId="2A9AA0A3" w14:textId="77777777" w:rsidR="00927B6D" w:rsidRDefault="00927B6D" w:rsidP="009479E5">
      <w:pPr>
        <w:jc w:val="both"/>
        <w:rPr>
          <w:szCs w:val="22"/>
        </w:rPr>
      </w:pPr>
    </w:p>
    <w:p w14:paraId="238E4CA6" w14:textId="77777777" w:rsidR="003526EE" w:rsidRDefault="003203F6" w:rsidP="009479E5">
      <w:pPr>
        <w:jc w:val="both"/>
        <w:rPr>
          <w:szCs w:val="22"/>
        </w:rPr>
      </w:pPr>
      <w:r w:rsidRPr="003203F6">
        <w:rPr>
          <w:szCs w:val="22"/>
        </w:rPr>
        <w:t xml:space="preserve">En gebyrfinansiering af CITES for så vidt angår enheder af dyr og ikke-levende planter og plantedele </w:t>
      </w:r>
      <w:r w:rsidR="004A247F">
        <w:rPr>
          <w:szCs w:val="22"/>
        </w:rPr>
        <w:t xml:space="preserve">forventes at </w:t>
      </w:r>
      <w:r w:rsidRPr="003203F6">
        <w:rPr>
          <w:szCs w:val="22"/>
        </w:rPr>
        <w:t>vil</w:t>
      </w:r>
      <w:r w:rsidR="004A247F">
        <w:rPr>
          <w:szCs w:val="22"/>
        </w:rPr>
        <w:t>le</w:t>
      </w:r>
      <w:r w:rsidRPr="003203F6">
        <w:rPr>
          <w:szCs w:val="22"/>
        </w:rPr>
        <w:t xml:space="preserve"> medføre indtægter for ca. </w:t>
      </w:r>
      <w:r w:rsidR="003526EE">
        <w:t>1,3-2,9 mio. kr. årligt i perioden 2021-2024</w:t>
      </w:r>
      <w:r w:rsidRPr="003203F6">
        <w:rPr>
          <w:szCs w:val="22"/>
        </w:rPr>
        <w:t xml:space="preserve">. Dette estimat er baseret på en forventet </w:t>
      </w:r>
      <w:proofErr w:type="spellStart"/>
      <w:r w:rsidRPr="003203F6">
        <w:rPr>
          <w:szCs w:val="22"/>
        </w:rPr>
        <w:t>sagsmængde</w:t>
      </w:r>
      <w:proofErr w:type="spellEnd"/>
      <w:r w:rsidRPr="003203F6">
        <w:rPr>
          <w:szCs w:val="22"/>
        </w:rPr>
        <w:t xml:space="preserve"> på ca. 4.750-5.050 sager årligt. Hovedparten af ansøgningerne fra denne del af CITES-ordningen modtages fra virksomheder, men også i mindre grad</w:t>
      </w:r>
      <w:r w:rsidR="004A247F">
        <w:rPr>
          <w:szCs w:val="22"/>
        </w:rPr>
        <w:t xml:space="preserve"> fra</w:t>
      </w:r>
      <w:r w:rsidRPr="003203F6">
        <w:rPr>
          <w:szCs w:val="22"/>
        </w:rPr>
        <w:t xml:space="preserve"> borgere.</w:t>
      </w:r>
      <w:r w:rsidR="0013034A">
        <w:rPr>
          <w:szCs w:val="22"/>
        </w:rPr>
        <w:t xml:space="preserve"> </w:t>
      </w:r>
    </w:p>
    <w:p w14:paraId="632A453D" w14:textId="77777777" w:rsidR="003526EE" w:rsidRDefault="003526EE" w:rsidP="009479E5">
      <w:pPr>
        <w:jc w:val="both"/>
        <w:rPr>
          <w:szCs w:val="22"/>
        </w:rPr>
      </w:pPr>
    </w:p>
    <w:p w14:paraId="45C58BCB" w14:textId="2F74ED18" w:rsidR="004A247F" w:rsidRPr="003203F6" w:rsidRDefault="004A247F" w:rsidP="009479E5">
      <w:pPr>
        <w:jc w:val="both"/>
        <w:rPr>
          <w:szCs w:val="22"/>
        </w:rPr>
      </w:pPr>
      <w:r w:rsidRPr="004A247F">
        <w:rPr>
          <w:szCs w:val="22"/>
        </w:rPr>
        <w:t>Virksomheder</w:t>
      </w:r>
      <w:r>
        <w:rPr>
          <w:szCs w:val="22"/>
        </w:rPr>
        <w:t xml:space="preserve"> og borgere</w:t>
      </w:r>
      <w:r w:rsidRPr="004A247F">
        <w:rPr>
          <w:szCs w:val="22"/>
        </w:rPr>
        <w:t xml:space="preserve"> kan i en overgangsperiode søge om fritagelse for kravet om digital ansøgning og elektronisk betaling, hvis virksomheden</w:t>
      </w:r>
      <w:r w:rsidR="00435E5A">
        <w:rPr>
          <w:szCs w:val="22"/>
        </w:rPr>
        <w:t xml:space="preserve"> eller borgeren</w:t>
      </w:r>
      <w:r w:rsidRPr="004A247F">
        <w:rPr>
          <w:szCs w:val="22"/>
        </w:rPr>
        <w:t xml:space="preserve"> ikke har de fornødne digitale kompetencer eller under henvisning til lignende forhold</w:t>
      </w:r>
      <w:r w:rsidR="003E5613">
        <w:rPr>
          <w:szCs w:val="22"/>
        </w:rPr>
        <w:t xml:space="preserve">, jf. afsnit </w:t>
      </w:r>
      <w:r w:rsidR="00C2058D">
        <w:rPr>
          <w:szCs w:val="22"/>
        </w:rPr>
        <w:t>7</w:t>
      </w:r>
      <w:r w:rsidRPr="004A247F">
        <w:rPr>
          <w:szCs w:val="22"/>
        </w:rPr>
        <w:t>.</w:t>
      </w:r>
      <w:r w:rsidR="00435E5A">
        <w:rPr>
          <w:szCs w:val="22"/>
        </w:rPr>
        <w:t xml:space="preserve"> Derudover foreslås det også, at der indføres en permanent dispensationsordning, som vil kunne anvendes i helt særlige tilfæ</w:t>
      </w:r>
      <w:r w:rsidR="003E5613">
        <w:rPr>
          <w:szCs w:val="22"/>
        </w:rPr>
        <w:t xml:space="preserve">lde. Der henvises til afsnit </w:t>
      </w:r>
      <w:r w:rsidR="00C2058D">
        <w:rPr>
          <w:szCs w:val="22"/>
        </w:rPr>
        <w:t>5</w:t>
      </w:r>
      <w:r w:rsidR="003E5613">
        <w:rPr>
          <w:szCs w:val="22"/>
        </w:rPr>
        <w:t>.2 og</w:t>
      </w:r>
      <w:r w:rsidR="00C2058D">
        <w:rPr>
          <w:szCs w:val="22"/>
        </w:rPr>
        <w:t xml:space="preserve"> 6</w:t>
      </w:r>
      <w:r w:rsidR="008F0E9A">
        <w:rPr>
          <w:szCs w:val="22"/>
        </w:rPr>
        <w:t>.3</w:t>
      </w:r>
      <w:r w:rsidR="00435E5A">
        <w:rPr>
          <w:szCs w:val="22"/>
        </w:rPr>
        <w:t xml:space="preserve"> ovenfor. </w:t>
      </w:r>
    </w:p>
    <w:p w14:paraId="51A98C3B" w14:textId="77777777" w:rsidR="003203F6" w:rsidRDefault="003203F6" w:rsidP="009479E5">
      <w:pPr>
        <w:jc w:val="both"/>
      </w:pPr>
    </w:p>
    <w:p w14:paraId="496978D7" w14:textId="1C5AE89E" w:rsidR="00F366D5" w:rsidRDefault="0098573F" w:rsidP="009479E5">
      <w:pPr>
        <w:jc w:val="both"/>
      </w:pPr>
      <w:r>
        <w:t>Udkastet til b</w:t>
      </w:r>
      <w:r w:rsidR="00F366D5">
        <w:t>ekendtgørelsen</w:t>
      </w:r>
      <w:r>
        <w:t xml:space="preserve"> har været</w:t>
      </w:r>
      <w:r w:rsidR="00BE0754">
        <w:t xml:space="preserve"> i præhøring hos</w:t>
      </w:r>
      <w:r w:rsidR="00F366D5">
        <w:t xml:space="preserve"> </w:t>
      </w:r>
      <w:r w:rsidR="00BE0754" w:rsidRPr="00BE0754">
        <w:t xml:space="preserve">Erhvervsstyrelsens Område for Bedre Regulering (OBR) </w:t>
      </w:r>
      <w:r>
        <w:t xml:space="preserve">med henblik på </w:t>
      </w:r>
      <w:r w:rsidR="00A56CE8">
        <w:t>vurdering af bekendtgørelsen a</w:t>
      </w:r>
      <w:r w:rsidR="00F366D5">
        <w:t>dministrative konsekvenser for erhvervslivet</w:t>
      </w:r>
      <w:r w:rsidR="00A56CE8">
        <w:t xml:space="preserve"> og </w:t>
      </w:r>
      <w:r w:rsidR="00F366D5">
        <w:t>agil erhvervsrettet regulering.</w:t>
      </w:r>
    </w:p>
    <w:p w14:paraId="778E4464" w14:textId="32F75D2A" w:rsidR="00097366" w:rsidRDefault="00097366" w:rsidP="009479E5">
      <w:pPr>
        <w:jc w:val="both"/>
      </w:pPr>
      <w:r>
        <w:br/>
      </w:r>
      <w:r w:rsidR="00BE0754">
        <w:t>OBR</w:t>
      </w:r>
      <w:r>
        <w:t xml:space="preserve"> har vurderet, at bekendtgørelsen er forbundet med </w:t>
      </w:r>
      <w:r w:rsidR="009E114D" w:rsidRPr="009E114D">
        <w:t>administrative konsekvenser for erhvervslivet</w:t>
      </w:r>
      <w:r w:rsidR="009E114D">
        <w:t xml:space="preserve">, men at disse </w:t>
      </w:r>
      <w:r>
        <w:t xml:space="preserve">konsekvenser </w:t>
      </w:r>
      <w:r w:rsidR="009E114D">
        <w:t xml:space="preserve">er </w:t>
      </w:r>
      <w:r w:rsidR="0013034A" w:rsidRPr="0013034A">
        <w:t>under 4 mio. kr., hvorfor</w:t>
      </w:r>
      <w:r w:rsidR="009E114D">
        <w:t xml:space="preserve"> de ikke kvantificeres nærmere.</w:t>
      </w:r>
    </w:p>
    <w:p w14:paraId="684F03D0" w14:textId="0C15B3CB" w:rsidR="009E114D" w:rsidRDefault="009E114D" w:rsidP="009479E5">
      <w:pPr>
        <w:jc w:val="both"/>
      </w:pPr>
    </w:p>
    <w:p w14:paraId="379F2639" w14:textId="10CA09A6" w:rsidR="009E114D" w:rsidRDefault="009E114D" w:rsidP="009479E5">
      <w:pPr>
        <w:jc w:val="both"/>
      </w:pPr>
      <w:r>
        <w:t xml:space="preserve">Ministeriet har i overensstemmelse med Erhvervsstyrelsens tilbagemelding vurderet, at </w:t>
      </w:r>
      <w:r w:rsidR="008F0E9A">
        <w:t>p</w:t>
      </w:r>
      <w:r w:rsidRPr="009E114D">
        <w:t>rincipper</w:t>
      </w:r>
      <w:r w:rsidR="008F0E9A">
        <w:t>ne</w:t>
      </w:r>
      <w:r w:rsidRPr="009E114D">
        <w:t xml:space="preserve"> for agil erhvervsrettet regulering</w:t>
      </w:r>
      <w:r>
        <w:t xml:space="preserve"> ikke er relevante. </w:t>
      </w:r>
    </w:p>
    <w:p w14:paraId="6E4DB495" w14:textId="77777777" w:rsidR="00F366D5" w:rsidRDefault="00F366D5" w:rsidP="009479E5">
      <w:pPr>
        <w:jc w:val="both"/>
      </w:pPr>
    </w:p>
    <w:p w14:paraId="3615A839" w14:textId="77777777" w:rsidR="00F366D5" w:rsidRDefault="00F366D5" w:rsidP="009479E5">
      <w:pPr>
        <w:pStyle w:val="Opstilling-talellerbogst"/>
        <w:jc w:val="both"/>
        <w:rPr>
          <w:b/>
        </w:rPr>
      </w:pPr>
      <w:r>
        <w:rPr>
          <w:b/>
        </w:rPr>
        <w:t>Forholdet til EU-retten</w:t>
      </w:r>
    </w:p>
    <w:p w14:paraId="27622089" w14:textId="77777777" w:rsidR="0011054C" w:rsidRDefault="0011054C" w:rsidP="009479E5">
      <w:pPr>
        <w:jc w:val="both"/>
      </w:pPr>
    </w:p>
    <w:p w14:paraId="1336070E" w14:textId="4CDBCD5C" w:rsidR="00F366D5" w:rsidRPr="00BF5647" w:rsidRDefault="00133BA7" w:rsidP="009479E5">
      <w:pPr>
        <w:jc w:val="both"/>
        <w:rPr>
          <w:szCs w:val="22"/>
        </w:rPr>
      </w:pPr>
      <w:r>
        <w:t xml:space="preserve">CITES-bekendtgørelsen har til formål at bidrage til opfyldelsen af de forpligtelser, der følger af </w:t>
      </w:r>
      <w:r w:rsidRPr="00133BA7">
        <w:t>Rådets forordning (EF) nr. 338/97 af 9. december 1996 om beskyttelse af vilde dyr og planter ved kontrol af handelen hermed og de hertil knyttede til enhver tid gældende kommissionsforordninger</w:t>
      </w:r>
      <w:r w:rsidR="007C4E5F">
        <w:t>.</w:t>
      </w:r>
    </w:p>
    <w:sectPr w:rsidR="00F366D5" w:rsidRPr="00BF5647" w:rsidSect="0048667B">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449EA" w14:textId="77777777" w:rsidR="00836926" w:rsidRDefault="00836926">
      <w:r>
        <w:separator/>
      </w:r>
    </w:p>
  </w:endnote>
  <w:endnote w:type="continuationSeparator" w:id="0">
    <w:p w14:paraId="19B56B43" w14:textId="77777777" w:rsidR="00836926" w:rsidRDefault="008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F9F8"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F5647">
      <w:rPr>
        <w:rStyle w:val="Sidetal"/>
        <w:noProof/>
      </w:rPr>
      <w:t>1</w:t>
    </w:r>
    <w:r>
      <w:rPr>
        <w:rStyle w:val="Sidetal"/>
      </w:rPr>
      <w:fldChar w:fldCharType="end"/>
    </w:r>
  </w:p>
  <w:p w14:paraId="5BF95F28"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A923" w14:textId="3C3A07DC"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BE6D1D">
      <w:rPr>
        <w:rStyle w:val="Sidetal"/>
        <w:noProof/>
      </w:rPr>
      <w:t>5</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EE65B" w14:textId="77777777" w:rsidR="00EE0137" w:rsidRPr="00BF5647" w:rsidRDefault="00BF5647" w:rsidP="00EE0137">
    <w:pPr>
      <w:pStyle w:val="Template-Address"/>
    </w:pPr>
    <w:bookmarkStart w:id="17" w:name="OFF_Institution"/>
    <w:bookmarkStart w:id="18" w:name="OFF_InstitutionHIF"/>
    <w:bookmarkStart w:id="19" w:name="XIF_MMFirstAddressLine"/>
    <w:r w:rsidRPr="00BF5647">
      <w:t>Miljøministeriet</w:t>
    </w:r>
    <w:bookmarkEnd w:id="17"/>
    <w:r w:rsidR="00EE0137" w:rsidRPr="00BF5647">
      <w:t xml:space="preserve"> </w:t>
    </w:r>
    <w:bookmarkEnd w:id="18"/>
    <w:r w:rsidR="00EE0137" w:rsidRPr="00BF5647">
      <w:t xml:space="preserve">• </w:t>
    </w:r>
    <w:bookmarkStart w:id="20" w:name="OFF_AddressA"/>
    <w:bookmarkStart w:id="21" w:name="OFF_AddressAHIF"/>
    <w:r w:rsidRPr="00BF5647">
      <w:t>Slotsholmsgade 12</w:t>
    </w:r>
    <w:bookmarkEnd w:id="20"/>
    <w:r w:rsidR="00EE0137" w:rsidRPr="00BF5647">
      <w:t xml:space="preserve"> </w:t>
    </w:r>
    <w:bookmarkEnd w:id="21"/>
    <w:r w:rsidR="00EE0137" w:rsidRPr="00BF5647">
      <w:rPr>
        <w:vanish/>
      </w:rPr>
      <w:t xml:space="preserve">• </w:t>
    </w:r>
    <w:bookmarkStart w:id="22" w:name="OFF_AddressB"/>
    <w:bookmarkStart w:id="23" w:name="OFF_AddressBHIF"/>
    <w:bookmarkEnd w:id="22"/>
    <w:r w:rsidR="00EE0137" w:rsidRPr="00BF5647">
      <w:rPr>
        <w:vanish/>
      </w:rPr>
      <w:t xml:space="preserve"> </w:t>
    </w:r>
    <w:bookmarkEnd w:id="23"/>
    <w:r w:rsidR="00EE0137" w:rsidRPr="00BF5647">
      <w:rPr>
        <w:vanish/>
      </w:rPr>
      <w:t xml:space="preserve">• </w:t>
    </w:r>
    <w:bookmarkStart w:id="24" w:name="OFF_AddressC"/>
    <w:bookmarkStart w:id="25" w:name="OFF_AddressCHIF"/>
    <w:bookmarkEnd w:id="24"/>
    <w:r w:rsidR="00EE0137" w:rsidRPr="00BF5647">
      <w:rPr>
        <w:vanish/>
      </w:rPr>
      <w:t xml:space="preserve"> </w:t>
    </w:r>
    <w:bookmarkEnd w:id="25"/>
    <w:r w:rsidR="00EE0137" w:rsidRPr="00BF5647">
      <w:t xml:space="preserve">• </w:t>
    </w:r>
    <w:bookmarkStart w:id="26" w:name="OFF_AddressD"/>
    <w:bookmarkStart w:id="27" w:name="OFF_AddressDHIF"/>
    <w:r w:rsidRPr="00BF5647">
      <w:t>1216</w:t>
    </w:r>
    <w:bookmarkEnd w:id="26"/>
    <w:r w:rsidR="00EE0137" w:rsidRPr="00BF5647">
      <w:t xml:space="preserve"> </w:t>
    </w:r>
    <w:bookmarkStart w:id="28" w:name="OFF_City"/>
    <w:r>
      <w:t>København K</w:t>
    </w:r>
    <w:bookmarkEnd w:id="28"/>
    <w:r w:rsidR="00EE0137" w:rsidRPr="00BF5647">
      <w:t xml:space="preserve"> </w:t>
    </w:r>
    <w:bookmarkEnd w:id="27"/>
  </w:p>
  <w:p w14:paraId="0688007D" w14:textId="77777777" w:rsidR="00EE0137" w:rsidRPr="00956D3A" w:rsidRDefault="00BF5647" w:rsidP="00EE0137">
    <w:pPr>
      <w:pStyle w:val="Template-Address"/>
    </w:pPr>
    <w:bookmarkStart w:id="29" w:name="LAN_Phone"/>
    <w:bookmarkStart w:id="30" w:name="OFF_PhoneHIF"/>
    <w:bookmarkStart w:id="31" w:name="XIF_MMSecondAddressLine"/>
    <w:bookmarkEnd w:id="19"/>
    <w:r w:rsidRPr="00BF5647">
      <w:t>Tlf.</w:t>
    </w:r>
    <w:bookmarkEnd w:id="29"/>
    <w:r w:rsidR="00EE0137" w:rsidRPr="00BF5647">
      <w:t xml:space="preserve"> </w:t>
    </w:r>
    <w:bookmarkStart w:id="32" w:name="OFF_Phone"/>
    <w:r w:rsidRPr="00BF5647">
      <w:t>38 14 21 42</w:t>
    </w:r>
    <w:bookmarkEnd w:id="32"/>
    <w:r w:rsidR="00EE0137" w:rsidRPr="00BF5647">
      <w:t xml:space="preserve"> </w:t>
    </w:r>
    <w:bookmarkEnd w:id="30"/>
    <w:r w:rsidR="00EE0137" w:rsidRPr="00BF5647">
      <w:t xml:space="preserve">• </w:t>
    </w:r>
    <w:bookmarkStart w:id="33" w:name="LAN_Fax"/>
    <w:bookmarkStart w:id="34" w:name="OFF_FaxHIF"/>
    <w:r w:rsidRPr="00BF5647">
      <w:t>Fax</w:t>
    </w:r>
    <w:bookmarkEnd w:id="33"/>
    <w:r w:rsidR="00EE0137" w:rsidRPr="00BF5647">
      <w:t xml:space="preserve"> </w:t>
    </w:r>
    <w:bookmarkStart w:id="35" w:name="OFF_Fax"/>
    <w:r w:rsidRPr="00BF5647">
      <w:t>33 14 50 42</w:t>
    </w:r>
    <w:bookmarkEnd w:id="35"/>
    <w:r w:rsidR="00EE0137" w:rsidRPr="00BF5647">
      <w:t xml:space="preserve"> </w:t>
    </w:r>
    <w:bookmarkEnd w:id="34"/>
    <w:r w:rsidR="00EE0137" w:rsidRPr="00BF5647">
      <w:t xml:space="preserve">• </w:t>
    </w:r>
    <w:bookmarkStart w:id="36" w:name="OFF_CVRHIF"/>
    <w:r w:rsidR="00EE0137" w:rsidRPr="00BF5647">
      <w:t xml:space="preserve">CVR </w:t>
    </w:r>
    <w:bookmarkStart w:id="37" w:name="OFF_CVR"/>
    <w:r w:rsidRPr="00BF5647">
      <w:t>12854358</w:t>
    </w:r>
    <w:bookmarkEnd w:id="37"/>
    <w:r w:rsidR="00EE0137" w:rsidRPr="00BF5647">
      <w:t xml:space="preserve"> </w:t>
    </w:r>
    <w:bookmarkEnd w:id="36"/>
    <w:r w:rsidR="00EE0137" w:rsidRPr="00BF5647">
      <w:t xml:space="preserve">• </w:t>
    </w:r>
    <w:bookmarkStart w:id="38" w:name="OFF_EANHIF"/>
    <w:r w:rsidR="00EE0137" w:rsidRPr="00BF5647">
      <w:t xml:space="preserve">EAN </w:t>
    </w:r>
    <w:bookmarkStart w:id="39" w:name="OFF_EAN"/>
    <w:r w:rsidRPr="00BF5647">
      <w:t>5798000862005</w:t>
    </w:r>
    <w:bookmarkEnd w:id="39"/>
    <w:r w:rsidR="00EE0137" w:rsidRPr="00BF5647">
      <w:t xml:space="preserve"> </w:t>
    </w:r>
    <w:bookmarkEnd w:id="38"/>
    <w:r w:rsidR="00EE0137" w:rsidRPr="00BF5647">
      <w:t xml:space="preserve">• </w:t>
    </w:r>
    <w:bookmarkStart w:id="40" w:name="OFF_Email"/>
    <w:bookmarkStart w:id="41" w:name="OFF_EmailHIF"/>
    <w:r w:rsidRPr="00BF5647">
      <w:t>mfvm@mfvm.dk</w:t>
    </w:r>
    <w:bookmarkEnd w:id="40"/>
    <w:r w:rsidR="00EE0137" w:rsidRPr="00BF5647">
      <w:t xml:space="preserve"> </w:t>
    </w:r>
    <w:bookmarkEnd w:id="41"/>
    <w:r w:rsidR="00EE0137" w:rsidRPr="00BF5647">
      <w:t xml:space="preserve">• </w:t>
    </w:r>
    <w:bookmarkStart w:id="42" w:name="OFF_Web"/>
    <w:bookmarkStart w:id="43" w:name="OFF_WebHIF"/>
    <w:r w:rsidRPr="00BF5647">
      <w:t>www.mfvm.dk</w:t>
    </w:r>
    <w:bookmarkEnd w:id="42"/>
    <w:r w:rsidR="00EE0137" w:rsidRPr="00BF5647">
      <w:t xml:space="preserve"> </w:t>
    </w:r>
    <w:bookmarkEnd w:id="31"/>
    <w:bookmarkEnd w:id="43"/>
  </w:p>
  <w:p w14:paraId="2A875D34"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BCB5" w14:textId="77777777" w:rsidR="00836926" w:rsidRDefault="00836926">
      <w:r>
        <w:separator/>
      </w:r>
    </w:p>
  </w:footnote>
  <w:footnote w:type="continuationSeparator" w:id="0">
    <w:p w14:paraId="7F5D1CE6" w14:textId="77777777" w:rsidR="00836926" w:rsidRDefault="00836926">
      <w:r>
        <w:continuationSeparator/>
      </w:r>
    </w:p>
  </w:footnote>
  <w:footnote w:id="1">
    <w:p w14:paraId="342DF6AD" w14:textId="701C683D" w:rsidR="00A67400" w:rsidRPr="00A67400" w:rsidRDefault="00A67400">
      <w:pPr>
        <w:pStyle w:val="Fodnotetekst"/>
        <w:rPr>
          <w:rFonts w:asciiTheme="minorHAnsi" w:hAnsiTheme="minorHAnsi"/>
          <w:sz w:val="16"/>
          <w:szCs w:val="16"/>
        </w:rPr>
      </w:pPr>
      <w:r w:rsidRPr="00A67400">
        <w:rPr>
          <w:rStyle w:val="Fodnotehenvisning"/>
          <w:rFonts w:asciiTheme="minorHAnsi" w:hAnsiTheme="minorHAnsi"/>
          <w:sz w:val="16"/>
          <w:szCs w:val="16"/>
        </w:rPr>
        <w:footnoteRef/>
      </w:r>
      <w:r w:rsidRPr="00A67400">
        <w:rPr>
          <w:rFonts w:asciiTheme="minorHAnsi" w:hAnsiTheme="minorHAnsi"/>
          <w:sz w:val="16"/>
          <w:szCs w:val="16"/>
        </w:rPr>
        <w:t xml:space="preserve"> Der henvises til bekendtgørelse</w:t>
      </w:r>
      <w:r w:rsidRPr="00A67400">
        <w:rPr>
          <w:rFonts w:asciiTheme="minorHAnsi" w:hAnsiTheme="minorHAnsi"/>
          <w:sz w:val="16"/>
          <w:szCs w:val="16"/>
          <w:shd w:val="clear" w:color="auto" w:fill="F9F9FB"/>
        </w:rPr>
        <w:t xml:space="preserve"> nr</w:t>
      </w:r>
      <w:r>
        <w:rPr>
          <w:rFonts w:asciiTheme="minorHAnsi" w:hAnsiTheme="minorHAnsi"/>
          <w:sz w:val="16"/>
          <w:szCs w:val="16"/>
          <w:shd w:val="clear" w:color="auto" w:fill="F9F9FB"/>
        </w:rPr>
        <w:t>.</w:t>
      </w:r>
      <w:r w:rsidRPr="00A67400">
        <w:rPr>
          <w:rFonts w:asciiTheme="minorHAnsi" w:hAnsiTheme="minorHAnsi"/>
          <w:sz w:val="16"/>
          <w:szCs w:val="16"/>
          <w:shd w:val="clear" w:color="auto" w:fill="F9F9FB"/>
        </w:rPr>
        <w:t xml:space="preserve"> 1553 af 18</w:t>
      </w:r>
      <w:r>
        <w:rPr>
          <w:rFonts w:asciiTheme="minorHAnsi" w:hAnsiTheme="minorHAnsi"/>
          <w:sz w:val="16"/>
          <w:szCs w:val="16"/>
          <w:shd w:val="clear" w:color="auto" w:fill="F9F9FB"/>
        </w:rPr>
        <w:t xml:space="preserve">. december </w:t>
      </w:r>
      <w:r w:rsidRPr="00A67400">
        <w:rPr>
          <w:rFonts w:asciiTheme="minorHAnsi" w:hAnsiTheme="minorHAnsi"/>
          <w:sz w:val="16"/>
          <w:szCs w:val="16"/>
          <w:shd w:val="clear" w:color="auto" w:fill="F9F9FB"/>
        </w:rPr>
        <w:t>2013</w:t>
      </w:r>
      <w:r w:rsidRPr="00A67400">
        <w:rPr>
          <w:rFonts w:asciiTheme="minorHAnsi" w:hAnsiTheme="minorHAnsi"/>
          <w:sz w:val="16"/>
          <w:szCs w:val="16"/>
        </w:rPr>
        <w:t xml:space="preserve"> om fritagelse af fysiske personer fra tilslutning til Offentlig Digital Post m.v.</w:t>
      </w:r>
      <w:r>
        <w:rPr>
          <w:rFonts w:asciiTheme="minorHAnsi" w:hAnsiTheme="minorHAnsi"/>
          <w:sz w:val="16"/>
          <w:szCs w:val="16"/>
        </w:rPr>
        <w:t xml:space="preserve"> samt b</w:t>
      </w:r>
      <w:r w:rsidRPr="00A67400">
        <w:rPr>
          <w:rFonts w:asciiTheme="minorHAnsi" w:hAnsiTheme="minorHAnsi"/>
          <w:sz w:val="16"/>
          <w:szCs w:val="16"/>
        </w:rPr>
        <w:t>ekendtgørelse</w:t>
      </w:r>
      <w:r>
        <w:rPr>
          <w:rFonts w:asciiTheme="minorHAnsi" w:hAnsiTheme="minorHAnsi"/>
          <w:sz w:val="16"/>
          <w:szCs w:val="16"/>
        </w:rPr>
        <w:t xml:space="preserve"> nr. 985 af </w:t>
      </w:r>
      <w:r w:rsidRPr="00A67400">
        <w:rPr>
          <w:rFonts w:asciiTheme="minorHAnsi" w:hAnsiTheme="minorHAnsi"/>
          <w:sz w:val="16"/>
          <w:szCs w:val="16"/>
        </w:rPr>
        <w:t>7</w:t>
      </w:r>
      <w:r>
        <w:rPr>
          <w:rFonts w:asciiTheme="minorHAnsi" w:hAnsiTheme="minorHAnsi"/>
          <w:sz w:val="16"/>
          <w:szCs w:val="16"/>
        </w:rPr>
        <w:t xml:space="preserve">. august </w:t>
      </w:r>
      <w:r w:rsidRPr="00A67400">
        <w:rPr>
          <w:rFonts w:asciiTheme="minorHAnsi" w:hAnsiTheme="minorHAnsi"/>
          <w:sz w:val="16"/>
          <w:szCs w:val="16"/>
        </w:rPr>
        <w:t>2013 om fritagelse af juridiske enheder med CVR-nummer samt fysiske personer med erhvervsaktiviteter for tilslutning til Digital</w:t>
      </w:r>
      <w:r>
        <w:rPr>
          <w:rFonts w:asciiTheme="minorHAnsi" w:hAnsiTheme="minorHAnsi"/>
          <w:sz w:val="16"/>
          <w:szCs w:val="16"/>
        </w:rPr>
        <w:t xml:space="preserve"> Post. </w:t>
      </w:r>
    </w:p>
  </w:footnote>
  <w:footnote w:id="2">
    <w:p w14:paraId="66C91209" w14:textId="14305401" w:rsidR="009E114D" w:rsidRPr="005304A9" w:rsidRDefault="009E114D">
      <w:pPr>
        <w:pStyle w:val="Fodnotetekst"/>
        <w:rPr>
          <w:rFonts w:asciiTheme="minorHAnsi" w:hAnsiTheme="minorHAnsi"/>
          <w:sz w:val="16"/>
          <w:szCs w:val="16"/>
        </w:rPr>
      </w:pPr>
      <w:r w:rsidRPr="005304A9">
        <w:rPr>
          <w:rStyle w:val="Fodnotehenvisning"/>
          <w:rFonts w:asciiTheme="minorHAnsi" w:hAnsiTheme="minorHAnsi"/>
          <w:sz w:val="16"/>
          <w:szCs w:val="16"/>
        </w:rPr>
        <w:footnoteRef/>
      </w:r>
      <w:r w:rsidRPr="005304A9">
        <w:rPr>
          <w:rFonts w:asciiTheme="minorHAnsi" w:hAnsiTheme="minorHAnsi"/>
          <w:sz w:val="16"/>
          <w:szCs w:val="16"/>
        </w:rPr>
        <w:t xml:space="preserve"> </w:t>
      </w:r>
      <w:r w:rsidR="005304A9" w:rsidRPr="005304A9">
        <w:rPr>
          <w:rFonts w:asciiTheme="minorHAnsi" w:hAnsiTheme="minorHAnsi"/>
          <w:sz w:val="16"/>
          <w:szCs w:val="16"/>
        </w:rPr>
        <w:t xml:space="preserve">Der henvises til Moderniseringsstyrelsens budgetvejledning.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C1D8A" w14:textId="77777777" w:rsidR="000E717B" w:rsidRDefault="000E717B">
    <w:pPr>
      <w:pStyle w:val="Sidehoved"/>
    </w:pPr>
    <w:bookmarkStart w:id="1" w:name="BIT_PrimaryHeader"/>
  </w:p>
  <w:bookmarkEnd w:id="1"/>
  <w:p w14:paraId="08062522"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CBE3" w14:textId="77777777" w:rsidR="00EE0137" w:rsidRPr="00E959A5" w:rsidRDefault="00BF5647" w:rsidP="00EE0137">
    <w:bookmarkStart w:id="2" w:name="BIT_DocumentName"/>
    <w:bookmarkEnd w:id="2"/>
    <w:r>
      <w:rPr>
        <w:noProof/>
      </w:rPr>
      <w:drawing>
        <wp:anchor distT="0" distB="0" distL="114300" distR="114300" simplePos="0" relativeHeight="251660288" behindDoc="0" locked="1" layoutInCell="1" allowOverlap="1" wp14:anchorId="7832CE2E" wp14:editId="501C9FF0">
          <wp:simplePos x="0" y="0"/>
          <wp:positionH relativeFrom="rightMargin">
            <wp:align>right</wp:align>
          </wp:positionH>
          <wp:positionV relativeFrom="page">
            <wp:posOffset>431800</wp:posOffset>
          </wp:positionV>
          <wp:extent cx="2627626"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26" cy="527050"/>
                  </a:xfrm>
                  <a:prstGeom prst="rect">
                    <a:avLst/>
                  </a:prstGeom>
                </pic:spPr>
              </pic:pic>
            </a:graphicData>
          </a:graphic>
          <wp14:sizeRelH relativeFrom="page">
            <wp14:pctWidth>0</wp14:pctWidth>
          </wp14:sizeRelH>
          <wp14:sizeRelV relativeFrom="page">
            <wp14:pctHeight>0</wp14:pctHeight>
          </wp14:sizeRelV>
        </wp:anchor>
      </w:drawing>
    </w:r>
    <w:r w:rsidR="00EE0137" w:rsidRPr="00E959A5">
      <w:rPr>
        <w:noProof/>
      </w:rPr>
      <mc:AlternateContent>
        <mc:Choice Requires="wps">
          <w:drawing>
            <wp:anchor distT="0" distB="0" distL="114300" distR="114300" simplePos="0" relativeHeight="251659264" behindDoc="0" locked="1" layoutInCell="1" allowOverlap="1" wp14:anchorId="7530A34F" wp14:editId="65F607D5">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3344FB2D" w14:textId="77777777">
                            <w:trPr>
                              <w:cantSplit/>
                              <w:trHeight w:val="2778"/>
                            </w:trPr>
                            <w:tc>
                              <w:tcPr>
                                <w:tcW w:w="2755" w:type="dxa"/>
                                <w:tcMar>
                                  <w:top w:w="34" w:type="dxa"/>
                                  <w:left w:w="0" w:type="dxa"/>
                                  <w:bottom w:w="28" w:type="dxa"/>
                                  <w:right w:w="0" w:type="dxa"/>
                                </w:tcMar>
                              </w:tcPr>
                              <w:p w14:paraId="2A975337" w14:textId="5039DAB2" w:rsidR="00EE0137" w:rsidRPr="00BF5647" w:rsidRDefault="00A82BF2">
                                <w:pPr>
                                  <w:pStyle w:val="Kolofontekst"/>
                                </w:pPr>
                                <w:bookmarkStart w:id="3" w:name="OFF_DepartmentHIF"/>
                                <w:r>
                                  <w:t>Vild natur og biodiversitet</w:t>
                                </w:r>
                              </w:p>
                              <w:p w14:paraId="0A6040D9" w14:textId="7C39DEB0" w:rsidR="00EE0137" w:rsidRPr="00BF5647" w:rsidRDefault="00BF5647">
                                <w:pPr>
                                  <w:pStyle w:val="Kolofontekst"/>
                                </w:pPr>
                                <w:bookmarkStart w:id="4" w:name="LAN_CaseNo"/>
                                <w:bookmarkStart w:id="5" w:name="dossier_f2casenumberHIF"/>
                                <w:bookmarkEnd w:id="3"/>
                                <w:r w:rsidRPr="00BF5647">
                                  <w:t>J.nr.</w:t>
                                </w:r>
                                <w:bookmarkEnd w:id="4"/>
                                <w:r w:rsidR="00EE0137" w:rsidRPr="00BF5647">
                                  <w:t xml:space="preserve"> </w:t>
                                </w:r>
                                <w:r w:rsidR="004800CE">
                                  <w:rPr>
                                    <w:color w:val="000000" w:themeColor="text1"/>
                                    <w:lang w:val="de-DE"/>
                                  </w:rPr>
                                  <w:t>2021-3178</w:t>
                                </w:r>
                                <w:r w:rsidR="00EE0137" w:rsidRPr="00BF5647">
                                  <w:t xml:space="preserve">  </w:t>
                                </w:r>
                              </w:p>
                              <w:p w14:paraId="29A46C79" w14:textId="77777777" w:rsidR="00EE0137" w:rsidRPr="00BF5647" w:rsidRDefault="00BF5647">
                                <w:pPr>
                                  <w:pStyle w:val="Kolofontekst"/>
                                </w:pPr>
                                <w:bookmarkStart w:id="6" w:name="LAN_Ref"/>
                                <w:bookmarkStart w:id="7" w:name="USR_InitialsHIF"/>
                                <w:bookmarkEnd w:id="5"/>
                                <w:r w:rsidRPr="00BF5647">
                                  <w:t>Ref.</w:t>
                                </w:r>
                                <w:bookmarkEnd w:id="6"/>
                                <w:r w:rsidR="00EE0137" w:rsidRPr="00BF5647">
                                  <w:t xml:space="preserve"> </w:t>
                                </w:r>
                                <w:bookmarkStart w:id="8" w:name="USR_Initials"/>
                                <w:r w:rsidRPr="00BF5647">
                                  <w:t>JUBRA</w:t>
                                </w:r>
                                <w:bookmarkEnd w:id="8"/>
                              </w:p>
                              <w:p w14:paraId="23E214CE" w14:textId="77527791" w:rsidR="00EE0137" w:rsidRDefault="00BF5647" w:rsidP="00EE6BD3">
                                <w:pPr>
                                  <w:pStyle w:val="Kolofontekst"/>
                                </w:pPr>
                                <w:bookmarkStart w:id="9" w:name="FLD_DocumentDate"/>
                                <w:bookmarkEnd w:id="7"/>
                                <w:r>
                                  <w:t xml:space="preserve">Den </w:t>
                                </w:r>
                                <w:r w:rsidR="00EE6BD3">
                                  <w:t>26. marts</w:t>
                                </w:r>
                                <w:r>
                                  <w:t xml:space="preserve"> 2021</w:t>
                                </w:r>
                                <w:bookmarkEnd w:id="9"/>
                              </w:p>
                            </w:tc>
                          </w:tr>
                        </w:tbl>
                        <w:p w14:paraId="7864CD1A"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0A34F"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3344FB2D" w14:textId="77777777">
                      <w:trPr>
                        <w:cantSplit/>
                        <w:trHeight w:val="2778"/>
                      </w:trPr>
                      <w:tc>
                        <w:tcPr>
                          <w:tcW w:w="2755" w:type="dxa"/>
                          <w:tcMar>
                            <w:top w:w="34" w:type="dxa"/>
                            <w:left w:w="0" w:type="dxa"/>
                            <w:bottom w:w="28" w:type="dxa"/>
                            <w:right w:w="0" w:type="dxa"/>
                          </w:tcMar>
                        </w:tcPr>
                        <w:p w14:paraId="2A975337" w14:textId="5039DAB2" w:rsidR="00EE0137" w:rsidRPr="00BF5647" w:rsidRDefault="00A82BF2">
                          <w:pPr>
                            <w:pStyle w:val="Kolofontekst"/>
                          </w:pPr>
                          <w:bookmarkStart w:id="10" w:name="OFF_DepartmentHIF"/>
                          <w:r>
                            <w:t>Vild natur og biodiversitet</w:t>
                          </w:r>
                        </w:p>
                        <w:p w14:paraId="0A6040D9" w14:textId="7C39DEB0" w:rsidR="00EE0137" w:rsidRPr="00BF5647" w:rsidRDefault="00BF5647">
                          <w:pPr>
                            <w:pStyle w:val="Kolofontekst"/>
                          </w:pPr>
                          <w:bookmarkStart w:id="11" w:name="LAN_CaseNo"/>
                          <w:bookmarkStart w:id="12" w:name="dossier_f2casenumberHIF"/>
                          <w:bookmarkEnd w:id="10"/>
                          <w:r w:rsidRPr="00BF5647">
                            <w:t>J.nr.</w:t>
                          </w:r>
                          <w:bookmarkEnd w:id="11"/>
                          <w:r w:rsidR="00EE0137" w:rsidRPr="00BF5647">
                            <w:t xml:space="preserve"> </w:t>
                          </w:r>
                          <w:r w:rsidR="004800CE">
                            <w:rPr>
                              <w:color w:val="000000" w:themeColor="text1"/>
                              <w:lang w:val="de-DE"/>
                            </w:rPr>
                            <w:t>2021-3178</w:t>
                          </w:r>
                          <w:r w:rsidR="00EE0137" w:rsidRPr="00BF5647">
                            <w:t xml:space="preserve">  </w:t>
                          </w:r>
                        </w:p>
                        <w:p w14:paraId="29A46C79" w14:textId="77777777" w:rsidR="00EE0137" w:rsidRPr="00BF5647" w:rsidRDefault="00BF5647">
                          <w:pPr>
                            <w:pStyle w:val="Kolofontekst"/>
                          </w:pPr>
                          <w:bookmarkStart w:id="13" w:name="LAN_Ref"/>
                          <w:bookmarkStart w:id="14" w:name="USR_InitialsHIF"/>
                          <w:bookmarkEnd w:id="12"/>
                          <w:r w:rsidRPr="00BF5647">
                            <w:t>Ref.</w:t>
                          </w:r>
                          <w:bookmarkEnd w:id="13"/>
                          <w:r w:rsidR="00EE0137" w:rsidRPr="00BF5647">
                            <w:t xml:space="preserve"> </w:t>
                          </w:r>
                          <w:bookmarkStart w:id="15" w:name="USR_Initials"/>
                          <w:r w:rsidRPr="00BF5647">
                            <w:t>JUBRA</w:t>
                          </w:r>
                          <w:bookmarkEnd w:id="15"/>
                        </w:p>
                        <w:p w14:paraId="23E214CE" w14:textId="77527791" w:rsidR="00EE0137" w:rsidRDefault="00BF5647" w:rsidP="00EE6BD3">
                          <w:pPr>
                            <w:pStyle w:val="Kolofontekst"/>
                          </w:pPr>
                          <w:bookmarkStart w:id="16" w:name="FLD_DocumentDate"/>
                          <w:bookmarkEnd w:id="14"/>
                          <w:r>
                            <w:t xml:space="preserve">Den </w:t>
                          </w:r>
                          <w:r w:rsidR="00EE6BD3">
                            <w:t>26. marts</w:t>
                          </w:r>
                          <w:r>
                            <w:t xml:space="preserve"> 2021</w:t>
                          </w:r>
                          <w:bookmarkEnd w:id="16"/>
                        </w:p>
                      </w:tc>
                    </w:tr>
                  </w:tbl>
                  <w:p w14:paraId="7864CD1A" w14:textId="77777777" w:rsidR="00EE0137" w:rsidRDefault="00EE0137" w:rsidP="00EE0137"/>
                </w:txbxContent>
              </v:textbox>
              <w10:wrap anchorx="margin" anchory="page"/>
              <w10:anchorlock/>
            </v:shape>
          </w:pict>
        </mc:Fallback>
      </mc:AlternateContent>
    </w:r>
  </w:p>
  <w:p w14:paraId="50288686" w14:textId="77777777"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0D377BD"/>
    <w:multiLevelType w:val="hybridMultilevel"/>
    <w:tmpl w:val="9CE47594"/>
    <w:lvl w:ilvl="0" w:tplc="096CBBC2">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4"/>
  </w:num>
  <w:num w:numId="13">
    <w:abstractNumId w:val="12"/>
  </w:num>
  <w:num w:numId="14">
    <w:abstractNumId w:val="8"/>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47"/>
    <w:rsid w:val="00001C44"/>
    <w:rsid w:val="00002EA0"/>
    <w:rsid w:val="00003636"/>
    <w:rsid w:val="00005FAA"/>
    <w:rsid w:val="00006DF6"/>
    <w:rsid w:val="00013B50"/>
    <w:rsid w:val="0001457C"/>
    <w:rsid w:val="0001528D"/>
    <w:rsid w:val="00015530"/>
    <w:rsid w:val="000166A0"/>
    <w:rsid w:val="00030051"/>
    <w:rsid w:val="0003136D"/>
    <w:rsid w:val="00037E7E"/>
    <w:rsid w:val="000551D0"/>
    <w:rsid w:val="0005746B"/>
    <w:rsid w:val="00060BC5"/>
    <w:rsid w:val="000647F2"/>
    <w:rsid w:val="00066A0C"/>
    <w:rsid w:val="00070BA1"/>
    <w:rsid w:val="00073466"/>
    <w:rsid w:val="00074F1A"/>
    <w:rsid w:val="000758FD"/>
    <w:rsid w:val="00081E9E"/>
    <w:rsid w:val="00082404"/>
    <w:rsid w:val="000825EC"/>
    <w:rsid w:val="00096AA1"/>
    <w:rsid w:val="00097366"/>
    <w:rsid w:val="000A1848"/>
    <w:rsid w:val="000A1C92"/>
    <w:rsid w:val="000A26F5"/>
    <w:rsid w:val="000A37CC"/>
    <w:rsid w:val="000A7219"/>
    <w:rsid w:val="000B26E7"/>
    <w:rsid w:val="000B2E5E"/>
    <w:rsid w:val="000B5461"/>
    <w:rsid w:val="000C0294"/>
    <w:rsid w:val="000C0594"/>
    <w:rsid w:val="000C13E6"/>
    <w:rsid w:val="000C19E9"/>
    <w:rsid w:val="000C3D52"/>
    <w:rsid w:val="000C45B7"/>
    <w:rsid w:val="000C62D3"/>
    <w:rsid w:val="000D0F4C"/>
    <w:rsid w:val="000D1CF4"/>
    <w:rsid w:val="000D5FBF"/>
    <w:rsid w:val="000D600E"/>
    <w:rsid w:val="000E179B"/>
    <w:rsid w:val="000E3992"/>
    <w:rsid w:val="000E717B"/>
    <w:rsid w:val="000F0B81"/>
    <w:rsid w:val="000F228B"/>
    <w:rsid w:val="00103018"/>
    <w:rsid w:val="00104CB1"/>
    <w:rsid w:val="001062D0"/>
    <w:rsid w:val="0011054C"/>
    <w:rsid w:val="00114DE6"/>
    <w:rsid w:val="00120B6D"/>
    <w:rsid w:val="001210A9"/>
    <w:rsid w:val="0013034A"/>
    <w:rsid w:val="00133BA7"/>
    <w:rsid w:val="001354CC"/>
    <w:rsid w:val="0014150F"/>
    <w:rsid w:val="00144670"/>
    <w:rsid w:val="0014616C"/>
    <w:rsid w:val="00150899"/>
    <w:rsid w:val="00152CB8"/>
    <w:rsid w:val="00154300"/>
    <w:rsid w:val="00156908"/>
    <w:rsid w:val="00160721"/>
    <w:rsid w:val="00163528"/>
    <w:rsid w:val="001743E7"/>
    <w:rsid w:val="0017456A"/>
    <w:rsid w:val="00182CAC"/>
    <w:rsid w:val="0018769C"/>
    <w:rsid w:val="001A012D"/>
    <w:rsid w:val="001A4D56"/>
    <w:rsid w:val="001A58BF"/>
    <w:rsid w:val="001A6CB5"/>
    <w:rsid w:val="001A7E4B"/>
    <w:rsid w:val="001B2AF3"/>
    <w:rsid w:val="001B3F10"/>
    <w:rsid w:val="001B72A9"/>
    <w:rsid w:val="001C2544"/>
    <w:rsid w:val="001C417D"/>
    <w:rsid w:val="001C4328"/>
    <w:rsid w:val="001C6975"/>
    <w:rsid w:val="001C7630"/>
    <w:rsid w:val="001D1196"/>
    <w:rsid w:val="001D19D8"/>
    <w:rsid w:val="001E3367"/>
    <w:rsid w:val="001E38EF"/>
    <w:rsid w:val="001E4A0F"/>
    <w:rsid w:val="001E63D8"/>
    <w:rsid w:val="001E7F16"/>
    <w:rsid w:val="001F3A47"/>
    <w:rsid w:val="001F763E"/>
    <w:rsid w:val="00200B86"/>
    <w:rsid w:val="0020134B"/>
    <w:rsid w:val="0020402C"/>
    <w:rsid w:val="002044E3"/>
    <w:rsid w:val="00204BF4"/>
    <w:rsid w:val="00211AC9"/>
    <w:rsid w:val="00212497"/>
    <w:rsid w:val="00215671"/>
    <w:rsid w:val="002239C6"/>
    <w:rsid w:val="00225534"/>
    <w:rsid w:val="00235C1F"/>
    <w:rsid w:val="002366E2"/>
    <w:rsid w:val="00261191"/>
    <w:rsid w:val="002629A8"/>
    <w:rsid w:val="002639DB"/>
    <w:rsid w:val="00264240"/>
    <w:rsid w:val="002654F9"/>
    <w:rsid w:val="00267F76"/>
    <w:rsid w:val="0027546B"/>
    <w:rsid w:val="0028206C"/>
    <w:rsid w:val="00283D52"/>
    <w:rsid w:val="00284176"/>
    <w:rsid w:val="00285851"/>
    <w:rsid w:val="00293240"/>
    <w:rsid w:val="002933E6"/>
    <w:rsid w:val="0029629D"/>
    <w:rsid w:val="002A29B1"/>
    <w:rsid w:val="002A7860"/>
    <w:rsid w:val="002B1AFA"/>
    <w:rsid w:val="002C042D"/>
    <w:rsid w:val="002C4595"/>
    <w:rsid w:val="002C4D00"/>
    <w:rsid w:val="002D00C9"/>
    <w:rsid w:val="002D03C2"/>
    <w:rsid w:val="002D268E"/>
    <w:rsid w:val="002D7F0F"/>
    <w:rsid w:val="002F493A"/>
    <w:rsid w:val="002F61FA"/>
    <w:rsid w:val="003001A2"/>
    <w:rsid w:val="0030169A"/>
    <w:rsid w:val="003033ED"/>
    <w:rsid w:val="00310C3C"/>
    <w:rsid w:val="00313642"/>
    <w:rsid w:val="00315AC9"/>
    <w:rsid w:val="003203F6"/>
    <w:rsid w:val="00320951"/>
    <w:rsid w:val="003209AA"/>
    <w:rsid w:val="00322BBE"/>
    <w:rsid w:val="00326ED5"/>
    <w:rsid w:val="00331015"/>
    <w:rsid w:val="00331970"/>
    <w:rsid w:val="00334562"/>
    <w:rsid w:val="00342B82"/>
    <w:rsid w:val="00343A37"/>
    <w:rsid w:val="00345FA9"/>
    <w:rsid w:val="00350582"/>
    <w:rsid w:val="003526EE"/>
    <w:rsid w:val="00352EDE"/>
    <w:rsid w:val="00353B4E"/>
    <w:rsid w:val="003558D9"/>
    <w:rsid w:val="00362EAC"/>
    <w:rsid w:val="00365BC4"/>
    <w:rsid w:val="00375311"/>
    <w:rsid w:val="00380781"/>
    <w:rsid w:val="003819FF"/>
    <w:rsid w:val="00385C06"/>
    <w:rsid w:val="00386D0C"/>
    <w:rsid w:val="00392984"/>
    <w:rsid w:val="003A15DD"/>
    <w:rsid w:val="003A3350"/>
    <w:rsid w:val="003A3369"/>
    <w:rsid w:val="003A44A9"/>
    <w:rsid w:val="003B6C74"/>
    <w:rsid w:val="003C62CB"/>
    <w:rsid w:val="003C67E6"/>
    <w:rsid w:val="003D3CB2"/>
    <w:rsid w:val="003D518E"/>
    <w:rsid w:val="003E06B4"/>
    <w:rsid w:val="003E09D1"/>
    <w:rsid w:val="003E1377"/>
    <w:rsid w:val="003E3617"/>
    <w:rsid w:val="003E5613"/>
    <w:rsid w:val="003E71E4"/>
    <w:rsid w:val="003F04E6"/>
    <w:rsid w:val="003F0D75"/>
    <w:rsid w:val="003F1532"/>
    <w:rsid w:val="0040506D"/>
    <w:rsid w:val="00406784"/>
    <w:rsid w:val="00406AF1"/>
    <w:rsid w:val="00407A11"/>
    <w:rsid w:val="00407C2F"/>
    <w:rsid w:val="0041385B"/>
    <w:rsid w:val="00414BA2"/>
    <w:rsid w:val="00415BC0"/>
    <w:rsid w:val="004208E6"/>
    <w:rsid w:val="004232F9"/>
    <w:rsid w:val="00433A1E"/>
    <w:rsid w:val="00435E5A"/>
    <w:rsid w:val="00440668"/>
    <w:rsid w:val="004421D7"/>
    <w:rsid w:val="00447B83"/>
    <w:rsid w:val="00450475"/>
    <w:rsid w:val="00457861"/>
    <w:rsid w:val="00457882"/>
    <w:rsid w:val="00460B5A"/>
    <w:rsid w:val="0046600E"/>
    <w:rsid w:val="00466D6E"/>
    <w:rsid w:val="00467E79"/>
    <w:rsid w:val="00467EFD"/>
    <w:rsid w:val="00467FC7"/>
    <w:rsid w:val="00476722"/>
    <w:rsid w:val="004800CE"/>
    <w:rsid w:val="00480797"/>
    <w:rsid w:val="00481EEB"/>
    <w:rsid w:val="004830C6"/>
    <w:rsid w:val="0048414C"/>
    <w:rsid w:val="0048667B"/>
    <w:rsid w:val="00486F50"/>
    <w:rsid w:val="00495993"/>
    <w:rsid w:val="004A247F"/>
    <w:rsid w:val="004A3AAA"/>
    <w:rsid w:val="004A4315"/>
    <w:rsid w:val="004B5995"/>
    <w:rsid w:val="004B5AC3"/>
    <w:rsid w:val="004B6A8B"/>
    <w:rsid w:val="004B79D7"/>
    <w:rsid w:val="004C0742"/>
    <w:rsid w:val="004C237E"/>
    <w:rsid w:val="004C491E"/>
    <w:rsid w:val="004C63FE"/>
    <w:rsid w:val="004D23C9"/>
    <w:rsid w:val="004D6645"/>
    <w:rsid w:val="004E303E"/>
    <w:rsid w:val="004E33EF"/>
    <w:rsid w:val="004E562B"/>
    <w:rsid w:val="004E642A"/>
    <w:rsid w:val="004E7C82"/>
    <w:rsid w:val="004F23CC"/>
    <w:rsid w:val="004F2AEF"/>
    <w:rsid w:val="004F2F70"/>
    <w:rsid w:val="004F7C92"/>
    <w:rsid w:val="005009DC"/>
    <w:rsid w:val="00500EFC"/>
    <w:rsid w:val="00501E2E"/>
    <w:rsid w:val="005028B8"/>
    <w:rsid w:val="00504DF2"/>
    <w:rsid w:val="0051781E"/>
    <w:rsid w:val="00520971"/>
    <w:rsid w:val="005267CB"/>
    <w:rsid w:val="005304A9"/>
    <w:rsid w:val="00531869"/>
    <w:rsid w:val="0053236B"/>
    <w:rsid w:val="00535B7D"/>
    <w:rsid w:val="005543C3"/>
    <w:rsid w:val="00554FAA"/>
    <w:rsid w:val="005630B4"/>
    <w:rsid w:val="00563773"/>
    <w:rsid w:val="005649A4"/>
    <w:rsid w:val="005650F2"/>
    <w:rsid w:val="005672CB"/>
    <w:rsid w:val="00575FBB"/>
    <w:rsid w:val="00576B90"/>
    <w:rsid w:val="0058155D"/>
    <w:rsid w:val="00590A5B"/>
    <w:rsid w:val="00590C13"/>
    <w:rsid w:val="0059175F"/>
    <w:rsid w:val="0059560E"/>
    <w:rsid w:val="00596C25"/>
    <w:rsid w:val="005A01E1"/>
    <w:rsid w:val="005A0290"/>
    <w:rsid w:val="005A1F29"/>
    <w:rsid w:val="005A29CB"/>
    <w:rsid w:val="005A468A"/>
    <w:rsid w:val="005A50B9"/>
    <w:rsid w:val="005A5E0C"/>
    <w:rsid w:val="005B09B6"/>
    <w:rsid w:val="005B7887"/>
    <w:rsid w:val="005C51A1"/>
    <w:rsid w:val="005C7524"/>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13A8"/>
    <w:rsid w:val="00612296"/>
    <w:rsid w:val="006161E8"/>
    <w:rsid w:val="006217FF"/>
    <w:rsid w:val="006218D0"/>
    <w:rsid w:val="00623A75"/>
    <w:rsid w:val="0063273A"/>
    <w:rsid w:val="00632DB3"/>
    <w:rsid w:val="00632EB9"/>
    <w:rsid w:val="00636AA1"/>
    <w:rsid w:val="0064066E"/>
    <w:rsid w:val="00641AE1"/>
    <w:rsid w:val="0064688C"/>
    <w:rsid w:val="00655780"/>
    <w:rsid w:val="00656763"/>
    <w:rsid w:val="00656C96"/>
    <w:rsid w:val="006665A1"/>
    <w:rsid w:val="006706E8"/>
    <w:rsid w:val="0067771A"/>
    <w:rsid w:val="0068042A"/>
    <w:rsid w:val="006849A6"/>
    <w:rsid w:val="00684B85"/>
    <w:rsid w:val="0068783F"/>
    <w:rsid w:val="00696E85"/>
    <w:rsid w:val="00697E16"/>
    <w:rsid w:val="006A18C5"/>
    <w:rsid w:val="006C032B"/>
    <w:rsid w:val="006D09A7"/>
    <w:rsid w:val="006E7F1D"/>
    <w:rsid w:val="006F1E9D"/>
    <w:rsid w:val="006F3EB3"/>
    <w:rsid w:val="006F4DCD"/>
    <w:rsid w:val="00702FF2"/>
    <w:rsid w:val="00703B66"/>
    <w:rsid w:val="00705800"/>
    <w:rsid w:val="00705EAB"/>
    <w:rsid w:val="00723455"/>
    <w:rsid w:val="00724762"/>
    <w:rsid w:val="00724D6D"/>
    <w:rsid w:val="007254D5"/>
    <w:rsid w:val="007328B3"/>
    <w:rsid w:val="0073474C"/>
    <w:rsid w:val="00736BC6"/>
    <w:rsid w:val="0073754C"/>
    <w:rsid w:val="0074575F"/>
    <w:rsid w:val="0074716F"/>
    <w:rsid w:val="007472F6"/>
    <w:rsid w:val="0074737F"/>
    <w:rsid w:val="00751E72"/>
    <w:rsid w:val="00753673"/>
    <w:rsid w:val="007540BD"/>
    <w:rsid w:val="00762205"/>
    <w:rsid w:val="0076323D"/>
    <w:rsid w:val="00764201"/>
    <w:rsid w:val="0077532B"/>
    <w:rsid w:val="007830BE"/>
    <w:rsid w:val="00784CD9"/>
    <w:rsid w:val="007912B3"/>
    <w:rsid w:val="007940C9"/>
    <w:rsid w:val="00796312"/>
    <w:rsid w:val="00797DF7"/>
    <w:rsid w:val="007B1B23"/>
    <w:rsid w:val="007B21FA"/>
    <w:rsid w:val="007B2ADE"/>
    <w:rsid w:val="007B3940"/>
    <w:rsid w:val="007C1970"/>
    <w:rsid w:val="007C4E5F"/>
    <w:rsid w:val="007D492E"/>
    <w:rsid w:val="007E0C49"/>
    <w:rsid w:val="007E3A3B"/>
    <w:rsid w:val="007E51F2"/>
    <w:rsid w:val="007E5E97"/>
    <w:rsid w:val="007E7688"/>
    <w:rsid w:val="007F0C03"/>
    <w:rsid w:val="007F3596"/>
    <w:rsid w:val="007F4A4B"/>
    <w:rsid w:val="007F770C"/>
    <w:rsid w:val="00802CB9"/>
    <w:rsid w:val="00807BA4"/>
    <w:rsid w:val="00821133"/>
    <w:rsid w:val="00831C1F"/>
    <w:rsid w:val="008324B0"/>
    <w:rsid w:val="00833A82"/>
    <w:rsid w:val="00835796"/>
    <w:rsid w:val="00836926"/>
    <w:rsid w:val="008407EC"/>
    <w:rsid w:val="00841512"/>
    <w:rsid w:val="0084333E"/>
    <w:rsid w:val="0084379B"/>
    <w:rsid w:val="00844CA9"/>
    <w:rsid w:val="00847491"/>
    <w:rsid w:val="00850194"/>
    <w:rsid w:val="0085458D"/>
    <w:rsid w:val="008559E9"/>
    <w:rsid w:val="00857AE1"/>
    <w:rsid w:val="00860D2C"/>
    <w:rsid w:val="00861CBA"/>
    <w:rsid w:val="00863B4C"/>
    <w:rsid w:val="00872AC0"/>
    <w:rsid w:val="00875531"/>
    <w:rsid w:val="00882087"/>
    <w:rsid w:val="00882741"/>
    <w:rsid w:val="008901DC"/>
    <w:rsid w:val="0089049E"/>
    <w:rsid w:val="00892B13"/>
    <w:rsid w:val="008A1B0B"/>
    <w:rsid w:val="008A1C6B"/>
    <w:rsid w:val="008A279F"/>
    <w:rsid w:val="008B1B83"/>
    <w:rsid w:val="008B3ADA"/>
    <w:rsid w:val="008C1CA7"/>
    <w:rsid w:val="008C46E2"/>
    <w:rsid w:val="008C5F4A"/>
    <w:rsid w:val="008C6797"/>
    <w:rsid w:val="008D12C4"/>
    <w:rsid w:val="008D1674"/>
    <w:rsid w:val="008E3990"/>
    <w:rsid w:val="008F0E9A"/>
    <w:rsid w:val="008F17E5"/>
    <w:rsid w:val="008F272E"/>
    <w:rsid w:val="008F597D"/>
    <w:rsid w:val="008F6B2B"/>
    <w:rsid w:val="00904983"/>
    <w:rsid w:val="00905C37"/>
    <w:rsid w:val="00906916"/>
    <w:rsid w:val="009215E6"/>
    <w:rsid w:val="0092514B"/>
    <w:rsid w:val="009264AA"/>
    <w:rsid w:val="00927B6D"/>
    <w:rsid w:val="00944EE8"/>
    <w:rsid w:val="009461F0"/>
    <w:rsid w:val="009479E5"/>
    <w:rsid w:val="009601F5"/>
    <w:rsid w:val="00963E43"/>
    <w:rsid w:val="00970F21"/>
    <w:rsid w:val="00975F3B"/>
    <w:rsid w:val="0098382A"/>
    <w:rsid w:val="0098573F"/>
    <w:rsid w:val="00992A98"/>
    <w:rsid w:val="009943CD"/>
    <w:rsid w:val="00994E91"/>
    <w:rsid w:val="009B5D45"/>
    <w:rsid w:val="009C37F8"/>
    <w:rsid w:val="009C6BB2"/>
    <w:rsid w:val="009D3CEE"/>
    <w:rsid w:val="009E114D"/>
    <w:rsid w:val="009E27B6"/>
    <w:rsid w:val="009E46B7"/>
    <w:rsid w:val="009E7920"/>
    <w:rsid w:val="009F368F"/>
    <w:rsid w:val="009F4367"/>
    <w:rsid w:val="009F7033"/>
    <w:rsid w:val="00A011F0"/>
    <w:rsid w:val="00A03CE6"/>
    <w:rsid w:val="00A03E48"/>
    <w:rsid w:val="00A0520D"/>
    <w:rsid w:val="00A06684"/>
    <w:rsid w:val="00A11F5A"/>
    <w:rsid w:val="00A158CB"/>
    <w:rsid w:val="00A24A07"/>
    <w:rsid w:val="00A34B40"/>
    <w:rsid w:val="00A36292"/>
    <w:rsid w:val="00A36D64"/>
    <w:rsid w:val="00A3749F"/>
    <w:rsid w:val="00A44A6B"/>
    <w:rsid w:val="00A50BD9"/>
    <w:rsid w:val="00A5128C"/>
    <w:rsid w:val="00A51DBA"/>
    <w:rsid w:val="00A5224C"/>
    <w:rsid w:val="00A5408B"/>
    <w:rsid w:val="00A54129"/>
    <w:rsid w:val="00A556CE"/>
    <w:rsid w:val="00A56CE8"/>
    <w:rsid w:val="00A67400"/>
    <w:rsid w:val="00A67D37"/>
    <w:rsid w:val="00A72DDE"/>
    <w:rsid w:val="00A77855"/>
    <w:rsid w:val="00A82BF2"/>
    <w:rsid w:val="00A85ECD"/>
    <w:rsid w:val="00A923E2"/>
    <w:rsid w:val="00A92A72"/>
    <w:rsid w:val="00A964CE"/>
    <w:rsid w:val="00A966FA"/>
    <w:rsid w:val="00A96C60"/>
    <w:rsid w:val="00AA2832"/>
    <w:rsid w:val="00AA4437"/>
    <w:rsid w:val="00AB3595"/>
    <w:rsid w:val="00AB363A"/>
    <w:rsid w:val="00AC35D6"/>
    <w:rsid w:val="00AC6BFD"/>
    <w:rsid w:val="00AD678B"/>
    <w:rsid w:val="00AD71D8"/>
    <w:rsid w:val="00AE41A1"/>
    <w:rsid w:val="00AE5A17"/>
    <w:rsid w:val="00AF5AF6"/>
    <w:rsid w:val="00B13BB6"/>
    <w:rsid w:val="00B202BF"/>
    <w:rsid w:val="00B2140F"/>
    <w:rsid w:val="00B2565D"/>
    <w:rsid w:val="00B30727"/>
    <w:rsid w:val="00B33A35"/>
    <w:rsid w:val="00B3497E"/>
    <w:rsid w:val="00B358B3"/>
    <w:rsid w:val="00B441D7"/>
    <w:rsid w:val="00B54207"/>
    <w:rsid w:val="00B67959"/>
    <w:rsid w:val="00B67E21"/>
    <w:rsid w:val="00B734BB"/>
    <w:rsid w:val="00B77950"/>
    <w:rsid w:val="00B80700"/>
    <w:rsid w:val="00B81B85"/>
    <w:rsid w:val="00B83D51"/>
    <w:rsid w:val="00B86940"/>
    <w:rsid w:val="00B87347"/>
    <w:rsid w:val="00B900BB"/>
    <w:rsid w:val="00B90A33"/>
    <w:rsid w:val="00B910A4"/>
    <w:rsid w:val="00B912F1"/>
    <w:rsid w:val="00B91712"/>
    <w:rsid w:val="00B91D48"/>
    <w:rsid w:val="00B932C3"/>
    <w:rsid w:val="00BA0D05"/>
    <w:rsid w:val="00BA7059"/>
    <w:rsid w:val="00BB40C8"/>
    <w:rsid w:val="00BB6985"/>
    <w:rsid w:val="00BC31CE"/>
    <w:rsid w:val="00BC4612"/>
    <w:rsid w:val="00BC56EA"/>
    <w:rsid w:val="00BC6602"/>
    <w:rsid w:val="00BD1617"/>
    <w:rsid w:val="00BD787B"/>
    <w:rsid w:val="00BD7CD5"/>
    <w:rsid w:val="00BE0754"/>
    <w:rsid w:val="00BE0CE4"/>
    <w:rsid w:val="00BE1B5B"/>
    <w:rsid w:val="00BE6D1D"/>
    <w:rsid w:val="00BE7D68"/>
    <w:rsid w:val="00BF101A"/>
    <w:rsid w:val="00BF5647"/>
    <w:rsid w:val="00C03ED1"/>
    <w:rsid w:val="00C1503E"/>
    <w:rsid w:val="00C16955"/>
    <w:rsid w:val="00C16AA7"/>
    <w:rsid w:val="00C2058D"/>
    <w:rsid w:val="00C21584"/>
    <w:rsid w:val="00C2184A"/>
    <w:rsid w:val="00C22C94"/>
    <w:rsid w:val="00C26117"/>
    <w:rsid w:val="00C31AF7"/>
    <w:rsid w:val="00C34A8C"/>
    <w:rsid w:val="00C3559B"/>
    <w:rsid w:val="00C41BBD"/>
    <w:rsid w:val="00C424CF"/>
    <w:rsid w:val="00C44620"/>
    <w:rsid w:val="00C53CED"/>
    <w:rsid w:val="00C57362"/>
    <w:rsid w:val="00C57CA7"/>
    <w:rsid w:val="00C617FE"/>
    <w:rsid w:val="00C64F3D"/>
    <w:rsid w:val="00C7051E"/>
    <w:rsid w:val="00C70BEA"/>
    <w:rsid w:val="00C71B04"/>
    <w:rsid w:val="00C766CC"/>
    <w:rsid w:val="00C76B7D"/>
    <w:rsid w:val="00C8406C"/>
    <w:rsid w:val="00C84782"/>
    <w:rsid w:val="00C87AAA"/>
    <w:rsid w:val="00C94E96"/>
    <w:rsid w:val="00CA543F"/>
    <w:rsid w:val="00CA6429"/>
    <w:rsid w:val="00CA6ADF"/>
    <w:rsid w:val="00CB5C14"/>
    <w:rsid w:val="00CC12A8"/>
    <w:rsid w:val="00CC3891"/>
    <w:rsid w:val="00CC5930"/>
    <w:rsid w:val="00CC6892"/>
    <w:rsid w:val="00CD31FE"/>
    <w:rsid w:val="00CD4F1D"/>
    <w:rsid w:val="00CE1EC6"/>
    <w:rsid w:val="00CE5201"/>
    <w:rsid w:val="00CF1627"/>
    <w:rsid w:val="00CF492C"/>
    <w:rsid w:val="00CF760D"/>
    <w:rsid w:val="00D008ED"/>
    <w:rsid w:val="00D01984"/>
    <w:rsid w:val="00D01EDA"/>
    <w:rsid w:val="00D050AF"/>
    <w:rsid w:val="00D16472"/>
    <w:rsid w:val="00D17FD4"/>
    <w:rsid w:val="00D25D52"/>
    <w:rsid w:val="00D321C9"/>
    <w:rsid w:val="00D33ED1"/>
    <w:rsid w:val="00D353A2"/>
    <w:rsid w:val="00D37FC2"/>
    <w:rsid w:val="00D43DB0"/>
    <w:rsid w:val="00D454E3"/>
    <w:rsid w:val="00D570C5"/>
    <w:rsid w:val="00D62B8B"/>
    <w:rsid w:val="00D65E69"/>
    <w:rsid w:val="00D85ACD"/>
    <w:rsid w:val="00D87290"/>
    <w:rsid w:val="00D922CF"/>
    <w:rsid w:val="00D951B4"/>
    <w:rsid w:val="00DA32B3"/>
    <w:rsid w:val="00DA6734"/>
    <w:rsid w:val="00DB56B3"/>
    <w:rsid w:val="00DC63BB"/>
    <w:rsid w:val="00DE154F"/>
    <w:rsid w:val="00DE24BE"/>
    <w:rsid w:val="00DE5B21"/>
    <w:rsid w:val="00DE7479"/>
    <w:rsid w:val="00DF128B"/>
    <w:rsid w:val="00DF2F94"/>
    <w:rsid w:val="00E04ED1"/>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7D86"/>
    <w:rsid w:val="00E927A4"/>
    <w:rsid w:val="00E928D4"/>
    <w:rsid w:val="00E94852"/>
    <w:rsid w:val="00EA4D25"/>
    <w:rsid w:val="00EA576F"/>
    <w:rsid w:val="00EA69E9"/>
    <w:rsid w:val="00EB0255"/>
    <w:rsid w:val="00EB3838"/>
    <w:rsid w:val="00EB4C77"/>
    <w:rsid w:val="00EB68CC"/>
    <w:rsid w:val="00EC1285"/>
    <w:rsid w:val="00EC2095"/>
    <w:rsid w:val="00EC5E51"/>
    <w:rsid w:val="00EC76B0"/>
    <w:rsid w:val="00ED48AE"/>
    <w:rsid w:val="00EE0137"/>
    <w:rsid w:val="00EE65A7"/>
    <w:rsid w:val="00EE6BD3"/>
    <w:rsid w:val="00EF48EC"/>
    <w:rsid w:val="00EF58B4"/>
    <w:rsid w:val="00EF6016"/>
    <w:rsid w:val="00F007A6"/>
    <w:rsid w:val="00F01D01"/>
    <w:rsid w:val="00F03131"/>
    <w:rsid w:val="00F04545"/>
    <w:rsid w:val="00F05E03"/>
    <w:rsid w:val="00F101A4"/>
    <w:rsid w:val="00F10D60"/>
    <w:rsid w:val="00F2061A"/>
    <w:rsid w:val="00F30057"/>
    <w:rsid w:val="00F30217"/>
    <w:rsid w:val="00F34750"/>
    <w:rsid w:val="00F35DBF"/>
    <w:rsid w:val="00F366D5"/>
    <w:rsid w:val="00F46114"/>
    <w:rsid w:val="00F47B3A"/>
    <w:rsid w:val="00F538DD"/>
    <w:rsid w:val="00F602C8"/>
    <w:rsid w:val="00F62595"/>
    <w:rsid w:val="00F7168A"/>
    <w:rsid w:val="00F71C13"/>
    <w:rsid w:val="00F74B64"/>
    <w:rsid w:val="00F77228"/>
    <w:rsid w:val="00F90567"/>
    <w:rsid w:val="00F91352"/>
    <w:rsid w:val="00F922ED"/>
    <w:rsid w:val="00F950DD"/>
    <w:rsid w:val="00FB7ADE"/>
    <w:rsid w:val="00FC164F"/>
    <w:rsid w:val="00FD2036"/>
    <w:rsid w:val="00FE01C7"/>
    <w:rsid w:val="00FE0BDF"/>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A9241"/>
  <w15:docId w15:val="{A73A661E-51EB-494A-823C-1FB2211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3E71E4"/>
    <w:pPr>
      <w:autoSpaceDE w:val="0"/>
      <w:autoSpaceDN w:val="0"/>
      <w:adjustRightInd w:val="0"/>
      <w:spacing w:line="240" w:lineRule="auto"/>
    </w:pPr>
    <w:rPr>
      <w:rFonts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23638">
      <w:bodyDiv w:val="1"/>
      <w:marLeft w:val="0"/>
      <w:marRight w:val="0"/>
      <w:marTop w:val="0"/>
      <w:marBottom w:val="0"/>
      <w:divBdr>
        <w:top w:val="none" w:sz="0" w:space="0" w:color="auto"/>
        <w:left w:val="none" w:sz="0" w:space="0" w:color="auto"/>
        <w:bottom w:val="none" w:sz="0" w:space="0" w:color="auto"/>
        <w:right w:val="none" w:sz="0" w:space="0" w:color="auto"/>
      </w:divBdr>
    </w:div>
    <w:div w:id="425930116">
      <w:bodyDiv w:val="1"/>
      <w:marLeft w:val="0"/>
      <w:marRight w:val="0"/>
      <w:marTop w:val="0"/>
      <w:marBottom w:val="0"/>
      <w:divBdr>
        <w:top w:val="none" w:sz="0" w:space="0" w:color="auto"/>
        <w:left w:val="none" w:sz="0" w:space="0" w:color="auto"/>
        <w:bottom w:val="none" w:sz="0" w:space="0" w:color="auto"/>
        <w:right w:val="none" w:sz="0" w:space="0" w:color="auto"/>
      </w:divBdr>
    </w:div>
    <w:div w:id="486094798">
      <w:bodyDiv w:val="1"/>
      <w:marLeft w:val="0"/>
      <w:marRight w:val="0"/>
      <w:marTop w:val="0"/>
      <w:marBottom w:val="0"/>
      <w:divBdr>
        <w:top w:val="none" w:sz="0" w:space="0" w:color="auto"/>
        <w:left w:val="none" w:sz="0" w:space="0" w:color="auto"/>
        <w:bottom w:val="none" w:sz="0" w:space="0" w:color="auto"/>
        <w:right w:val="none" w:sz="0" w:space="0" w:color="auto"/>
      </w:divBdr>
    </w:div>
    <w:div w:id="745759435">
      <w:bodyDiv w:val="1"/>
      <w:marLeft w:val="0"/>
      <w:marRight w:val="0"/>
      <w:marTop w:val="0"/>
      <w:marBottom w:val="0"/>
      <w:divBdr>
        <w:top w:val="none" w:sz="0" w:space="0" w:color="auto"/>
        <w:left w:val="none" w:sz="0" w:space="0" w:color="auto"/>
        <w:bottom w:val="none" w:sz="0" w:space="0" w:color="auto"/>
        <w:right w:val="none" w:sz="0" w:space="0" w:color="auto"/>
      </w:divBdr>
    </w:div>
    <w:div w:id="945885006">
      <w:bodyDiv w:val="1"/>
      <w:marLeft w:val="0"/>
      <w:marRight w:val="0"/>
      <w:marTop w:val="0"/>
      <w:marBottom w:val="0"/>
      <w:divBdr>
        <w:top w:val="none" w:sz="0" w:space="0" w:color="auto"/>
        <w:left w:val="none" w:sz="0" w:space="0" w:color="auto"/>
        <w:bottom w:val="none" w:sz="0" w:space="0" w:color="auto"/>
        <w:right w:val="none" w:sz="0" w:space="0" w:color="auto"/>
      </w:divBdr>
    </w:div>
    <w:div w:id="1435707217">
      <w:bodyDiv w:val="1"/>
      <w:marLeft w:val="0"/>
      <w:marRight w:val="0"/>
      <w:marTop w:val="0"/>
      <w:marBottom w:val="0"/>
      <w:divBdr>
        <w:top w:val="none" w:sz="0" w:space="0" w:color="auto"/>
        <w:left w:val="none" w:sz="0" w:space="0" w:color="auto"/>
        <w:bottom w:val="none" w:sz="0" w:space="0" w:color="auto"/>
        <w:right w:val="none" w:sz="0" w:space="0" w:color="auto"/>
      </w:divBdr>
    </w:div>
    <w:div w:id="1906452513">
      <w:bodyDiv w:val="1"/>
      <w:marLeft w:val="0"/>
      <w:marRight w:val="0"/>
      <w:marTop w:val="0"/>
      <w:marBottom w:val="0"/>
      <w:divBdr>
        <w:top w:val="none" w:sz="0" w:space="0" w:color="auto"/>
        <w:left w:val="none" w:sz="0" w:space="0" w:color="auto"/>
        <w:bottom w:val="none" w:sz="0" w:space="0" w:color="auto"/>
        <w:right w:val="none" w:sz="0" w:space="0" w:color="auto"/>
      </w:divBdr>
    </w:div>
    <w:div w:id="201406474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bra@mfvm.d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Brev.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B1DB-8A07-4559-B930-8E2310D3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Brev.dotx</Template>
  <TotalTime>7</TotalTime>
  <Pages>10</Pages>
  <Words>3560</Words>
  <Characters>21114</Characters>
  <Application>Microsoft Office Word</Application>
  <DocSecurity>0</DocSecurity>
  <Lines>289</Lines>
  <Paragraphs>185</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Julia Brandt-Jensen</dc:creator>
  <cp:keywords/>
  <dc:description/>
  <cp:lastModifiedBy>Julia Brandt-Jensen</cp:lastModifiedBy>
  <cp:revision>3</cp:revision>
  <cp:lastPrinted>2005-05-20T12:11:00Z</cp:lastPrinted>
  <dcterms:created xsi:type="dcterms:W3CDTF">2021-03-26T15:13:00Z</dcterms:created>
  <dcterms:modified xsi:type="dcterms:W3CDTF">2021-03-26T16:04:00Z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44232</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Julia Brandt-Jensen</vt:lpwstr>
  </property>
  <property fmtid="{D5CDD505-2E9C-101B-9397-08002B2CF9AE}" pid="17" name="SD_CtlText_Generelt_CaseNoF2">
    <vt:lpwstr>$dossier_f2casenumber$</vt:lpwstr>
  </property>
  <property fmtid="{D5CDD505-2E9C-101B-9397-08002B2CF9AE}" pid="18" name="SD_UserprofileName">
    <vt:lpwstr>Julia Brandt-Jensen</vt:lpwstr>
  </property>
  <property fmtid="{D5CDD505-2E9C-101B-9397-08002B2CF9AE}" pid="19" name="SD_Office_OFF_ID">
    <vt:lpwstr>142</vt:lpwstr>
  </property>
  <property fmtid="{D5CDD505-2E9C-101B-9397-08002B2CF9AE}" pid="20" name="CurrentOfficeID">
    <vt:lpwstr>142</vt:lpwstr>
  </property>
  <property fmtid="{D5CDD505-2E9C-101B-9397-08002B2CF9AE}" pid="21" name="SD_Office_OFF_Organisation">
    <vt:lpwstr>MIM</vt:lpwstr>
  </property>
  <property fmtid="{D5CDD505-2E9C-101B-9397-08002B2CF9AE}" pid="22" name="SD_Office_OFF_ArtworkDefinition">
    <vt:lpwstr>MFVM</vt:lpwstr>
  </property>
  <property fmtid="{D5CDD505-2E9C-101B-9397-08002B2CF9AE}" pid="23" name="SD_Office_OFF_LogoFileName">
    <vt:lpwstr>MIMDEP</vt:lpwstr>
  </property>
  <property fmtid="{D5CDD505-2E9C-101B-9397-08002B2CF9AE}" pid="24" name="SD_Office_OFF_Institution">
    <vt:lpwstr>Miljøministeriet</vt:lpwstr>
  </property>
  <property fmtid="{D5CDD505-2E9C-101B-9397-08002B2CF9AE}" pid="25" name="SD_Office_OFF_Institution_EN">
    <vt:lpwstr>Ministry of Environment</vt:lpwstr>
  </property>
  <property fmtid="{D5CDD505-2E9C-101B-9397-08002B2CF9AE}" pid="26" name="SD_Office_OFF_kontor">
    <vt:lpwstr>Miljø og Erhverv</vt:lpwstr>
  </property>
  <property fmtid="{D5CDD505-2E9C-101B-9397-08002B2CF9AE}" pid="27" name="SD_Office_OFF_Department">
    <vt:lpwstr>Miljø og Erhverv</vt:lpwstr>
  </property>
  <property fmtid="{D5CDD505-2E9C-101B-9397-08002B2CF9AE}" pid="28" name="SD_Office_OFF_Department_EN">
    <vt:lpwstr>Miljø og Erhverv</vt:lpwstr>
  </property>
  <property fmtid="{D5CDD505-2E9C-101B-9397-08002B2CF9AE}" pid="29" name="SD_Office_OFF_Footertext">
    <vt:lpwstr/>
  </property>
  <property fmtid="{D5CDD505-2E9C-101B-9397-08002B2CF9AE}" pid="30" name="SD_Office_OFF_AddressA">
    <vt:lpwstr>Slotsholmsgade 12</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Slotsholmsgade 12</vt:lpwstr>
  </property>
  <property fmtid="{D5CDD505-2E9C-101B-9397-08002B2CF9AE}" pid="34" name="SD_Office_OFF_AddressD">
    <vt:lpwstr>1216</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33 14 50 42</vt:lpwstr>
  </property>
  <property fmtid="{D5CDD505-2E9C-101B-9397-08002B2CF9AE}" pid="40" name="SD_Office_OFF_Fax_EN">
    <vt:lpwstr>+45 33 14 50 42</vt:lpwstr>
  </property>
  <property fmtid="{D5CDD505-2E9C-101B-9397-08002B2CF9AE}" pid="41" name="SD_Office_OFF_Email">
    <vt:lpwstr>mfvm@mfvm.dk</vt:lpwstr>
  </property>
  <property fmtid="{D5CDD505-2E9C-101B-9397-08002B2CF9AE}" pid="42" name="SD_Office_OFF_Web">
    <vt:lpwstr>www.mfvm.dk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MFVM</vt:lpwstr>
  </property>
  <property fmtid="{D5CDD505-2E9C-101B-9397-08002B2CF9AE}" pid="48" name="USR_Name">
    <vt:lpwstr>Julia Brandt-Jensen</vt:lpwstr>
  </property>
  <property fmtid="{D5CDD505-2E9C-101B-9397-08002B2CF9AE}" pid="49" name="USR_Initials">
    <vt:lpwstr>JUBRA</vt:lpwstr>
  </property>
  <property fmtid="{D5CDD505-2E9C-101B-9397-08002B2CF9AE}" pid="50" name="USR_Title">
    <vt:lpwstr>Jurist</vt:lpwstr>
  </property>
  <property fmtid="{D5CDD505-2E9C-101B-9397-08002B2CF9AE}" pid="51" name="USR_DirectPhone">
    <vt:lpwstr>+45 20 60 47 55</vt:lpwstr>
  </property>
  <property fmtid="{D5CDD505-2E9C-101B-9397-08002B2CF9AE}" pid="52" name="USR_Mobile">
    <vt:lpwstr>+45 20 60 47 55</vt:lpwstr>
  </property>
  <property fmtid="{D5CDD505-2E9C-101B-9397-08002B2CF9AE}" pid="53" name="USR_Email">
    <vt:lpwstr>jubra@mfvm.dk</vt:lpwstr>
  </property>
  <property fmtid="{D5CDD505-2E9C-101B-9397-08002B2CF9AE}" pid="54" name="DocumentInfoFinished">
    <vt:lpwstr>True</vt:lpwstr>
  </property>
</Properties>
</file>